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F491AF" w14:textId="77777777" w:rsidR="00831A2C" w:rsidRDefault="00264D94" w:rsidP="00324834">
      <w:pPr>
        <w:pStyle w:val="BodyText"/>
        <w:rPr>
          <w:bCs/>
          <w:sz w:val="24"/>
          <w:szCs w:val="24"/>
          <w:lang w:val="en-GB"/>
        </w:rPr>
      </w:pPr>
      <w:r w:rsidRPr="00711AE0">
        <w:rPr>
          <w:noProof/>
          <w:lang w:val="sl-SI" w:eastAsia="sl-SI" w:bidi="ar-SA"/>
        </w:rPr>
        <w:drawing>
          <wp:anchor distT="0" distB="0" distL="114300" distR="114300" simplePos="0" relativeHeight="251659264" behindDoc="0" locked="0" layoutInCell="1" allowOverlap="1" wp14:anchorId="037DE1E0" wp14:editId="0F4F0D8B">
            <wp:simplePos x="0" y="0"/>
            <wp:positionH relativeFrom="page">
              <wp:posOffset>6808</wp:posOffset>
            </wp:positionH>
            <wp:positionV relativeFrom="page">
              <wp:posOffset>17145</wp:posOffset>
            </wp:positionV>
            <wp:extent cx="7556500" cy="1609725"/>
            <wp:effectExtent l="0" t="0" r="6350" b="9525"/>
            <wp:wrapThrough wrapText="bothSides">
              <wp:wrapPolygon edited="0">
                <wp:start x="0" y="0"/>
                <wp:lineTo x="0" y="21472"/>
                <wp:lineTo x="21564" y="21472"/>
                <wp:lineTo x="21564" y="0"/>
                <wp:lineTo x="0" y="0"/>
              </wp:wrapPolygon>
            </wp:wrapThrough>
            <wp:docPr id="1" name="Picture 1" descr="visual-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visual-large"/>
                    <pic:cNvPicPr>
                      <a:picLocks noChangeAspect="1" noChangeArrowheads="1"/>
                    </pic:cNvPicPr>
                  </pic:nvPicPr>
                  <pic:blipFill>
                    <a:blip r:embed="rId11" cstate="print">
                      <a:extLst>
                        <a:ext uri="{28A0092B-C50C-407E-A947-70E740481C1C}">
                          <a14:useLocalDpi xmlns:a14="http://schemas.microsoft.com/office/drawing/2010/main" val="0"/>
                        </a:ext>
                      </a:extLst>
                    </a:blip>
                    <a:srcRect l="8981" t="8075" r="10893"/>
                    <a:stretch>
                      <a:fillRect/>
                    </a:stretch>
                  </pic:blipFill>
                  <pic:spPr bwMode="auto">
                    <a:xfrm>
                      <a:off x="0" y="0"/>
                      <a:ext cx="7556500" cy="1609725"/>
                    </a:xfrm>
                    <a:prstGeom prst="rect">
                      <a:avLst/>
                    </a:prstGeom>
                    <a:noFill/>
                    <a:ln>
                      <a:noFill/>
                    </a:ln>
                  </pic:spPr>
                </pic:pic>
              </a:graphicData>
            </a:graphic>
          </wp:anchor>
        </w:drawing>
      </w:r>
      <w:r w:rsidR="00831A2C" w:rsidRPr="007A5130">
        <w:rPr>
          <w:rFonts w:eastAsia="Times New Roman"/>
          <w:noProof/>
          <w:snapToGrid w:val="0"/>
          <w:u w:val="single"/>
          <w:lang w:val="sl-SI" w:eastAsia="sl-SI" w:bidi="ar-SA"/>
        </w:rPr>
        <mc:AlternateContent>
          <mc:Choice Requires="wps">
            <w:drawing>
              <wp:anchor distT="45720" distB="45720" distL="114300" distR="114300" simplePos="0" relativeHeight="251661312" behindDoc="0" locked="0" layoutInCell="1" allowOverlap="1" wp14:anchorId="66C745B1" wp14:editId="05C979FC">
                <wp:simplePos x="0" y="0"/>
                <wp:positionH relativeFrom="margin">
                  <wp:posOffset>-696595</wp:posOffset>
                </wp:positionH>
                <wp:positionV relativeFrom="paragraph">
                  <wp:posOffset>-500350</wp:posOffset>
                </wp:positionV>
                <wp:extent cx="7124700" cy="76454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764540"/>
                        </a:xfrm>
                        <a:prstGeom prst="rect">
                          <a:avLst/>
                        </a:prstGeom>
                        <a:noFill/>
                        <a:ln w="9525">
                          <a:noFill/>
                          <a:miter lim="800000"/>
                          <a:headEnd/>
                          <a:tailEnd/>
                        </a:ln>
                      </wps:spPr>
                      <wps:txbx>
                        <w:txbxContent>
                          <w:p w14:paraId="634724B4" w14:textId="77777777" w:rsidR="00355738" w:rsidRPr="007A5130" w:rsidRDefault="00355738" w:rsidP="00831A2C">
                            <w:pPr>
                              <w:jc w:val="center"/>
                              <w:rPr>
                                <w:rFonts w:cs="Arial"/>
                                <w:b/>
                                <w:bCs/>
                                <w:color w:val="FFFFFF"/>
                                <w:sz w:val="24"/>
                                <w:szCs w:val="24"/>
                                <w:lang w:val="en-GB"/>
                              </w:rPr>
                            </w:pPr>
                            <w:r w:rsidRPr="007A5130">
                              <w:rPr>
                                <w:rFonts w:cs="Arial"/>
                                <w:b/>
                                <w:bCs/>
                                <w:color w:val="FFFFFF"/>
                                <w:sz w:val="24"/>
                                <w:szCs w:val="24"/>
                                <w:lang w:val="en-GB"/>
                              </w:rPr>
                              <w:t>FACILITY FOR THE IMPLEMENTATION OF THE EU – GEORGIA ASSOCIATION AGREEMENT – II</w:t>
                            </w:r>
                          </w:p>
                          <w:p w14:paraId="3B580101" w14:textId="77777777" w:rsidR="00355738" w:rsidRPr="0008099A" w:rsidRDefault="00355738" w:rsidP="00831A2C">
                            <w:pPr>
                              <w:jc w:val="center"/>
                              <w:rPr>
                                <w:b/>
                                <w:color w:val="FFFFFF"/>
                                <w:lang w:val="en-US"/>
                              </w:rPr>
                            </w:pPr>
                            <w:r w:rsidRPr="0008099A">
                              <w:rPr>
                                <w:rFonts w:cs="Arial"/>
                                <w:b/>
                                <w:bCs/>
                                <w:color w:val="FFFFFF"/>
                                <w:lang w:val="ka-GE"/>
                              </w:rPr>
                              <w:t xml:space="preserve">ევროკავშირს და საქართველოს შორის ასოცირების შესახებ შეთანხმების განხორციელების მხარდაჭერა - </w:t>
                            </w:r>
                            <w:r w:rsidRPr="0008099A">
                              <w:rPr>
                                <w:rFonts w:cs="Arial"/>
                                <w:b/>
                                <w:bCs/>
                                <w:color w:val="FFFFFF"/>
                                <w:lang w:val="en-US"/>
                              </w:rPr>
                              <w:t>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6C745B1" id="_x0000_t202" coordsize="21600,21600" o:spt="202" path="m,l,21600r21600,l21600,xe">
                <v:stroke joinstyle="miter"/>
                <v:path gradientshapeok="t" o:connecttype="rect"/>
              </v:shapetype>
              <v:shape id="Text Box 2" o:spid="_x0000_s1026" type="#_x0000_t202" style="position:absolute;margin-left:-54.85pt;margin-top:-39.4pt;width:561pt;height:60.2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" filled="f" stroked="f">
                <v:textbox style="mso-fit-shape-to-text:t">
                  <w:txbxContent>
                    <w:p w14:paraId="634724B4" w14:textId="77777777" w:rsidR="00355738" w:rsidRPr="007A5130" w:rsidRDefault="00355738" w:rsidP="00831A2C">
                      <w:pPr>
                        <w:jc w:val="center"/>
                        <w:rPr>
                          <w:rFonts w:cs="Arial"/>
                          <w:b/>
                          <w:bCs/>
                          <w:color w:val="FFFFFF"/>
                          <w:sz w:val="24"/>
                          <w:szCs w:val="24"/>
                          <w:lang w:val="en-GB"/>
                        </w:rPr>
                      </w:pPr>
                      <w:r w:rsidRPr="007A5130">
                        <w:rPr>
                          <w:rFonts w:cs="Arial"/>
                          <w:b/>
                          <w:bCs/>
                          <w:color w:val="FFFFFF"/>
                          <w:sz w:val="24"/>
                          <w:szCs w:val="24"/>
                          <w:lang w:val="en-GB"/>
                        </w:rPr>
                        <w:t>FACILITY FOR THE IMPLEMENTATION OF THE EU – GEORGIA ASSOCIATION AGREEMENT – II</w:t>
                      </w:r>
                    </w:p>
                    <w:p w14:paraId="3B580101" w14:textId="77777777" w:rsidR="00355738" w:rsidRPr="0008099A" w:rsidRDefault="00355738" w:rsidP="00831A2C">
                      <w:pPr>
                        <w:jc w:val="center"/>
                        <w:rPr>
                          <w:b/>
                          <w:color w:val="FFFFFF"/>
                          <w:lang w:val="en-US"/>
                        </w:rPr>
                      </w:pPr>
                      <w:r w:rsidRPr="0008099A">
                        <w:rPr>
                          <w:rFonts w:cs="Arial"/>
                          <w:b/>
                          <w:bCs/>
                          <w:color w:val="FFFFFF"/>
                          <w:lang w:val="ka-GE"/>
                        </w:rPr>
                        <w:t xml:space="preserve">ევროკავშირს და საქართველოს შორის ასოცირების შესახებ შეთანხმების განხორციელების მხარდაჭერა - </w:t>
                      </w:r>
                      <w:r w:rsidRPr="0008099A">
                        <w:rPr>
                          <w:rFonts w:cs="Arial"/>
                          <w:b/>
                          <w:bCs/>
                          <w:color w:val="FFFFFF"/>
                          <w:lang w:val="en-US"/>
                        </w:rPr>
                        <w:t>II</w:t>
                      </w:r>
                    </w:p>
                  </w:txbxContent>
                </v:textbox>
                <w10:wrap anchorx="margin"/>
              </v:shape>
            </w:pict>
          </mc:Fallback>
        </mc:AlternateContent>
      </w:r>
    </w:p>
    <w:p w14:paraId="6F85A43D" w14:textId="77777777" w:rsidR="00AF6448" w:rsidRDefault="00AF6448" w:rsidP="00AF6448">
      <w:pPr>
        <w:spacing w:after="0" w:line="240" w:lineRule="auto"/>
        <w:jc w:val="center"/>
        <w:rPr>
          <w:b/>
          <w:bCs/>
          <w:sz w:val="24"/>
          <w:szCs w:val="24"/>
          <w:lang w:val="en-GB"/>
        </w:rPr>
      </w:pPr>
    </w:p>
    <w:p w14:paraId="396AC13F" w14:textId="77777777" w:rsidR="00AF6448" w:rsidRDefault="00AF6448" w:rsidP="00AF6448">
      <w:pPr>
        <w:spacing w:after="0" w:line="240" w:lineRule="auto"/>
        <w:jc w:val="center"/>
        <w:rPr>
          <w:b/>
          <w:bCs/>
          <w:sz w:val="24"/>
          <w:szCs w:val="24"/>
          <w:lang w:val="en-GB"/>
        </w:rPr>
      </w:pPr>
    </w:p>
    <w:p w14:paraId="4F846C25" w14:textId="77777777" w:rsidR="00AF6448" w:rsidRDefault="00AF6448" w:rsidP="00AF6448">
      <w:pPr>
        <w:spacing w:after="0" w:line="240" w:lineRule="auto"/>
        <w:jc w:val="center"/>
        <w:rPr>
          <w:b/>
          <w:bCs/>
          <w:sz w:val="24"/>
          <w:szCs w:val="24"/>
          <w:lang w:val="en-GB"/>
        </w:rPr>
      </w:pPr>
    </w:p>
    <w:p w14:paraId="2635B49D" w14:textId="77777777" w:rsidR="00AF6448" w:rsidRDefault="00AF6448" w:rsidP="00AF6448">
      <w:pPr>
        <w:spacing w:after="0" w:line="240" w:lineRule="auto"/>
        <w:jc w:val="center"/>
        <w:rPr>
          <w:b/>
          <w:bCs/>
          <w:sz w:val="24"/>
          <w:szCs w:val="24"/>
          <w:lang w:val="en-GB"/>
        </w:rPr>
      </w:pPr>
    </w:p>
    <w:p w14:paraId="755EB776" w14:textId="77777777" w:rsidR="00B271E6" w:rsidRDefault="00B271E6" w:rsidP="00AF6448">
      <w:pPr>
        <w:spacing w:after="0" w:line="240" w:lineRule="auto"/>
        <w:jc w:val="center"/>
        <w:rPr>
          <w:b/>
          <w:bCs/>
          <w:sz w:val="24"/>
          <w:szCs w:val="24"/>
          <w:lang w:val="en-GB"/>
        </w:rPr>
      </w:pPr>
    </w:p>
    <w:p w14:paraId="4DB10E32" w14:textId="77777777" w:rsidR="00B271E6" w:rsidRDefault="00B271E6" w:rsidP="00AF6448">
      <w:pPr>
        <w:spacing w:after="0" w:line="240" w:lineRule="auto"/>
        <w:jc w:val="center"/>
        <w:rPr>
          <w:b/>
          <w:bCs/>
          <w:sz w:val="24"/>
          <w:szCs w:val="24"/>
          <w:lang w:val="en-GB"/>
        </w:rPr>
      </w:pPr>
    </w:p>
    <w:p w14:paraId="1C7A7666" w14:textId="77777777" w:rsidR="00AF6448" w:rsidRDefault="00AF6448" w:rsidP="00AF6448">
      <w:pPr>
        <w:spacing w:after="0" w:line="240" w:lineRule="auto"/>
        <w:jc w:val="center"/>
        <w:rPr>
          <w:b/>
          <w:bCs/>
          <w:sz w:val="24"/>
          <w:szCs w:val="24"/>
          <w:lang w:val="en-GB"/>
        </w:rPr>
      </w:pPr>
    </w:p>
    <w:p w14:paraId="211CDF8E" w14:textId="77777777" w:rsidR="00AF6448" w:rsidRDefault="00AF6448" w:rsidP="00AF6448">
      <w:pPr>
        <w:spacing w:after="0" w:line="240" w:lineRule="auto"/>
        <w:jc w:val="center"/>
        <w:rPr>
          <w:b/>
          <w:bCs/>
          <w:sz w:val="24"/>
          <w:szCs w:val="24"/>
          <w:lang w:val="en-GB"/>
        </w:rPr>
      </w:pPr>
    </w:p>
    <w:p w14:paraId="6BB8FC69" w14:textId="77777777" w:rsidR="00AF6448" w:rsidRDefault="00AF6448" w:rsidP="00AF6448">
      <w:pPr>
        <w:spacing w:after="0" w:line="240" w:lineRule="auto"/>
        <w:jc w:val="center"/>
        <w:rPr>
          <w:b/>
          <w:bCs/>
          <w:sz w:val="24"/>
          <w:szCs w:val="24"/>
          <w:lang w:val="en-GB"/>
        </w:rPr>
      </w:pPr>
    </w:p>
    <w:p w14:paraId="6188BDD7" w14:textId="77777777" w:rsidR="00AF6448" w:rsidRDefault="00AF6448" w:rsidP="00167E94">
      <w:pPr>
        <w:spacing w:after="0" w:line="240" w:lineRule="auto"/>
        <w:rPr>
          <w:b/>
          <w:bCs/>
          <w:sz w:val="24"/>
          <w:szCs w:val="24"/>
          <w:lang w:val="en-GB"/>
        </w:rPr>
      </w:pPr>
    </w:p>
    <w:p w14:paraId="55E7CD73" w14:textId="77777777" w:rsidR="00AF6448" w:rsidRDefault="00AF6448" w:rsidP="00AF6448">
      <w:pPr>
        <w:spacing w:after="0" w:line="240" w:lineRule="auto"/>
        <w:jc w:val="center"/>
        <w:rPr>
          <w:b/>
          <w:bCs/>
          <w:sz w:val="24"/>
          <w:szCs w:val="24"/>
          <w:lang w:val="en-GB"/>
        </w:rPr>
      </w:pPr>
    </w:p>
    <w:p w14:paraId="38C1A7A5" w14:textId="77777777" w:rsidR="00AF6448" w:rsidRDefault="00AF6448" w:rsidP="00AF6448">
      <w:pPr>
        <w:spacing w:after="0" w:line="240" w:lineRule="auto"/>
        <w:jc w:val="center"/>
        <w:rPr>
          <w:b/>
          <w:bCs/>
          <w:sz w:val="24"/>
          <w:szCs w:val="24"/>
          <w:lang w:val="en-GB"/>
        </w:rPr>
      </w:pPr>
    </w:p>
    <w:p w14:paraId="784929DF" w14:textId="77777777" w:rsidR="00AF6448" w:rsidRDefault="00AF6448" w:rsidP="00AF6448">
      <w:pPr>
        <w:spacing w:after="0" w:line="240" w:lineRule="auto"/>
        <w:jc w:val="center"/>
        <w:rPr>
          <w:b/>
          <w:bCs/>
          <w:sz w:val="24"/>
          <w:szCs w:val="24"/>
          <w:lang w:val="en-GB"/>
        </w:rPr>
      </w:pPr>
    </w:p>
    <w:p w14:paraId="29D85469" w14:textId="77777777" w:rsidR="00AF6448" w:rsidRPr="00AF6448" w:rsidRDefault="00AF6448" w:rsidP="00AF6448">
      <w:pPr>
        <w:spacing w:after="0" w:line="240" w:lineRule="auto"/>
        <w:jc w:val="center"/>
        <w:rPr>
          <w:b/>
          <w:bCs/>
          <w:sz w:val="48"/>
          <w:szCs w:val="48"/>
          <w:lang w:val="en-GB"/>
        </w:rPr>
      </w:pPr>
    </w:p>
    <w:p w14:paraId="6B2B187C" w14:textId="31D9823E" w:rsidR="00D6059B" w:rsidRDefault="00E26155" w:rsidP="00AF6448">
      <w:pPr>
        <w:spacing w:after="0" w:line="240" w:lineRule="auto"/>
        <w:jc w:val="center"/>
        <w:rPr>
          <w:b/>
          <w:bCs/>
          <w:sz w:val="24"/>
          <w:szCs w:val="24"/>
          <w:lang w:val="en-GB"/>
        </w:rPr>
      </w:pPr>
      <w:r>
        <w:rPr>
          <w:b/>
          <w:bCs/>
          <w:sz w:val="48"/>
          <w:szCs w:val="48"/>
          <w:lang w:val="en-GB"/>
        </w:rPr>
        <w:t>Market</w:t>
      </w:r>
      <w:r w:rsidR="00B310CD">
        <w:rPr>
          <w:b/>
          <w:bCs/>
          <w:sz w:val="48"/>
          <w:szCs w:val="48"/>
          <w:lang w:val="en-GB"/>
        </w:rPr>
        <w:t xml:space="preserve"> </w:t>
      </w:r>
      <w:r>
        <w:rPr>
          <w:b/>
          <w:bCs/>
          <w:sz w:val="48"/>
          <w:szCs w:val="48"/>
          <w:lang w:val="en-GB"/>
        </w:rPr>
        <w:t>review of the Fixed broadband market</w:t>
      </w:r>
      <w:r w:rsidR="00B271E6">
        <w:rPr>
          <w:b/>
          <w:bCs/>
          <w:sz w:val="48"/>
          <w:szCs w:val="48"/>
          <w:lang w:val="en-GB"/>
        </w:rPr>
        <w:t xml:space="preserve"> – </w:t>
      </w:r>
      <w:r w:rsidR="004C638F">
        <w:rPr>
          <w:b/>
          <w:bCs/>
          <w:sz w:val="48"/>
          <w:szCs w:val="48"/>
          <w:lang w:val="en-GB"/>
        </w:rPr>
        <w:t>Final version</w:t>
      </w:r>
    </w:p>
    <w:p w14:paraId="6F572CCD" w14:textId="77777777" w:rsidR="00AF6448" w:rsidRDefault="00AF6448" w:rsidP="00AF6448">
      <w:pPr>
        <w:spacing w:after="0" w:line="240" w:lineRule="auto"/>
        <w:jc w:val="center"/>
        <w:rPr>
          <w:b/>
          <w:bCs/>
          <w:sz w:val="24"/>
          <w:szCs w:val="24"/>
          <w:lang w:val="en-GB"/>
        </w:rPr>
      </w:pPr>
    </w:p>
    <w:p w14:paraId="7E5EBA11" w14:textId="77777777" w:rsidR="00AF6448" w:rsidRDefault="00AF6448" w:rsidP="00AF6448">
      <w:pPr>
        <w:spacing w:after="0" w:line="240" w:lineRule="auto"/>
        <w:jc w:val="center"/>
        <w:rPr>
          <w:b/>
          <w:bCs/>
          <w:sz w:val="24"/>
          <w:szCs w:val="24"/>
          <w:lang w:val="en-GB"/>
        </w:rPr>
      </w:pPr>
    </w:p>
    <w:p w14:paraId="13151949" w14:textId="2DEBCF02" w:rsidR="00AF6448" w:rsidRDefault="00516243" w:rsidP="00AF6448">
      <w:pPr>
        <w:spacing w:after="0" w:line="240" w:lineRule="auto"/>
        <w:jc w:val="center"/>
        <w:rPr>
          <w:b/>
          <w:bCs/>
          <w:sz w:val="24"/>
          <w:szCs w:val="24"/>
          <w:lang w:val="en-GB"/>
        </w:rPr>
      </w:pPr>
      <w:r>
        <w:rPr>
          <w:b/>
          <w:bCs/>
          <w:sz w:val="24"/>
          <w:szCs w:val="24"/>
          <w:lang w:val="en-GB"/>
        </w:rPr>
        <w:t>June 2024</w:t>
      </w:r>
    </w:p>
    <w:p w14:paraId="2B77C9C8" w14:textId="77777777" w:rsidR="00AF6448" w:rsidRDefault="00AF6448" w:rsidP="00AF6448">
      <w:pPr>
        <w:spacing w:after="0" w:line="240" w:lineRule="auto"/>
        <w:jc w:val="center"/>
        <w:rPr>
          <w:b/>
          <w:bCs/>
          <w:sz w:val="24"/>
          <w:szCs w:val="24"/>
          <w:lang w:val="en-GB"/>
        </w:rPr>
      </w:pPr>
    </w:p>
    <w:p w14:paraId="2D84C357" w14:textId="77777777" w:rsidR="00AF6448" w:rsidRDefault="00AF6448" w:rsidP="00AF6448">
      <w:pPr>
        <w:spacing w:after="0" w:line="240" w:lineRule="auto"/>
        <w:jc w:val="center"/>
        <w:rPr>
          <w:b/>
          <w:bCs/>
          <w:sz w:val="24"/>
          <w:szCs w:val="24"/>
          <w:lang w:val="en-GB"/>
        </w:rPr>
      </w:pPr>
    </w:p>
    <w:p w14:paraId="5946B799" w14:textId="77777777" w:rsidR="00AF6448" w:rsidRDefault="00AF6448" w:rsidP="00AF6448">
      <w:pPr>
        <w:spacing w:after="0" w:line="240" w:lineRule="auto"/>
        <w:jc w:val="center"/>
        <w:rPr>
          <w:b/>
          <w:bCs/>
          <w:sz w:val="24"/>
          <w:szCs w:val="24"/>
          <w:lang w:val="en-GB"/>
        </w:rPr>
      </w:pPr>
    </w:p>
    <w:p w14:paraId="08FE3E01" w14:textId="77777777" w:rsidR="00AF6448" w:rsidRDefault="00AF6448" w:rsidP="00AF6448">
      <w:pPr>
        <w:spacing w:after="0" w:line="240" w:lineRule="auto"/>
        <w:jc w:val="center"/>
        <w:rPr>
          <w:b/>
          <w:bCs/>
          <w:sz w:val="24"/>
          <w:szCs w:val="24"/>
          <w:lang w:val="en-GB"/>
        </w:rPr>
      </w:pPr>
    </w:p>
    <w:p w14:paraId="1C9D628A" w14:textId="77777777" w:rsidR="00AF6448" w:rsidRDefault="00AF6448" w:rsidP="00AF6448">
      <w:pPr>
        <w:spacing w:after="0" w:line="240" w:lineRule="auto"/>
        <w:jc w:val="center"/>
        <w:rPr>
          <w:b/>
          <w:bCs/>
          <w:sz w:val="24"/>
          <w:szCs w:val="24"/>
          <w:lang w:val="en-GB"/>
        </w:rPr>
      </w:pPr>
    </w:p>
    <w:p w14:paraId="5CDA081F" w14:textId="77777777" w:rsidR="00AF6448" w:rsidRDefault="00AF6448" w:rsidP="00AF6448">
      <w:pPr>
        <w:spacing w:after="0" w:line="240" w:lineRule="auto"/>
        <w:jc w:val="center"/>
        <w:rPr>
          <w:b/>
          <w:bCs/>
          <w:sz w:val="24"/>
          <w:szCs w:val="24"/>
          <w:lang w:val="en-GB"/>
        </w:rPr>
      </w:pPr>
    </w:p>
    <w:p w14:paraId="61105A19" w14:textId="77777777" w:rsidR="00AF6448" w:rsidRDefault="00AF6448" w:rsidP="00167E94">
      <w:pPr>
        <w:spacing w:after="0" w:line="240" w:lineRule="auto"/>
        <w:rPr>
          <w:b/>
          <w:bCs/>
          <w:sz w:val="24"/>
          <w:szCs w:val="24"/>
          <w:lang w:val="en-GB"/>
        </w:rPr>
      </w:pPr>
    </w:p>
    <w:p w14:paraId="17093365" w14:textId="4F008826" w:rsidR="00B271E6" w:rsidRDefault="00BD7D18" w:rsidP="00AF6448">
      <w:pPr>
        <w:spacing w:after="0" w:line="240" w:lineRule="auto"/>
        <w:jc w:val="center"/>
        <w:rPr>
          <w:b/>
          <w:bCs/>
          <w:sz w:val="24"/>
          <w:szCs w:val="24"/>
          <w:lang w:val="en-GB"/>
        </w:rPr>
      </w:pPr>
      <w:r>
        <w:rPr>
          <w:rFonts w:ascii="Helvetica" w:hAnsi="Helvetica" w:cs="Helvetica"/>
          <w:i/>
          <w:iCs/>
          <w:color w:val="555555"/>
          <w:sz w:val="21"/>
          <w:szCs w:val="21"/>
          <w:bdr w:val="none" w:sz="0" w:space="0" w:color="auto" w:frame="1"/>
        </w:rPr>
        <w:t>[R</w:t>
      </w:r>
      <w:r w:rsidRPr="00BD7D18">
        <w:rPr>
          <w:rFonts w:ascii="Helvetica" w:hAnsi="Helvetica" w:cs="Helvetica"/>
          <w:i/>
          <w:iCs/>
          <w:color w:val="555555"/>
          <w:sz w:val="21"/>
          <w:szCs w:val="21"/>
          <w:bdr w:val="none" w:sz="0" w:space="0" w:color="auto" w:frame="1"/>
        </w:rPr>
        <w:t xml:space="preserve">evised version following informal consultations. In this revised version, corrections made after the informal consultations are highlighted as follows: (i)References to the Methodological Rules were substituted by references to the applicable provisions in ComCom’s revised Methodological Rules enacted after the informal consultation was launched. These corrections are highlighted in </w:t>
      </w:r>
      <w:r w:rsidRPr="002F5AAC">
        <w:rPr>
          <w:rFonts w:ascii="Helvetica" w:hAnsi="Helvetica" w:cs="Helvetica"/>
          <w:i/>
          <w:iCs/>
          <w:color w:val="555555"/>
          <w:sz w:val="21"/>
          <w:szCs w:val="21"/>
          <w:highlight w:val="green"/>
          <w:bdr w:val="none" w:sz="0" w:space="0" w:color="auto" w:frame="1"/>
        </w:rPr>
        <w:t>green.</w:t>
      </w:r>
      <w:r w:rsidRPr="00BD7D18">
        <w:rPr>
          <w:rFonts w:ascii="Helvetica" w:hAnsi="Helvetica" w:cs="Helvetica"/>
          <w:i/>
          <w:iCs/>
          <w:color w:val="555555"/>
          <w:sz w:val="21"/>
          <w:szCs w:val="21"/>
          <w:bdr w:val="none" w:sz="0" w:space="0" w:color="auto" w:frame="1"/>
        </w:rPr>
        <w:t xml:space="preserve"> (ii)Corrections relating to technical clarity and finetuning or updating the argumentation are highlighted in </w:t>
      </w:r>
      <w:r w:rsidRPr="002F5AAC">
        <w:rPr>
          <w:rFonts w:ascii="Helvetica" w:hAnsi="Helvetica" w:cs="Helvetica"/>
          <w:i/>
          <w:iCs/>
          <w:color w:val="555555"/>
          <w:sz w:val="21"/>
          <w:szCs w:val="21"/>
          <w:highlight w:val="yellow"/>
          <w:bdr w:val="none" w:sz="0" w:space="0" w:color="auto" w:frame="1"/>
        </w:rPr>
        <w:t>yellow.</w:t>
      </w:r>
      <w:r>
        <w:rPr>
          <w:rFonts w:ascii="Helvetica" w:hAnsi="Helvetica" w:cs="Helvetica"/>
          <w:i/>
          <w:iCs/>
          <w:color w:val="555555"/>
          <w:sz w:val="21"/>
          <w:szCs w:val="21"/>
          <w:bdr w:val="none" w:sz="0" w:space="0" w:color="auto" w:frame="1"/>
        </w:rPr>
        <w:t>]</w:t>
      </w:r>
    </w:p>
    <w:p w14:paraId="57056197" w14:textId="77777777" w:rsidR="00AF6448" w:rsidRDefault="00AF6448" w:rsidP="00AF6448">
      <w:pPr>
        <w:spacing w:after="0" w:line="240" w:lineRule="auto"/>
        <w:jc w:val="center"/>
        <w:rPr>
          <w:b/>
          <w:bCs/>
          <w:sz w:val="24"/>
          <w:szCs w:val="24"/>
          <w:lang w:val="en-GB"/>
        </w:rPr>
      </w:pPr>
    </w:p>
    <w:p w14:paraId="35D127DA" w14:textId="77777777" w:rsidR="001B6272" w:rsidRDefault="001B6272" w:rsidP="00AF6448">
      <w:pPr>
        <w:spacing w:after="0" w:line="240" w:lineRule="auto"/>
        <w:jc w:val="center"/>
        <w:rPr>
          <w:b/>
          <w:bCs/>
          <w:sz w:val="24"/>
          <w:szCs w:val="24"/>
          <w:lang w:val="en-GB"/>
        </w:rPr>
      </w:pPr>
    </w:p>
    <w:p w14:paraId="2F6AB443" w14:textId="77777777" w:rsidR="001B6272" w:rsidRDefault="001B6272" w:rsidP="00AF6448">
      <w:pPr>
        <w:spacing w:after="0" w:line="240" w:lineRule="auto"/>
        <w:jc w:val="center"/>
        <w:rPr>
          <w:b/>
          <w:bCs/>
          <w:sz w:val="24"/>
          <w:szCs w:val="24"/>
          <w:lang w:val="en-GB"/>
        </w:rPr>
      </w:pPr>
    </w:p>
    <w:p w14:paraId="25BFA032" w14:textId="77777777" w:rsidR="001B6272" w:rsidRDefault="001B6272" w:rsidP="00AF6448">
      <w:pPr>
        <w:spacing w:after="0" w:line="240" w:lineRule="auto"/>
        <w:jc w:val="center"/>
        <w:rPr>
          <w:b/>
          <w:bCs/>
          <w:sz w:val="24"/>
          <w:szCs w:val="24"/>
          <w:lang w:val="en-GB"/>
        </w:rPr>
      </w:pPr>
    </w:p>
    <w:p w14:paraId="702A31A8" w14:textId="77777777" w:rsidR="001B6272" w:rsidRDefault="001B6272" w:rsidP="00AF6448">
      <w:pPr>
        <w:spacing w:after="0" w:line="240" w:lineRule="auto"/>
        <w:jc w:val="center"/>
        <w:rPr>
          <w:b/>
          <w:bCs/>
          <w:sz w:val="24"/>
          <w:szCs w:val="24"/>
          <w:lang w:val="en-GB"/>
        </w:rPr>
      </w:pPr>
    </w:p>
    <w:p w14:paraId="6876E6F9" w14:textId="77777777" w:rsidR="001B6272" w:rsidRDefault="001B6272" w:rsidP="00AF6448">
      <w:pPr>
        <w:spacing w:after="0" w:line="240" w:lineRule="auto"/>
        <w:jc w:val="center"/>
        <w:rPr>
          <w:b/>
          <w:bCs/>
          <w:sz w:val="24"/>
          <w:szCs w:val="24"/>
          <w:lang w:val="en-GB"/>
        </w:rPr>
      </w:pPr>
    </w:p>
    <w:p w14:paraId="59A14025" w14:textId="77777777" w:rsidR="001B6272" w:rsidRDefault="001B6272" w:rsidP="00AF6448">
      <w:pPr>
        <w:spacing w:after="0" w:line="240" w:lineRule="auto"/>
        <w:jc w:val="center"/>
        <w:rPr>
          <w:b/>
          <w:bCs/>
          <w:sz w:val="24"/>
          <w:szCs w:val="24"/>
          <w:lang w:val="en-GB"/>
        </w:rPr>
      </w:pPr>
    </w:p>
    <w:p w14:paraId="047DB02B" w14:textId="77777777" w:rsidR="00AF6448" w:rsidRDefault="00AF6448" w:rsidP="00AF6448">
      <w:pPr>
        <w:spacing w:after="0" w:line="240" w:lineRule="auto"/>
        <w:jc w:val="center"/>
        <w:rPr>
          <w:b/>
          <w:bCs/>
          <w:sz w:val="24"/>
          <w:szCs w:val="24"/>
          <w:lang w:val="en-GB"/>
        </w:rPr>
      </w:pPr>
    </w:p>
    <w:sdt>
      <w:sdtPr>
        <w:rPr>
          <w:rFonts w:ascii="Calibri" w:eastAsia="Calibri" w:hAnsi="Calibri" w:cs="Times New Roman"/>
          <w:color w:val="auto"/>
          <w:sz w:val="22"/>
          <w:szCs w:val="22"/>
          <w:lang w:val="de-DE"/>
        </w:rPr>
        <w:id w:val="1065303247"/>
        <w:docPartObj>
          <w:docPartGallery w:val="Table of Contents"/>
          <w:docPartUnique/>
        </w:docPartObj>
      </w:sdtPr>
      <w:sdtEndPr>
        <w:rPr>
          <w:b/>
          <w:bCs/>
          <w:noProof/>
        </w:rPr>
      </w:sdtEndPr>
      <w:sdtContent>
        <w:p w14:paraId="06A1808A" w14:textId="77777777" w:rsidR="00076417" w:rsidRDefault="00076417">
          <w:pPr>
            <w:pStyle w:val="TOCHeading"/>
          </w:pPr>
          <w:r>
            <w:t>Contents</w:t>
          </w:r>
        </w:p>
        <w:p w14:paraId="25A045B9" w14:textId="04D0472A" w:rsidR="00930313" w:rsidRDefault="00076417">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"1-3" \h \z \u </w:instrText>
          </w:r>
          <w:r>
            <w:fldChar w:fldCharType="separate"/>
          </w:r>
          <w:hyperlink w:anchor="_Toc169258879" w:history="1">
            <w:r w:rsidR="00930313" w:rsidRPr="00B51E28">
              <w:rPr>
                <w:rStyle w:val="Hyperlink"/>
                <w:noProof/>
                <w:lang w:val="en-GB"/>
              </w:rPr>
              <w:t>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Executive summary</w:t>
            </w:r>
            <w:r w:rsidR="00930313">
              <w:rPr>
                <w:noProof/>
                <w:webHidden/>
              </w:rPr>
              <w:tab/>
            </w:r>
            <w:r w:rsidR="00930313">
              <w:rPr>
                <w:noProof/>
                <w:webHidden/>
              </w:rPr>
              <w:fldChar w:fldCharType="begin"/>
            </w:r>
            <w:r w:rsidR="00930313">
              <w:rPr>
                <w:noProof/>
                <w:webHidden/>
              </w:rPr>
              <w:instrText xml:space="preserve"> PAGEREF _Toc169258879 \h </w:instrText>
            </w:r>
            <w:r w:rsidR="00930313">
              <w:rPr>
                <w:noProof/>
                <w:webHidden/>
              </w:rPr>
            </w:r>
            <w:r w:rsidR="00930313">
              <w:rPr>
                <w:noProof/>
                <w:webHidden/>
              </w:rPr>
              <w:fldChar w:fldCharType="separate"/>
            </w:r>
            <w:r w:rsidR="00930313">
              <w:rPr>
                <w:noProof/>
                <w:webHidden/>
              </w:rPr>
              <w:t>10</w:t>
            </w:r>
            <w:r w:rsidR="00930313">
              <w:rPr>
                <w:noProof/>
                <w:webHidden/>
              </w:rPr>
              <w:fldChar w:fldCharType="end"/>
            </w:r>
          </w:hyperlink>
        </w:p>
        <w:p w14:paraId="109F8E05" w14:textId="7AFF8911"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0" w:history="1">
            <w:r w:rsidR="00930313" w:rsidRPr="00B51E28">
              <w:rPr>
                <w:rStyle w:val="Hyperlink"/>
                <w:noProof/>
                <w:lang w:val="en-GB"/>
              </w:rPr>
              <w:t>1.1.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Market definitions</w:t>
            </w:r>
            <w:r w:rsidR="00930313">
              <w:rPr>
                <w:noProof/>
                <w:webHidden/>
              </w:rPr>
              <w:tab/>
            </w:r>
            <w:r w:rsidR="00930313">
              <w:rPr>
                <w:noProof/>
                <w:webHidden/>
              </w:rPr>
              <w:fldChar w:fldCharType="begin"/>
            </w:r>
            <w:r w:rsidR="00930313">
              <w:rPr>
                <w:noProof/>
                <w:webHidden/>
              </w:rPr>
              <w:instrText xml:space="preserve"> PAGEREF _Toc169258880 \h </w:instrText>
            </w:r>
            <w:r w:rsidR="00930313">
              <w:rPr>
                <w:noProof/>
                <w:webHidden/>
              </w:rPr>
            </w:r>
            <w:r w:rsidR="00930313">
              <w:rPr>
                <w:noProof/>
                <w:webHidden/>
              </w:rPr>
              <w:fldChar w:fldCharType="separate"/>
            </w:r>
            <w:r w:rsidR="00930313">
              <w:rPr>
                <w:noProof/>
                <w:webHidden/>
              </w:rPr>
              <w:t>10</w:t>
            </w:r>
            <w:r w:rsidR="00930313">
              <w:rPr>
                <w:noProof/>
                <w:webHidden/>
              </w:rPr>
              <w:fldChar w:fldCharType="end"/>
            </w:r>
          </w:hyperlink>
        </w:p>
        <w:p w14:paraId="5418180D" w14:textId="4FB93BBE"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1" w:history="1">
            <w:r w:rsidR="00930313" w:rsidRPr="00B51E28">
              <w:rPr>
                <w:rStyle w:val="Hyperlink"/>
                <w:noProof/>
                <w:lang w:val="en-GB"/>
              </w:rPr>
              <w:t>1.2.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Assessment of significant market power</w:t>
            </w:r>
            <w:r w:rsidR="00930313">
              <w:rPr>
                <w:noProof/>
                <w:webHidden/>
              </w:rPr>
              <w:tab/>
            </w:r>
            <w:r w:rsidR="00930313">
              <w:rPr>
                <w:noProof/>
                <w:webHidden/>
              </w:rPr>
              <w:fldChar w:fldCharType="begin"/>
            </w:r>
            <w:r w:rsidR="00930313">
              <w:rPr>
                <w:noProof/>
                <w:webHidden/>
              </w:rPr>
              <w:instrText xml:space="preserve"> PAGEREF _Toc169258881 \h </w:instrText>
            </w:r>
            <w:r w:rsidR="00930313">
              <w:rPr>
                <w:noProof/>
                <w:webHidden/>
              </w:rPr>
            </w:r>
            <w:r w:rsidR="00930313">
              <w:rPr>
                <w:noProof/>
                <w:webHidden/>
              </w:rPr>
              <w:fldChar w:fldCharType="separate"/>
            </w:r>
            <w:r w:rsidR="00930313">
              <w:rPr>
                <w:noProof/>
                <w:webHidden/>
              </w:rPr>
              <w:t>11</w:t>
            </w:r>
            <w:r w:rsidR="00930313">
              <w:rPr>
                <w:noProof/>
                <w:webHidden/>
              </w:rPr>
              <w:fldChar w:fldCharType="end"/>
            </w:r>
          </w:hyperlink>
        </w:p>
        <w:p w14:paraId="3B5F9A71" w14:textId="29271F96"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2" w:history="1">
            <w:r w:rsidR="00930313" w:rsidRPr="00B51E28">
              <w:rPr>
                <w:rStyle w:val="Hyperlink"/>
                <w:noProof/>
                <w:lang w:val="en-GB"/>
              </w:rPr>
              <w:t>1.3.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The required regulatory remedies</w:t>
            </w:r>
            <w:r w:rsidR="00930313">
              <w:rPr>
                <w:noProof/>
                <w:webHidden/>
              </w:rPr>
              <w:tab/>
            </w:r>
            <w:r w:rsidR="00930313">
              <w:rPr>
                <w:noProof/>
                <w:webHidden/>
              </w:rPr>
              <w:fldChar w:fldCharType="begin"/>
            </w:r>
            <w:r w:rsidR="00930313">
              <w:rPr>
                <w:noProof/>
                <w:webHidden/>
              </w:rPr>
              <w:instrText xml:space="preserve"> PAGEREF _Toc169258882 \h </w:instrText>
            </w:r>
            <w:r w:rsidR="00930313">
              <w:rPr>
                <w:noProof/>
                <w:webHidden/>
              </w:rPr>
            </w:r>
            <w:r w:rsidR="00930313">
              <w:rPr>
                <w:noProof/>
                <w:webHidden/>
              </w:rPr>
              <w:fldChar w:fldCharType="separate"/>
            </w:r>
            <w:r w:rsidR="00930313">
              <w:rPr>
                <w:noProof/>
                <w:webHidden/>
              </w:rPr>
              <w:t>12</w:t>
            </w:r>
            <w:r w:rsidR="00930313">
              <w:rPr>
                <w:noProof/>
                <w:webHidden/>
              </w:rPr>
              <w:fldChar w:fldCharType="end"/>
            </w:r>
          </w:hyperlink>
        </w:p>
        <w:p w14:paraId="5DB4B438" w14:textId="1A8EA461"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8883" w:history="1">
            <w:r w:rsidR="00930313" w:rsidRPr="00B51E28">
              <w:rPr>
                <w:rStyle w:val="Hyperlink"/>
                <w:noProof/>
                <w:lang w:val="en-GB"/>
              </w:rPr>
              <w:t>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Description of the legal framework related to market analysis and market analysis process in Georgia</w:t>
            </w:r>
            <w:r w:rsidR="00930313">
              <w:rPr>
                <w:noProof/>
                <w:webHidden/>
              </w:rPr>
              <w:tab/>
            </w:r>
            <w:r w:rsidR="00930313">
              <w:rPr>
                <w:noProof/>
                <w:webHidden/>
              </w:rPr>
              <w:fldChar w:fldCharType="begin"/>
            </w:r>
            <w:r w:rsidR="00930313">
              <w:rPr>
                <w:noProof/>
                <w:webHidden/>
              </w:rPr>
              <w:instrText xml:space="preserve"> PAGEREF _Toc169258883 \h </w:instrText>
            </w:r>
            <w:r w:rsidR="00930313">
              <w:rPr>
                <w:noProof/>
                <w:webHidden/>
              </w:rPr>
            </w:r>
            <w:r w:rsidR="00930313">
              <w:rPr>
                <w:noProof/>
                <w:webHidden/>
              </w:rPr>
              <w:fldChar w:fldCharType="separate"/>
            </w:r>
            <w:r w:rsidR="00930313">
              <w:rPr>
                <w:noProof/>
                <w:webHidden/>
              </w:rPr>
              <w:t>15</w:t>
            </w:r>
            <w:r w:rsidR="00930313">
              <w:rPr>
                <w:noProof/>
                <w:webHidden/>
              </w:rPr>
              <w:fldChar w:fldCharType="end"/>
            </w:r>
          </w:hyperlink>
        </w:p>
        <w:p w14:paraId="7872BA02" w14:textId="201162B9"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4" w:history="1">
            <w:r w:rsidR="00930313" w:rsidRPr="00B51E28">
              <w:rPr>
                <w:rStyle w:val="Hyperlink"/>
                <w:noProof/>
                <w:lang w:val="en-GB"/>
              </w:rPr>
              <w:t>2.1.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The Association agreement</w:t>
            </w:r>
            <w:r w:rsidR="00930313">
              <w:rPr>
                <w:noProof/>
                <w:webHidden/>
              </w:rPr>
              <w:tab/>
            </w:r>
            <w:r w:rsidR="00930313">
              <w:rPr>
                <w:noProof/>
                <w:webHidden/>
              </w:rPr>
              <w:fldChar w:fldCharType="begin"/>
            </w:r>
            <w:r w:rsidR="00930313">
              <w:rPr>
                <w:noProof/>
                <w:webHidden/>
              </w:rPr>
              <w:instrText xml:space="preserve"> PAGEREF _Toc169258884 \h </w:instrText>
            </w:r>
            <w:r w:rsidR="00930313">
              <w:rPr>
                <w:noProof/>
                <w:webHidden/>
              </w:rPr>
            </w:r>
            <w:r w:rsidR="00930313">
              <w:rPr>
                <w:noProof/>
                <w:webHidden/>
              </w:rPr>
              <w:fldChar w:fldCharType="separate"/>
            </w:r>
            <w:r w:rsidR="00930313">
              <w:rPr>
                <w:noProof/>
                <w:webHidden/>
              </w:rPr>
              <w:t>15</w:t>
            </w:r>
            <w:r w:rsidR="00930313">
              <w:rPr>
                <w:noProof/>
                <w:webHidden/>
              </w:rPr>
              <w:fldChar w:fldCharType="end"/>
            </w:r>
          </w:hyperlink>
        </w:p>
        <w:p w14:paraId="6456CD9E" w14:textId="53839555"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5" w:history="1">
            <w:r w:rsidR="00930313" w:rsidRPr="00B51E28">
              <w:rPr>
                <w:rStyle w:val="Hyperlink"/>
                <w:noProof/>
                <w:lang w:val="en-GB"/>
              </w:rPr>
              <w:t>2.2.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Applicable provisions from the Georgian ‘Law on Electronic Communications’</w:t>
            </w:r>
            <w:r w:rsidR="00930313">
              <w:rPr>
                <w:noProof/>
                <w:webHidden/>
              </w:rPr>
              <w:tab/>
            </w:r>
            <w:r w:rsidR="00930313">
              <w:rPr>
                <w:noProof/>
                <w:webHidden/>
              </w:rPr>
              <w:fldChar w:fldCharType="begin"/>
            </w:r>
            <w:r w:rsidR="00930313">
              <w:rPr>
                <w:noProof/>
                <w:webHidden/>
              </w:rPr>
              <w:instrText xml:space="preserve"> PAGEREF _Toc169258885 \h </w:instrText>
            </w:r>
            <w:r w:rsidR="00930313">
              <w:rPr>
                <w:noProof/>
                <w:webHidden/>
              </w:rPr>
            </w:r>
            <w:r w:rsidR="00930313">
              <w:rPr>
                <w:noProof/>
                <w:webHidden/>
              </w:rPr>
              <w:fldChar w:fldCharType="separate"/>
            </w:r>
            <w:r w:rsidR="00930313">
              <w:rPr>
                <w:noProof/>
                <w:webHidden/>
              </w:rPr>
              <w:t>17</w:t>
            </w:r>
            <w:r w:rsidR="00930313">
              <w:rPr>
                <w:noProof/>
                <w:webHidden/>
              </w:rPr>
              <w:fldChar w:fldCharType="end"/>
            </w:r>
          </w:hyperlink>
        </w:p>
        <w:p w14:paraId="711B2001" w14:textId="1A58E5AE"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6" w:history="1">
            <w:r w:rsidR="00930313" w:rsidRPr="00B51E28">
              <w:rPr>
                <w:rStyle w:val="Hyperlink"/>
                <w:noProof/>
                <w:lang w:val="en-GB"/>
              </w:rPr>
              <w:t>2.3.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Main divergences between the ‘Law of Georgia on Electronic Communications’ and the EU Framework</w:t>
            </w:r>
            <w:r w:rsidR="00930313">
              <w:rPr>
                <w:noProof/>
                <w:webHidden/>
              </w:rPr>
              <w:tab/>
            </w:r>
            <w:r w:rsidR="00930313">
              <w:rPr>
                <w:noProof/>
                <w:webHidden/>
              </w:rPr>
              <w:fldChar w:fldCharType="begin"/>
            </w:r>
            <w:r w:rsidR="00930313">
              <w:rPr>
                <w:noProof/>
                <w:webHidden/>
              </w:rPr>
              <w:instrText xml:space="preserve"> PAGEREF _Toc169258886 \h </w:instrText>
            </w:r>
            <w:r w:rsidR="00930313">
              <w:rPr>
                <w:noProof/>
                <w:webHidden/>
              </w:rPr>
            </w:r>
            <w:r w:rsidR="00930313">
              <w:rPr>
                <w:noProof/>
                <w:webHidden/>
              </w:rPr>
              <w:fldChar w:fldCharType="separate"/>
            </w:r>
            <w:r w:rsidR="00930313">
              <w:rPr>
                <w:noProof/>
                <w:webHidden/>
              </w:rPr>
              <w:t>20</w:t>
            </w:r>
            <w:r w:rsidR="00930313">
              <w:rPr>
                <w:noProof/>
                <w:webHidden/>
              </w:rPr>
              <w:fldChar w:fldCharType="end"/>
            </w:r>
          </w:hyperlink>
        </w:p>
        <w:p w14:paraId="38A7BF00" w14:textId="26BFD69D"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7" w:history="1">
            <w:r w:rsidR="00930313" w:rsidRPr="00B51E28">
              <w:rPr>
                <w:rStyle w:val="Hyperlink"/>
                <w:noProof/>
                <w:lang w:val="en-GB"/>
              </w:rPr>
              <w:t>2.3.1.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Joint dominance is not (yet) clearly distinguished from collusion.</w:t>
            </w:r>
            <w:r w:rsidR="00930313">
              <w:rPr>
                <w:noProof/>
                <w:webHidden/>
              </w:rPr>
              <w:tab/>
            </w:r>
            <w:r w:rsidR="00930313">
              <w:rPr>
                <w:noProof/>
                <w:webHidden/>
              </w:rPr>
              <w:fldChar w:fldCharType="begin"/>
            </w:r>
            <w:r w:rsidR="00930313">
              <w:rPr>
                <w:noProof/>
                <w:webHidden/>
              </w:rPr>
              <w:instrText xml:space="preserve"> PAGEREF _Toc169258887 \h </w:instrText>
            </w:r>
            <w:r w:rsidR="00930313">
              <w:rPr>
                <w:noProof/>
                <w:webHidden/>
              </w:rPr>
            </w:r>
            <w:r w:rsidR="00930313">
              <w:rPr>
                <w:noProof/>
                <w:webHidden/>
              </w:rPr>
              <w:fldChar w:fldCharType="separate"/>
            </w:r>
            <w:r w:rsidR="00930313">
              <w:rPr>
                <w:noProof/>
                <w:webHidden/>
              </w:rPr>
              <w:t>20</w:t>
            </w:r>
            <w:r w:rsidR="00930313">
              <w:rPr>
                <w:noProof/>
                <w:webHidden/>
              </w:rPr>
              <w:fldChar w:fldCharType="end"/>
            </w:r>
          </w:hyperlink>
        </w:p>
        <w:p w14:paraId="16572790" w14:textId="44ABA86F"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8" w:history="1">
            <w:r w:rsidR="00930313" w:rsidRPr="00B51E28">
              <w:rPr>
                <w:rStyle w:val="Hyperlink"/>
                <w:noProof/>
                <w:lang w:val="en-GB"/>
              </w:rPr>
              <w:t>2.3.2.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Regulation of closely-related segments of a service market</w:t>
            </w:r>
            <w:r w:rsidR="00930313">
              <w:rPr>
                <w:noProof/>
                <w:webHidden/>
              </w:rPr>
              <w:tab/>
            </w:r>
            <w:r w:rsidR="00930313">
              <w:rPr>
                <w:noProof/>
                <w:webHidden/>
              </w:rPr>
              <w:fldChar w:fldCharType="begin"/>
            </w:r>
            <w:r w:rsidR="00930313">
              <w:rPr>
                <w:noProof/>
                <w:webHidden/>
              </w:rPr>
              <w:instrText xml:space="preserve"> PAGEREF _Toc169258888 \h </w:instrText>
            </w:r>
            <w:r w:rsidR="00930313">
              <w:rPr>
                <w:noProof/>
                <w:webHidden/>
              </w:rPr>
            </w:r>
            <w:r w:rsidR="00930313">
              <w:rPr>
                <w:noProof/>
                <w:webHidden/>
              </w:rPr>
              <w:fldChar w:fldCharType="separate"/>
            </w:r>
            <w:r w:rsidR="00930313">
              <w:rPr>
                <w:noProof/>
                <w:webHidden/>
              </w:rPr>
              <w:t>21</w:t>
            </w:r>
            <w:r w:rsidR="00930313">
              <w:rPr>
                <w:noProof/>
                <w:webHidden/>
              </w:rPr>
              <w:fldChar w:fldCharType="end"/>
            </w:r>
          </w:hyperlink>
        </w:p>
        <w:p w14:paraId="28957A82" w14:textId="0D447340"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889" w:history="1">
            <w:r w:rsidR="00930313" w:rsidRPr="00B51E28">
              <w:rPr>
                <w:rStyle w:val="Hyperlink"/>
                <w:rFonts w:cstheme="minorHAnsi"/>
                <w:noProof/>
                <w:lang w:val="en-GB"/>
              </w:rPr>
              <w:t>2.4.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The successive steps of the market review process in Georgia</w:t>
            </w:r>
            <w:r w:rsidR="00930313">
              <w:rPr>
                <w:noProof/>
                <w:webHidden/>
              </w:rPr>
              <w:tab/>
            </w:r>
            <w:r w:rsidR="00930313">
              <w:rPr>
                <w:noProof/>
                <w:webHidden/>
              </w:rPr>
              <w:fldChar w:fldCharType="begin"/>
            </w:r>
            <w:r w:rsidR="00930313">
              <w:rPr>
                <w:noProof/>
                <w:webHidden/>
              </w:rPr>
              <w:instrText xml:space="preserve"> PAGEREF _Toc169258889 \h </w:instrText>
            </w:r>
            <w:r w:rsidR="00930313">
              <w:rPr>
                <w:noProof/>
                <w:webHidden/>
              </w:rPr>
            </w:r>
            <w:r w:rsidR="00930313">
              <w:rPr>
                <w:noProof/>
                <w:webHidden/>
              </w:rPr>
              <w:fldChar w:fldCharType="separate"/>
            </w:r>
            <w:r w:rsidR="00930313">
              <w:rPr>
                <w:noProof/>
                <w:webHidden/>
              </w:rPr>
              <w:t>22</w:t>
            </w:r>
            <w:r w:rsidR="00930313">
              <w:rPr>
                <w:noProof/>
                <w:webHidden/>
              </w:rPr>
              <w:fldChar w:fldCharType="end"/>
            </w:r>
          </w:hyperlink>
        </w:p>
        <w:p w14:paraId="098993BD" w14:textId="116581D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0" w:history="1">
            <w:r w:rsidR="00930313" w:rsidRPr="00B51E28">
              <w:rPr>
                <w:rStyle w:val="Hyperlink"/>
                <w:rFonts w:cstheme="minorHAnsi"/>
                <w:noProof/>
                <w:lang w:val="en-GB"/>
              </w:rPr>
              <w:t>2.4.1.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Applicable legal provisions</w:t>
            </w:r>
            <w:r w:rsidR="00930313">
              <w:rPr>
                <w:noProof/>
                <w:webHidden/>
              </w:rPr>
              <w:tab/>
            </w:r>
            <w:r w:rsidR="00930313">
              <w:rPr>
                <w:noProof/>
                <w:webHidden/>
              </w:rPr>
              <w:fldChar w:fldCharType="begin"/>
            </w:r>
            <w:r w:rsidR="00930313">
              <w:rPr>
                <w:noProof/>
                <w:webHidden/>
              </w:rPr>
              <w:instrText xml:space="preserve"> PAGEREF _Toc169258890 \h </w:instrText>
            </w:r>
            <w:r w:rsidR="00930313">
              <w:rPr>
                <w:noProof/>
                <w:webHidden/>
              </w:rPr>
            </w:r>
            <w:r w:rsidR="00930313">
              <w:rPr>
                <w:noProof/>
                <w:webHidden/>
              </w:rPr>
              <w:fldChar w:fldCharType="separate"/>
            </w:r>
            <w:r w:rsidR="00930313">
              <w:rPr>
                <w:noProof/>
                <w:webHidden/>
              </w:rPr>
              <w:t>22</w:t>
            </w:r>
            <w:r w:rsidR="00930313">
              <w:rPr>
                <w:noProof/>
                <w:webHidden/>
              </w:rPr>
              <w:fldChar w:fldCharType="end"/>
            </w:r>
          </w:hyperlink>
        </w:p>
        <w:p w14:paraId="7DF56A36" w14:textId="71FDCF44"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1" w:history="1">
            <w:r w:rsidR="00930313" w:rsidRPr="00B51E28">
              <w:rPr>
                <w:rStyle w:val="Hyperlink"/>
                <w:rFonts w:cstheme="minorHAnsi"/>
                <w:noProof/>
                <w:lang w:val="en-GB"/>
              </w:rPr>
              <w:t>2.4.2.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First step: Determining the relevant and closely-related markets and appropriate geographic boundaries of the market.</w:t>
            </w:r>
            <w:r w:rsidR="00930313">
              <w:rPr>
                <w:noProof/>
                <w:webHidden/>
              </w:rPr>
              <w:tab/>
            </w:r>
            <w:r w:rsidR="00930313">
              <w:rPr>
                <w:noProof/>
                <w:webHidden/>
              </w:rPr>
              <w:fldChar w:fldCharType="begin"/>
            </w:r>
            <w:r w:rsidR="00930313">
              <w:rPr>
                <w:noProof/>
                <w:webHidden/>
              </w:rPr>
              <w:instrText xml:space="preserve"> PAGEREF _Toc169258891 \h </w:instrText>
            </w:r>
            <w:r w:rsidR="00930313">
              <w:rPr>
                <w:noProof/>
                <w:webHidden/>
              </w:rPr>
            </w:r>
            <w:r w:rsidR="00930313">
              <w:rPr>
                <w:noProof/>
                <w:webHidden/>
              </w:rPr>
              <w:fldChar w:fldCharType="separate"/>
            </w:r>
            <w:r w:rsidR="00930313">
              <w:rPr>
                <w:noProof/>
                <w:webHidden/>
              </w:rPr>
              <w:t>23</w:t>
            </w:r>
            <w:r w:rsidR="00930313">
              <w:rPr>
                <w:noProof/>
                <w:webHidden/>
              </w:rPr>
              <w:fldChar w:fldCharType="end"/>
            </w:r>
          </w:hyperlink>
        </w:p>
        <w:p w14:paraId="4AF88E6E" w14:textId="13741E4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2" w:history="1">
            <w:r w:rsidR="00930313" w:rsidRPr="00B51E28">
              <w:rPr>
                <w:rStyle w:val="Hyperlink"/>
                <w:rFonts w:cstheme="minorHAnsi"/>
                <w:noProof/>
                <w:lang w:val="en-GB"/>
              </w:rPr>
              <w:t>2.4.2.1.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Demand-side and supply-side substitution</w:t>
            </w:r>
            <w:r w:rsidR="00930313">
              <w:rPr>
                <w:noProof/>
                <w:webHidden/>
              </w:rPr>
              <w:tab/>
            </w:r>
            <w:r w:rsidR="00930313">
              <w:rPr>
                <w:noProof/>
                <w:webHidden/>
              </w:rPr>
              <w:fldChar w:fldCharType="begin"/>
            </w:r>
            <w:r w:rsidR="00930313">
              <w:rPr>
                <w:noProof/>
                <w:webHidden/>
              </w:rPr>
              <w:instrText xml:space="preserve"> PAGEREF _Toc169258892 \h </w:instrText>
            </w:r>
            <w:r w:rsidR="00930313">
              <w:rPr>
                <w:noProof/>
                <w:webHidden/>
              </w:rPr>
            </w:r>
            <w:r w:rsidR="00930313">
              <w:rPr>
                <w:noProof/>
                <w:webHidden/>
              </w:rPr>
              <w:fldChar w:fldCharType="separate"/>
            </w:r>
            <w:r w:rsidR="00930313">
              <w:rPr>
                <w:noProof/>
                <w:webHidden/>
              </w:rPr>
              <w:t>24</w:t>
            </w:r>
            <w:r w:rsidR="00930313">
              <w:rPr>
                <w:noProof/>
                <w:webHidden/>
              </w:rPr>
              <w:fldChar w:fldCharType="end"/>
            </w:r>
          </w:hyperlink>
        </w:p>
        <w:p w14:paraId="3C7CF2B2" w14:textId="4627565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3" w:history="1">
            <w:r w:rsidR="00930313" w:rsidRPr="00B51E28">
              <w:rPr>
                <w:rStyle w:val="Hyperlink"/>
                <w:rFonts w:cstheme="minorHAnsi"/>
                <w:noProof/>
                <w:lang w:val="en-GB"/>
              </w:rPr>
              <w:t>2.4.2.2.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Geographic market definition</w:t>
            </w:r>
            <w:r w:rsidR="00930313">
              <w:rPr>
                <w:noProof/>
                <w:webHidden/>
              </w:rPr>
              <w:tab/>
            </w:r>
            <w:r w:rsidR="00930313">
              <w:rPr>
                <w:noProof/>
                <w:webHidden/>
              </w:rPr>
              <w:fldChar w:fldCharType="begin"/>
            </w:r>
            <w:r w:rsidR="00930313">
              <w:rPr>
                <w:noProof/>
                <w:webHidden/>
              </w:rPr>
              <w:instrText xml:space="preserve"> PAGEREF _Toc169258893 \h </w:instrText>
            </w:r>
            <w:r w:rsidR="00930313">
              <w:rPr>
                <w:noProof/>
                <w:webHidden/>
              </w:rPr>
            </w:r>
            <w:r w:rsidR="00930313">
              <w:rPr>
                <w:noProof/>
                <w:webHidden/>
              </w:rPr>
              <w:fldChar w:fldCharType="separate"/>
            </w:r>
            <w:r w:rsidR="00930313">
              <w:rPr>
                <w:noProof/>
                <w:webHidden/>
              </w:rPr>
              <w:t>24</w:t>
            </w:r>
            <w:r w:rsidR="00930313">
              <w:rPr>
                <w:noProof/>
                <w:webHidden/>
              </w:rPr>
              <w:fldChar w:fldCharType="end"/>
            </w:r>
          </w:hyperlink>
        </w:p>
        <w:p w14:paraId="20775D40" w14:textId="232DFF6C"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4" w:history="1">
            <w:r w:rsidR="00930313" w:rsidRPr="00B51E28">
              <w:rPr>
                <w:rStyle w:val="Hyperlink"/>
                <w:rFonts w:cstheme="minorHAnsi"/>
                <w:noProof/>
                <w:lang w:val="en-GB"/>
              </w:rPr>
              <w:t>2.4.3.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Second step: Determining whether the relevant retail market is competitive</w:t>
            </w:r>
            <w:r w:rsidR="00930313">
              <w:rPr>
                <w:noProof/>
                <w:webHidden/>
              </w:rPr>
              <w:tab/>
            </w:r>
            <w:r w:rsidR="00930313">
              <w:rPr>
                <w:noProof/>
                <w:webHidden/>
              </w:rPr>
              <w:fldChar w:fldCharType="begin"/>
            </w:r>
            <w:r w:rsidR="00930313">
              <w:rPr>
                <w:noProof/>
                <w:webHidden/>
              </w:rPr>
              <w:instrText xml:space="preserve"> PAGEREF _Toc169258894 \h </w:instrText>
            </w:r>
            <w:r w:rsidR="00930313">
              <w:rPr>
                <w:noProof/>
                <w:webHidden/>
              </w:rPr>
            </w:r>
            <w:r w:rsidR="00930313">
              <w:rPr>
                <w:noProof/>
                <w:webHidden/>
              </w:rPr>
              <w:fldChar w:fldCharType="separate"/>
            </w:r>
            <w:r w:rsidR="00930313">
              <w:rPr>
                <w:noProof/>
                <w:webHidden/>
              </w:rPr>
              <w:t>24</w:t>
            </w:r>
            <w:r w:rsidR="00930313">
              <w:rPr>
                <w:noProof/>
                <w:webHidden/>
              </w:rPr>
              <w:fldChar w:fldCharType="end"/>
            </w:r>
          </w:hyperlink>
        </w:p>
        <w:p w14:paraId="1E4117C6" w14:textId="102C0F7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5" w:history="1">
            <w:r w:rsidR="00930313" w:rsidRPr="00B51E28">
              <w:rPr>
                <w:rStyle w:val="Hyperlink"/>
                <w:rFonts w:cstheme="minorHAnsi"/>
                <w:noProof/>
                <w:lang w:val="en-GB"/>
              </w:rPr>
              <w:t>2.4.4.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Third step: Identifying wholesale markets for which regulatory intervention is appropriate to address the lack of competition in the retail market being investigated.</w:t>
            </w:r>
            <w:r w:rsidR="00930313">
              <w:rPr>
                <w:noProof/>
                <w:webHidden/>
              </w:rPr>
              <w:tab/>
            </w:r>
            <w:r w:rsidR="00930313">
              <w:rPr>
                <w:noProof/>
                <w:webHidden/>
              </w:rPr>
              <w:fldChar w:fldCharType="begin"/>
            </w:r>
            <w:r w:rsidR="00930313">
              <w:rPr>
                <w:noProof/>
                <w:webHidden/>
              </w:rPr>
              <w:instrText xml:space="preserve"> PAGEREF _Toc169258895 \h </w:instrText>
            </w:r>
            <w:r w:rsidR="00930313">
              <w:rPr>
                <w:noProof/>
                <w:webHidden/>
              </w:rPr>
            </w:r>
            <w:r w:rsidR="00930313">
              <w:rPr>
                <w:noProof/>
                <w:webHidden/>
              </w:rPr>
              <w:fldChar w:fldCharType="separate"/>
            </w:r>
            <w:r w:rsidR="00930313">
              <w:rPr>
                <w:noProof/>
                <w:webHidden/>
              </w:rPr>
              <w:t>24</w:t>
            </w:r>
            <w:r w:rsidR="00930313">
              <w:rPr>
                <w:noProof/>
                <w:webHidden/>
              </w:rPr>
              <w:fldChar w:fldCharType="end"/>
            </w:r>
          </w:hyperlink>
        </w:p>
        <w:p w14:paraId="4239D142" w14:textId="4EED9D8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6" w:history="1">
            <w:r w:rsidR="00930313" w:rsidRPr="00B51E28">
              <w:rPr>
                <w:rStyle w:val="Hyperlink"/>
                <w:rFonts w:cstheme="minorHAnsi"/>
                <w:noProof/>
                <w:lang w:val="en-GB"/>
              </w:rPr>
              <w:t>2.4.5.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Fourth step: The ‘Three Criteria Test’.</w:t>
            </w:r>
            <w:r w:rsidR="00930313">
              <w:rPr>
                <w:noProof/>
                <w:webHidden/>
              </w:rPr>
              <w:tab/>
            </w:r>
            <w:r w:rsidR="00930313">
              <w:rPr>
                <w:noProof/>
                <w:webHidden/>
              </w:rPr>
              <w:fldChar w:fldCharType="begin"/>
            </w:r>
            <w:r w:rsidR="00930313">
              <w:rPr>
                <w:noProof/>
                <w:webHidden/>
              </w:rPr>
              <w:instrText xml:space="preserve"> PAGEREF _Toc169258896 \h </w:instrText>
            </w:r>
            <w:r w:rsidR="00930313">
              <w:rPr>
                <w:noProof/>
                <w:webHidden/>
              </w:rPr>
            </w:r>
            <w:r w:rsidR="00930313">
              <w:rPr>
                <w:noProof/>
                <w:webHidden/>
              </w:rPr>
              <w:fldChar w:fldCharType="separate"/>
            </w:r>
            <w:r w:rsidR="00930313">
              <w:rPr>
                <w:noProof/>
                <w:webHidden/>
              </w:rPr>
              <w:t>25</w:t>
            </w:r>
            <w:r w:rsidR="00930313">
              <w:rPr>
                <w:noProof/>
                <w:webHidden/>
              </w:rPr>
              <w:fldChar w:fldCharType="end"/>
            </w:r>
          </w:hyperlink>
        </w:p>
        <w:p w14:paraId="3F1DB202" w14:textId="01ED3100"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7" w:history="1">
            <w:r w:rsidR="00930313" w:rsidRPr="00B51E28">
              <w:rPr>
                <w:rStyle w:val="Hyperlink"/>
                <w:rFonts w:cstheme="minorHAnsi"/>
                <w:noProof/>
                <w:lang w:val="en-GB"/>
              </w:rPr>
              <w:t>2.4.6.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Fifth step: Determining the authorised persons with significant market power in the relevant segment of the service market</w:t>
            </w:r>
            <w:r w:rsidR="00930313">
              <w:rPr>
                <w:noProof/>
                <w:webHidden/>
              </w:rPr>
              <w:tab/>
            </w:r>
            <w:r w:rsidR="00930313">
              <w:rPr>
                <w:noProof/>
                <w:webHidden/>
              </w:rPr>
              <w:fldChar w:fldCharType="begin"/>
            </w:r>
            <w:r w:rsidR="00930313">
              <w:rPr>
                <w:noProof/>
                <w:webHidden/>
              </w:rPr>
              <w:instrText xml:space="preserve"> PAGEREF _Toc169258897 \h </w:instrText>
            </w:r>
            <w:r w:rsidR="00930313">
              <w:rPr>
                <w:noProof/>
                <w:webHidden/>
              </w:rPr>
            </w:r>
            <w:r w:rsidR="00930313">
              <w:rPr>
                <w:noProof/>
                <w:webHidden/>
              </w:rPr>
              <w:fldChar w:fldCharType="separate"/>
            </w:r>
            <w:r w:rsidR="00930313">
              <w:rPr>
                <w:noProof/>
                <w:webHidden/>
              </w:rPr>
              <w:t>27</w:t>
            </w:r>
            <w:r w:rsidR="00930313">
              <w:rPr>
                <w:noProof/>
                <w:webHidden/>
              </w:rPr>
              <w:fldChar w:fldCharType="end"/>
            </w:r>
          </w:hyperlink>
        </w:p>
        <w:p w14:paraId="7142D92E" w14:textId="32B3F410"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898" w:history="1">
            <w:r w:rsidR="00930313" w:rsidRPr="00B51E28">
              <w:rPr>
                <w:rStyle w:val="Hyperlink"/>
                <w:rFonts w:cstheme="minorHAnsi"/>
                <w:noProof/>
                <w:lang w:val="en-GB"/>
              </w:rPr>
              <w:t>2.4.7.</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Sixth step: Imposition of specific obligations.</w:t>
            </w:r>
            <w:r w:rsidR="00930313">
              <w:rPr>
                <w:noProof/>
                <w:webHidden/>
              </w:rPr>
              <w:tab/>
            </w:r>
            <w:r w:rsidR="00930313">
              <w:rPr>
                <w:noProof/>
                <w:webHidden/>
              </w:rPr>
              <w:fldChar w:fldCharType="begin"/>
            </w:r>
            <w:r w:rsidR="00930313">
              <w:rPr>
                <w:noProof/>
                <w:webHidden/>
              </w:rPr>
              <w:instrText xml:space="preserve"> PAGEREF _Toc169258898 \h </w:instrText>
            </w:r>
            <w:r w:rsidR="00930313">
              <w:rPr>
                <w:noProof/>
                <w:webHidden/>
              </w:rPr>
            </w:r>
            <w:r w:rsidR="00930313">
              <w:rPr>
                <w:noProof/>
                <w:webHidden/>
              </w:rPr>
              <w:fldChar w:fldCharType="separate"/>
            </w:r>
            <w:r w:rsidR="00930313">
              <w:rPr>
                <w:noProof/>
                <w:webHidden/>
              </w:rPr>
              <w:t>28</w:t>
            </w:r>
            <w:r w:rsidR="00930313">
              <w:rPr>
                <w:noProof/>
                <w:webHidden/>
              </w:rPr>
              <w:fldChar w:fldCharType="end"/>
            </w:r>
          </w:hyperlink>
        </w:p>
        <w:p w14:paraId="2C92AD7A" w14:textId="30181B9A"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8899" w:history="1">
            <w:r w:rsidR="00930313" w:rsidRPr="00B51E28">
              <w:rPr>
                <w:rStyle w:val="Hyperlink"/>
                <w:noProof/>
                <w:lang w:val="en-GB"/>
              </w:rPr>
              <w:t>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Fixed broadband services</w:t>
            </w:r>
            <w:r w:rsidR="00930313">
              <w:rPr>
                <w:noProof/>
                <w:webHidden/>
              </w:rPr>
              <w:tab/>
            </w:r>
            <w:r w:rsidR="00930313">
              <w:rPr>
                <w:noProof/>
                <w:webHidden/>
              </w:rPr>
              <w:fldChar w:fldCharType="begin"/>
            </w:r>
            <w:r w:rsidR="00930313">
              <w:rPr>
                <w:noProof/>
                <w:webHidden/>
              </w:rPr>
              <w:instrText xml:space="preserve"> PAGEREF _Toc169258899 \h </w:instrText>
            </w:r>
            <w:r w:rsidR="00930313">
              <w:rPr>
                <w:noProof/>
                <w:webHidden/>
              </w:rPr>
            </w:r>
            <w:r w:rsidR="00930313">
              <w:rPr>
                <w:noProof/>
                <w:webHidden/>
              </w:rPr>
              <w:fldChar w:fldCharType="separate"/>
            </w:r>
            <w:r w:rsidR="00930313">
              <w:rPr>
                <w:noProof/>
                <w:webHidden/>
              </w:rPr>
              <w:t>29</w:t>
            </w:r>
            <w:r w:rsidR="00930313">
              <w:rPr>
                <w:noProof/>
                <w:webHidden/>
              </w:rPr>
              <w:fldChar w:fldCharType="end"/>
            </w:r>
          </w:hyperlink>
        </w:p>
        <w:p w14:paraId="1215ED3A" w14:textId="301ACEAE"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00" w:history="1">
            <w:r w:rsidR="00930313" w:rsidRPr="00B51E28">
              <w:rPr>
                <w:rStyle w:val="Hyperlink"/>
                <w:noProof/>
                <w:lang w:val="en-GB"/>
              </w:rPr>
              <w:t>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Overview of Georgia’s coverage with different fixed broadband technologies</w:t>
            </w:r>
            <w:r w:rsidR="00930313">
              <w:rPr>
                <w:noProof/>
                <w:webHidden/>
              </w:rPr>
              <w:tab/>
            </w:r>
            <w:r w:rsidR="00930313">
              <w:rPr>
                <w:noProof/>
                <w:webHidden/>
              </w:rPr>
              <w:fldChar w:fldCharType="begin"/>
            </w:r>
            <w:r w:rsidR="00930313">
              <w:rPr>
                <w:noProof/>
                <w:webHidden/>
              </w:rPr>
              <w:instrText xml:space="preserve"> PAGEREF _Toc169258900 \h </w:instrText>
            </w:r>
            <w:r w:rsidR="00930313">
              <w:rPr>
                <w:noProof/>
                <w:webHidden/>
              </w:rPr>
            </w:r>
            <w:r w:rsidR="00930313">
              <w:rPr>
                <w:noProof/>
                <w:webHidden/>
              </w:rPr>
              <w:fldChar w:fldCharType="separate"/>
            </w:r>
            <w:r w:rsidR="00930313">
              <w:rPr>
                <w:noProof/>
                <w:webHidden/>
              </w:rPr>
              <w:t>29</w:t>
            </w:r>
            <w:r w:rsidR="00930313">
              <w:rPr>
                <w:noProof/>
                <w:webHidden/>
              </w:rPr>
              <w:fldChar w:fldCharType="end"/>
            </w:r>
          </w:hyperlink>
        </w:p>
        <w:p w14:paraId="6E3A7D9E" w14:textId="459A1EE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1" w:history="1">
            <w:r w:rsidR="00930313" w:rsidRPr="00B51E28">
              <w:rPr>
                <w:rStyle w:val="Hyperlink"/>
                <w:rFonts w:cstheme="minorHAnsi"/>
                <w:noProof/>
                <w:lang w:val="en-GB"/>
              </w:rPr>
              <w:t>3.1.1.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Methodology</w:t>
            </w:r>
            <w:r w:rsidR="00930313">
              <w:rPr>
                <w:noProof/>
                <w:webHidden/>
              </w:rPr>
              <w:tab/>
            </w:r>
            <w:r w:rsidR="00930313">
              <w:rPr>
                <w:noProof/>
                <w:webHidden/>
              </w:rPr>
              <w:fldChar w:fldCharType="begin"/>
            </w:r>
            <w:r w:rsidR="00930313">
              <w:rPr>
                <w:noProof/>
                <w:webHidden/>
              </w:rPr>
              <w:instrText xml:space="preserve"> PAGEREF _Toc169258901 \h </w:instrText>
            </w:r>
            <w:r w:rsidR="00930313">
              <w:rPr>
                <w:noProof/>
                <w:webHidden/>
              </w:rPr>
            </w:r>
            <w:r w:rsidR="00930313">
              <w:rPr>
                <w:noProof/>
                <w:webHidden/>
              </w:rPr>
              <w:fldChar w:fldCharType="separate"/>
            </w:r>
            <w:r w:rsidR="00930313">
              <w:rPr>
                <w:noProof/>
                <w:webHidden/>
              </w:rPr>
              <w:t>29</w:t>
            </w:r>
            <w:r w:rsidR="00930313">
              <w:rPr>
                <w:noProof/>
                <w:webHidden/>
              </w:rPr>
              <w:fldChar w:fldCharType="end"/>
            </w:r>
          </w:hyperlink>
        </w:p>
        <w:p w14:paraId="54F21567" w14:textId="49808453"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2" w:history="1">
            <w:r w:rsidR="00930313" w:rsidRPr="00B51E28">
              <w:rPr>
                <w:rStyle w:val="Hyperlink"/>
                <w:rFonts w:cstheme="minorHAnsi"/>
                <w:noProof/>
                <w:lang w:val="en-GB"/>
              </w:rPr>
              <w:t>3.1.2.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General description of the geo-segmentation-analysis and its limitations</w:t>
            </w:r>
            <w:r w:rsidR="00930313">
              <w:rPr>
                <w:noProof/>
                <w:webHidden/>
              </w:rPr>
              <w:tab/>
            </w:r>
            <w:r w:rsidR="00930313">
              <w:rPr>
                <w:noProof/>
                <w:webHidden/>
              </w:rPr>
              <w:fldChar w:fldCharType="begin"/>
            </w:r>
            <w:r w:rsidR="00930313">
              <w:rPr>
                <w:noProof/>
                <w:webHidden/>
              </w:rPr>
              <w:instrText xml:space="preserve"> PAGEREF _Toc169258902 \h </w:instrText>
            </w:r>
            <w:r w:rsidR="00930313">
              <w:rPr>
                <w:noProof/>
                <w:webHidden/>
              </w:rPr>
            </w:r>
            <w:r w:rsidR="00930313">
              <w:rPr>
                <w:noProof/>
                <w:webHidden/>
              </w:rPr>
              <w:fldChar w:fldCharType="separate"/>
            </w:r>
            <w:r w:rsidR="00930313">
              <w:rPr>
                <w:noProof/>
                <w:webHidden/>
              </w:rPr>
              <w:t>32</w:t>
            </w:r>
            <w:r w:rsidR="00930313">
              <w:rPr>
                <w:noProof/>
                <w:webHidden/>
              </w:rPr>
              <w:fldChar w:fldCharType="end"/>
            </w:r>
          </w:hyperlink>
        </w:p>
        <w:p w14:paraId="662BE5C2" w14:textId="0F056479"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3" w:history="1">
            <w:r w:rsidR="00930313" w:rsidRPr="00B51E28">
              <w:rPr>
                <w:rStyle w:val="Hyperlink"/>
                <w:rFonts w:cstheme="minorHAnsi"/>
                <w:noProof/>
                <w:lang w:val="en-GB"/>
              </w:rPr>
              <w:t>3.1.2.1.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The methodology used for this analysis</w:t>
            </w:r>
            <w:r w:rsidR="00930313">
              <w:rPr>
                <w:noProof/>
                <w:webHidden/>
              </w:rPr>
              <w:tab/>
            </w:r>
            <w:r w:rsidR="00930313">
              <w:rPr>
                <w:noProof/>
                <w:webHidden/>
              </w:rPr>
              <w:fldChar w:fldCharType="begin"/>
            </w:r>
            <w:r w:rsidR="00930313">
              <w:rPr>
                <w:noProof/>
                <w:webHidden/>
              </w:rPr>
              <w:instrText xml:space="preserve"> PAGEREF _Toc169258903 \h </w:instrText>
            </w:r>
            <w:r w:rsidR="00930313">
              <w:rPr>
                <w:noProof/>
                <w:webHidden/>
              </w:rPr>
            </w:r>
            <w:r w:rsidR="00930313">
              <w:rPr>
                <w:noProof/>
                <w:webHidden/>
              </w:rPr>
              <w:fldChar w:fldCharType="separate"/>
            </w:r>
            <w:r w:rsidR="00930313">
              <w:rPr>
                <w:noProof/>
                <w:webHidden/>
              </w:rPr>
              <w:t>32</w:t>
            </w:r>
            <w:r w:rsidR="00930313">
              <w:rPr>
                <w:noProof/>
                <w:webHidden/>
              </w:rPr>
              <w:fldChar w:fldCharType="end"/>
            </w:r>
          </w:hyperlink>
        </w:p>
        <w:p w14:paraId="3D1A3F69" w14:textId="3C3294C5"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4" w:history="1">
            <w:r w:rsidR="00930313" w:rsidRPr="00B51E28">
              <w:rPr>
                <w:rStyle w:val="Hyperlink"/>
                <w:rFonts w:cstheme="minorHAnsi"/>
                <w:noProof/>
                <w:lang w:val="en-GB"/>
              </w:rPr>
              <w:t>3.1.2.2.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The definition of geographical units</w:t>
            </w:r>
            <w:r w:rsidR="00930313">
              <w:rPr>
                <w:noProof/>
                <w:webHidden/>
              </w:rPr>
              <w:tab/>
            </w:r>
            <w:r w:rsidR="00930313">
              <w:rPr>
                <w:noProof/>
                <w:webHidden/>
              </w:rPr>
              <w:fldChar w:fldCharType="begin"/>
            </w:r>
            <w:r w:rsidR="00930313">
              <w:rPr>
                <w:noProof/>
                <w:webHidden/>
              </w:rPr>
              <w:instrText xml:space="preserve"> PAGEREF _Toc169258904 \h </w:instrText>
            </w:r>
            <w:r w:rsidR="00930313">
              <w:rPr>
                <w:noProof/>
                <w:webHidden/>
              </w:rPr>
            </w:r>
            <w:r w:rsidR="00930313">
              <w:rPr>
                <w:noProof/>
                <w:webHidden/>
              </w:rPr>
              <w:fldChar w:fldCharType="separate"/>
            </w:r>
            <w:r w:rsidR="00930313">
              <w:rPr>
                <w:noProof/>
                <w:webHidden/>
              </w:rPr>
              <w:t>33</w:t>
            </w:r>
            <w:r w:rsidR="00930313">
              <w:rPr>
                <w:noProof/>
                <w:webHidden/>
              </w:rPr>
              <w:fldChar w:fldCharType="end"/>
            </w:r>
          </w:hyperlink>
        </w:p>
        <w:p w14:paraId="32FF6341" w14:textId="7F24344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5" w:history="1">
            <w:r w:rsidR="00930313" w:rsidRPr="00B51E28">
              <w:rPr>
                <w:rStyle w:val="Hyperlink"/>
                <w:rFonts w:cstheme="minorHAnsi"/>
                <w:noProof/>
                <w:lang w:val="en-GB"/>
              </w:rPr>
              <w:t>3.1.2.3.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Definition of coverage</w:t>
            </w:r>
            <w:r w:rsidR="00930313">
              <w:rPr>
                <w:noProof/>
                <w:webHidden/>
              </w:rPr>
              <w:tab/>
            </w:r>
            <w:r w:rsidR="00930313">
              <w:rPr>
                <w:noProof/>
                <w:webHidden/>
              </w:rPr>
              <w:fldChar w:fldCharType="begin"/>
            </w:r>
            <w:r w:rsidR="00930313">
              <w:rPr>
                <w:noProof/>
                <w:webHidden/>
              </w:rPr>
              <w:instrText xml:space="preserve"> PAGEREF _Toc169258905 \h </w:instrText>
            </w:r>
            <w:r w:rsidR="00930313">
              <w:rPr>
                <w:noProof/>
                <w:webHidden/>
              </w:rPr>
            </w:r>
            <w:r w:rsidR="00930313">
              <w:rPr>
                <w:noProof/>
                <w:webHidden/>
              </w:rPr>
              <w:fldChar w:fldCharType="separate"/>
            </w:r>
            <w:r w:rsidR="00930313">
              <w:rPr>
                <w:noProof/>
                <w:webHidden/>
              </w:rPr>
              <w:t>33</w:t>
            </w:r>
            <w:r w:rsidR="00930313">
              <w:rPr>
                <w:noProof/>
                <w:webHidden/>
              </w:rPr>
              <w:fldChar w:fldCharType="end"/>
            </w:r>
          </w:hyperlink>
        </w:p>
        <w:p w14:paraId="0A8F92BA" w14:textId="7C8F36A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6" w:history="1">
            <w:r w:rsidR="00930313" w:rsidRPr="00B51E28">
              <w:rPr>
                <w:rStyle w:val="Hyperlink"/>
                <w:rFonts w:cstheme="minorHAnsi"/>
                <w:noProof/>
                <w:lang w:val="en-GB"/>
              </w:rPr>
              <w:t>3.1.2.4.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Overlapping of technologies</w:t>
            </w:r>
            <w:r w:rsidR="00930313">
              <w:rPr>
                <w:noProof/>
                <w:webHidden/>
              </w:rPr>
              <w:tab/>
            </w:r>
            <w:r w:rsidR="00930313">
              <w:rPr>
                <w:noProof/>
                <w:webHidden/>
              </w:rPr>
              <w:fldChar w:fldCharType="begin"/>
            </w:r>
            <w:r w:rsidR="00930313">
              <w:rPr>
                <w:noProof/>
                <w:webHidden/>
              </w:rPr>
              <w:instrText xml:space="preserve"> PAGEREF _Toc169258906 \h </w:instrText>
            </w:r>
            <w:r w:rsidR="00930313">
              <w:rPr>
                <w:noProof/>
                <w:webHidden/>
              </w:rPr>
            </w:r>
            <w:r w:rsidR="00930313">
              <w:rPr>
                <w:noProof/>
                <w:webHidden/>
              </w:rPr>
              <w:fldChar w:fldCharType="separate"/>
            </w:r>
            <w:r w:rsidR="00930313">
              <w:rPr>
                <w:noProof/>
                <w:webHidden/>
              </w:rPr>
              <w:t>34</w:t>
            </w:r>
            <w:r w:rsidR="00930313">
              <w:rPr>
                <w:noProof/>
                <w:webHidden/>
              </w:rPr>
              <w:fldChar w:fldCharType="end"/>
            </w:r>
          </w:hyperlink>
        </w:p>
        <w:p w14:paraId="40FCA271" w14:textId="6730206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7" w:history="1">
            <w:r w:rsidR="00930313" w:rsidRPr="00B51E28">
              <w:rPr>
                <w:rStyle w:val="Hyperlink"/>
                <w:rFonts w:cstheme="minorHAnsi"/>
                <w:noProof/>
                <w:lang w:val="en-GB"/>
              </w:rPr>
              <w:t>3.1.2.5.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Data accuracy</w:t>
            </w:r>
            <w:r w:rsidR="00930313">
              <w:rPr>
                <w:noProof/>
                <w:webHidden/>
              </w:rPr>
              <w:tab/>
            </w:r>
            <w:r w:rsidR="00930313">
              <w:rPr>
                <w:noProof/>
                <w:webHidden/>
              </w:rPr>
              <w:fldChar w:fldCharType="begin"/>
            </w:r>
            <w:r w:rsidR="00930313">
              <w:rPr>
                <w:noProof/>
                <w:webHidden/>
              </w:rPr>
              <w:instrText xml:space="preserve"> PAGEREF _Toc169258907 \h </w:instrText>
            </w:r>
            <w:r w:rsidR="00930313">
              <w:rPr>
                <w:noProof/>
                <w:webHidden/>
              </w:rPr>
            </w:r>
            <w:r w:rsidR="00930313">
              <w:rPr>
                <w:noProof/>
                <w:webHidden/>
              </w:rPr>
              <w:fldChar w:fldCharType="separate"/>
            </w:r>
            <w:r w:rsidR="00930313">
              <w:rPr>
                <w:noProof/>
                <w:webHidden/>
              </w:rPr>
              <w:t>34</w:t>
            </w:r>
            <w:r w:rsidR="00930313">
              <w:rPr>
                <w:noProof/>
                <w:webHidden/>
              </w:rPr>
              <w:fldChar w:fldCharType="end"/>
            </w:r>
          </w:hyperlink>
        </w:p>
        <w:p w14:paraId="36F09DB8" w14:textId="2E82D9B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8" w:history="1">
            <w:r w:rsidR="00930313" w:rsidRPr="00B51E28">
              <w:rPr>
                <w:rStyle w:val="Hyperlink"/>
                <w:rFonts w:cstheme="minorHAnsi"/>
                <w:noProof/>
                <w:lang w:val="en-GB"/>
              </w:rPr>
              <w:t>3.1.3.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Results</w:t>
            </w:r>
            <w:r w:rsidR="00930313">
              <w:rPr>
                <w:noProof/>
                <w:webHidden/>
              </w:rPr>
              <w:tab/>
            </w:r>
            <w:r w:rsidR="00930313">
              <w:rPr>
                <w:noProof/>
                <w:webHidden/>
              </w:rPr>
              <w:fldChar w:fldCharType="begin"/>
            </w:r>
            <w:r w:rsidR="00930313">
              <w:rPr>
                <w:noProof/>
                <w:webHidden/>
              </w:rPr>
              <w:instrText xml:space="preserve"> PAGEREF _Toc169258908 \h </w:instrText>
            </w:r>
            <w:r w:rsidR="00930313">
              <w:rPr>
                <w:noProof/>
                <w:webHidden/>
              </w:rPr>
            </w:r>
            <w:r w:rsidR="00930313">
              <w:rPr>
                <w:noProof/>
                <w:webHidden/>
              </w:rPr>
              <w:fldChar w:fldCharType="separate"/>
            </w:r>
            <w:r w:rsidR="00930313">
              <w:rPr>
                <w:noProof/>
                <w:webHidden/>
              </w:rPr>
              <w:t>34</w:t>
            </w:r>
            <w:r w:rsidR="00930313">
              <w:rPr>
                <w:noProof/>
                <w:webHidden/>
              </w:rPr>
              <w:fldChar w:fldCharType="end"/>
            </w:r>
          </w:hyperlink>
        </w:p>
        <w:p w14:paraId="47DF7F6C" w14:textId="1441563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09" w:history="1">
            <w:r w:rsidR="00930313" w:rsidRPr="00B51E28">
              <w:rPr>
                <w:rStyle w:val="Hyperlink"/>
                <w:rFonts w:cstheme="minorHAnsi"/>
                <w:noProof/>
                <w:lang w:val="en-GB"/>
              </w:rPr>
              <w:t>3.1.3.1.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Settlements where at least one active FTTx subscriber is present</w:t>
            </w:r>
            <w:r w:rsidR="00930313">
              <w:rPr>
                <w:noProof/>
                <w:webHidden/>
              </w:rPr>
              <w:tab/>
            </w:r>
            <w:r w:rsidR="00930313">
              <w:rPr>
                <w:noProof/>
                <w:webHidden/>
              </w:rPr>
              <w:fldChar w:fldCharType="begin"/>
            </w:r>
            <w:r w:rsidR="00930313">
              <w:rPr>
                <w:noProof/>
                <w:webHidden/>
              </w:rPr>
              <w:instrText xml:space="preserve"> PAGEREF _Toc169258909 \h </w:instrText>
            </w:r>
            <w:r w:rsidR="00930313">
              <w:rPr>
                <w:noProof/>
                <w:webHidden/>
              </w:rPr>
            </w:r>
            <w:r w:rsidR="00930313">
              <w:rPr>
                <w:noProof/>
                <w:webHidden/>
              </w:rPr>
              <w:fldChar w:fldCharType="separate"/>
            </w:r>
            <w:r w:rsidR="00930313">
              <w:rPr>
                <w:noProof/>
                <w:webHidden/>
              </w:rPr>
              <w:t>37</w:t>
            </w:r>
            <w:r w:rsidR="00930313">
              <w:rPr>
                <w:noProof/>
                <w:webHidden/>
              </w:rPr>
              <w:fldChar w:fldCharType="end"/>
            </w:r>
          </w:hyperlink>
        </w:p>
        <w:p w14:paraId="64283B6F" w14:textId="05DE0D5E"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0" w:history="1">
            <w:r w:rsidR="00930313" w:rsidRPr="00B51E28">
              <w:rPr>
                <w:rStyle w:val="Hyperlink"/>
                <w:rFonts w:cstheme="minorHAnsi"/>
                <w:noProof/>
                <w:lang w:val="en-GB"/>
              </w:rPr>
              <w:t>3.1.3.2.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Overlap of technologies</w:t>
            </w:r>
            <w:r w:rsidR="00930313">
              <w:rPr>
                <w:noProof/>
                <w:webHidden/>
              </w:rPr>
              <w:tab/>
            </w:r>
            <w:r w:rsidR="00930313">
              <w:rPr>
                <w:noProof/>
                <w:webHidden/>
              </w:rPr>
              <w:fldChar w:fldCharType="begin"/>
            </w:r>
            <w:r w:rsidR="00930313">
              <w:rPr>
                <w:noProof/>
                <w:webHidden/>
              </w:rPr>
              <w:instrText xml:space="preserve"> PAGEREF _Toc169258910 \h </w:instrText>
            </w:r>
            <w:r w:rsidR="00930313">
              <w:rPr>
                <w:noProof/>
                <w:webHidden/>
              </w:rPr>
            </w:r>
            <w:r w:rsidR="00930313">
              <w:rPr>
                <w:noProof/>
                <w:webHidden/>
              </w:rPr>
              <w:fldChar w:fldCharType="separate"/>
            </w:r>
            <w:r w:rsidR="00930313">
              <w:rPr>
                <w:noProof/>
                <w:webHidden/>
              </w:rPr>
              <w:t>38</w:t>
            </w:r>
            <w:r w:rsidR="00930313">
              <w:rPr>
                <w:noProof/>
                <w:webHidden/>
              </w:rPr>
              <w:fldChar w:fldCharType="end"/>
            </w:r>
          </w:hyperlink>
        </w:p>
        <w:p w14:paraId="767CEC0F" w14:textId="6AFC4F1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1" w:history="1">
            <w:r w:rsidR="00930313" w:rsidRPr="00B51E28">
              <w:rPr>
                <w:rStyle w:val="Hyperlink"/>
                <w:rFonts w:cstheme="minorHAnsi"/>
                <w:noProof/>
                <w:lang w:val="en-GB"/>
              </w:rPr>
              <w:t>3.1.3.3.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Urban vs. rural areas</w:t>
            </w:r>
            <w:r w:rsidR="00930313">
              <w:rPr>
                <w:noProof/>
                <w:webHidden/>
              </w:rPr>
              <w:tab/>
            </w:r>
            <w:r w:rsidR="00930313">
              <w:rPr>
                <w:noProof/>
                <w:webHidden/>
              </w:rPr>
              <w:fldChar w:fldCharType="begin"/>
            </w:r>
            <w:r w:rsidR="00930313">
              <w:rPr>
                <w:noProof/>
                <w:webHidden/>
              </w:rPr>
              <w:instrText xml:space="preserve"> PAGEREF _Toc169258911 \h </w:instrText>
            </w:r>
            <w:r w:rsidR="00930313">
              <w:rPr>
                <w:noProof/>
                <w:webHidden/>
              </w:rPr>
            </w:r>
            <w:r w:rsidR="00930313">
              <w:rPr>
                <w:noProof/>
                <w:webHidden/>
              </w:rPr>
              <w:fldChar w:fldCharType="separate"/>
            </w:r>
            <w:r w:rsidR="00930313">
              <w:rPr>
                <w:noProof/>
                <w:webHidden/>
              </w:rPr>
              <w:t>42</w:t>
            </w:r>
            <w:r w:rsidR="00930313">
              <w:rPr>
                <w:noProof/>
                <w:webHidden/>
              </w:rPr>
              <w:fldChar w:fldCharType="end"/>
            </w:r>
          </w:hyperlink>
        </w:p>
        <w:p w14:paraId="3178FA61" w14:textId="40A31D73"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2" w:history="1">
            <w:r w:rsidR="00930313" w:rsidRPr="00B51E28">
              <w:rPr>
                <w:rStyle w:val="Hyperlink"/>
                <w:rFonts w:cstheme="minorHAnsi"/>
                <w:noProof/>
                <w:lang w:val="en-GB"/>
              </w:rPr>
              <w:t>3.1.3.4.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Conclusions</w:t>
            </w:r>
            <w:r w:rsidR="00930313">
              <w:rPr>
                <w:noProof/>
                <w:webHidden/>
              </w:rPr>
              <w:tab/>
            </w:r>
            <w:r w:rsidR="00930313">
              <w:rPr>
                <w:noProof/>
                <w:webHidden/>
              </w:rPr>
              <w:fldChar w:fldCharType="begin"/>
            </w:r>
            <w:r w:rsidR="00930313">
              <w:rPr>
                <w:noProof/>
                <w:webHidden/>
              </w:rPr>
              <w:instrText xml:space="preserve"> PAGEREF _Toc169258912 \h </w:instrText>
            </w:r>
            <w:r w:rsidR="00930313">
              <w:rPr>
                <w:noProof/>
                <w:webHidden/>
              </w:rPr>
            </w:r>
            <w:r w:rsidR="00930313">
              <w:rPr>
                <w:noProof/>
                <w:webHidden/>
              </w:rPr>
              <w:fldChar w:fldCharType="separate"/>
            </w:r>
            <w:r w:rsidR="00930313">
              <w:rPr>
                <w:noProof/>
                <w:webHidden/>
              </w:rPr>
              <w:t>44</w:t>
            </w:r>
            <w:r w:rsidR="00930313">
              <w:rPr>
                <w:noProof/>
                <w:webHidden/>
              </w:rPr>
              <w:fldChar w:fldCharType="end"/>
            </w:r>
          </w:hyperlink>
        </w:p>
        <w:p w14:paraId="092A29B1" w14:textId="4B5DB01B"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13" w:history="1">
            <w:r w:rsidR="00930313" w:rsidRPr="00B51E28">
              <w:rPr>
                <w:rStyle w:val="Hyperlink"/>
                <w:noProof/>
                <w:lang w:val="en-GB"/>
              </w:rPr>
              <w:t>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Current situation on the retail fixed broadband access services in Georgia</w:t>
            </w:r>
            <w:r w:rsidR="00930313">
              <w:rPr>
                <w:noProof/>
                <w:webHidden/>
              </w:rPr>
              <w:tab/>
            </w:r>
            <w:r w:rsidR="00930313">
              <w:rPr>
                <w:noProof/>
                <w:webHidden/>
              </w:rPr>
              <w:fldChar w:fldCharType="begin"/>
            </w:r>
            <w:r w:rsidR="00930313">
              <w:rPr>
                <w:noProof/>
                <w:webHidden/>
              </w:rPr>
              <w:instrText xml:space="preserve"> PAGEREF _Toc169258913 \h </w:instrText>
            </w:r>
            <w:r w:rsidR="00930313">
              <w:rPr>
                <w:noProof/>
                <w:webHidden/>
              </w:rPr>
            </w:r>
            <w:r w:rsidR="00930313">
              <w:rPr>
                <w:noProof/>
                <w:webHidden/>
              </w:rPr>
              <w:fldChar w:fldCharType="separate"/>
            </w:r>
            <w:r w:rsidR="00930313">
              <w:rPr>
                <w:noProof/>
                <w:webHidden/>
              </w:rPr>
              <w:t>45</w:t>
            </w:r>
            <w:r w:rsidR="00930313">
              <w:rPr>
                <w:noProof/>
                <w:webHidden/>
              </w:rPr>
              <w:fldChar w:fldCharType="end"/>
            </w:r>
          </w:hyperlink>
        </w:p>
        <w:p w14:paraId="318E2599" w14:textId="4783B504"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4" w:history="1">
            <w:r w:rsidR="00930313" w:rsidRPr="00B51E28">
              <w:rPr>
                <w:rStyle w:val="Hyperlink"/>
                <w:rFonts w:cstheme="minorHAnsi"/>
                <w:noProof/>
                <w:lang w:val="en-GB"/>
              </w:rPr>
              <w:t>3.2.1.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Relationships between fixed broadband access services provided to different customer groups</w:t>
            </w:r>
            <w:r w:rsidR="00930313">
              <w:rPr>
                <w:noProof/>
                <w:webHidden/>
              </w:rPr>
              <w:tab/>
            </w:r>
            <w:r w:rsidR="00930313">
              <w:rPr>
                <w:noProof/>
                <w:webHidden/>
              </w:rPr>
              <w:fldChar w:fldCharType="begin"/>
            </w:r>
            <w:r w:rsidR="00930313">
              <w:rPr>
                <w:noProof/>
                <w:webHidden/>
              </w:rPr>
              <w:instrText xml:space="preserve"> PAGEREF _Toc169258914 \h </w:instrText>
            </w:r>
            <w:r w:rsidR="00930313">
              <w:rPr>
                <w:noProof/>
                <w:webHidden/>
              </w:rPr>
            </w:r>
            <w:r w:rsidR="00930313">
              <w:rPr>
                <w:noProof/>
                <w:webHidden/>
              </w:rPr>
              <w:fldChar w:fldCharType="separate"/>
            </w:r>
            <w:r w:rsidR="00930313">
              <w:rPr>
                <w:noProof/>
                <w:webHidden/>
              </w:rPr>
              <w:t>45</w:t>
            </w:r>
            <w:r w:rsidR="00930313">
              <w:rPr>
                <w:noProof/>
                <w:webHidden/>
              </w:rPr>
              <w:fldChar w:fldCharType="end"/>
            </w:r>
          </w:hyperlink>
        </w:p>
        <w:p w14:paraId="35451E32" w14:textId="57EBB3C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5" w:history="1">
            <w:r w:rsidR="00930313" w:rsidRPr="00B51E28">
              <w:rPr>
                <w:rStyle w:val="Hyperlink"/>
                <w:rFonts w:cstheme="minorHAnsi"/>
                <w:noProof/>
                <w:lang w:val="en-GB"/>
              </w:rPr>
              <w:t>3.2.2.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Bundled services</w:t>
            </w:r>
            <w:r w:rsidR="00930313">
              <w:rPr>
                <w:noProof/>
                <w:webHidden/>
              </w:rPr>
              <w:tab/>
            </w:r>
            <w:r w:rsidR="00930313">
              <w:rPr>
                <w:noProof/>
                <w:webHidden/>
              </w:rPr>
              <w:fldChar w:fldCharType="begin"/>
            </w:r>
            <w:r w:rsidR="00930313">
              <w:rPr>
                <w:noProof/>
                <w:webHidden/>
              </w:rPr>
              <w:instrText xml:space="preserve"> PAGEREF _Toc169258915 \h </w:instrText>
            </w:r>
            <w:r w:rsidR="00930313">
              <w:rPr>
                <w:noProof/>
                <w:webHidden/>
              </w:rPr>
            </w:r>
            <w:r w:rsidR="00930313">
              <w:rPr>
                <w:noProof/>
                <w:webHidden/>
              </w:rPr>
              <w:fldChar w:fldCharType="separate"/>
            </w:r>
            <w:r w:rsidR="00930313">
              <w:rPr>
                <w:noProof/>
                <w:webHidden/>
              </w:rPr>
              <w:t>47</w:t>
            </w:r>
            <w:r w:rsidR="00930313">
              <w:rPr>
                <w:noProof/>
                <w:webHidden/>
              </w:rPr>
              <w:fldChar w:fldCharType="end"/>
            </w:r>
          </w:hyperlink>
        </w:p>
        <w:p w14:paraId="37A4462C" w14:textId="44F9CC99"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6" w:history="1">
            <w:r w:rsidR="00930313" w:rsidRPr="00B51E28">
              <w:rPr>
                <w:rStyle w:val="Hyperlink"/>
                <w:rFonts w:cstheme="minorHAnsi"/>
                <w:noProof/>
                <w:lang w:val="en-GB"/>
              </w:rPr>
              <w:t>3.2.3.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Fixed broadband access take-up</w:t>
            </w:r>
            <w:r w:rsidR="00930313">
              <w:rPr>
                <w:noProof/>
                <w:webHidden/>
              </w:rPr>
              <w:tab/>
            </w:r>
            <w:r w:rsidR="00930313">
              <w:rPr>
                <w:noProof/>
                <w:webHidden/>
              </w:rPr>
              <w:fldChar w:fldCharType="begin"/>
            </w:r>
            <w:r w:rsidR="00930313">
              <w:rPr>
                <w:noProof/>
                <w:webHidden/>
              </w:rPr>
              <w:instrText xml:space="preserve"> PAGEREF _Toc169258916 \h </w:instrText>
            </w:r>
            <w:r w:rsidR="00930313">
              <w:rPr>
                <w:noProof/>
                <w:webHidden/>
              </w:rPr>
            </w:r>
            <w:r w:rsidR="00930313">
              <w:rPr>
                <w:noProof/>
                <w:webHidden/>
              </w:rPr>
              <w:fldChar w:fldCharType="separate"/>
            </w:r>
            <w:r w:rsidR="00930313">
              <w:rPr>
                <w:noProof/>
                <w:webHidden/>
              </w:rPr>
              <w:t>48</w:t>
            </w:r>
            <w:r w:rsidR="00930313">
              <w:rPr>
                <w:noProof/>
                <w:webHidden/>
              </w:rPr>
              <w:fldChar w:fldCharType="end"/>
            </w:r>
          </w:hyperlink>
        </w:p>
        <w:p w14:paraId="3424CFF1" w14:textId="75E603C5"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7" w:history="1">
            <w:r w:rsidR="00930313" w:rsidRPr="00B51E28">
              <w:rPr>
                <w:rStyle w:val="Hyperlink"/>
                <w:rFonts w:cstheme="minorHAnsi"/>
                <w:noProof/>
                <w:lang w:val="en-GB"/>
              </w:rPr>
              <w:t>3.2.4.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Mobile broadband access take-up</w:t>
            </w:r>
            <w:r w:rsidR="00930313">
              <w:rPr>
                <w:noProof/>
                <w:webHidden/>
              </w:rPr>
              <w:tab/>
            </w:r>
            <w:r w:rsidR="00930313">
              <w:rPr>
                <w:noProof/>
                <w:webHidden/>
              </w:rPr>
              <w:fldChar w:fldCharType="begin"/>
            </w:r>
            <w:r w:rsidR="00930313">
              <w:rPr>
                <w:noProof/>
                <w:webHidden/>
              </w:rPr>
              <w:instrText xml:space="preserve"> PAGEREF _Toc169258917 \h </w:instrText>
            </w:r>
            <w:r w:rsidR="00930313">
              <w:rPr>
                <w:noProof/>
                <w:webHidden/>
              </w:rPr>
            </w:r>
            <w:r w:rsidR="00930313">
              <w:rPr>
                <w:noProof/>
                <w:webHidden/>
              </w:rPr>
              <w:fldChar w:fldCharType="separate"/>
            </w:r>
            <w:r w:rsidR="00930313">
              <w:rPr>
                <w:noProof/>
                <w:webHidden/>
              </w:rPr>
              <w:t>50</w:t>
            </w:r>
            <w:r w:rsidR="00930313">
              <w:rPr>
                <w:noProof/>
                <w:webHidden/>
              </w:rPr>
              <w:fldChar w:fldCharType="end"/>
            </w:r>
          </w:hyperlink>
        </w:p>
        <w:p w14:paraId="034A0EBF" w14:textId="54663EEA"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8" w:history="1">
            <w:r w:rsidR="00930313" w:rsidRPr="00B51E28">
              <w:rPr>
                <w:rStyle w:val="Hyperlink"/>
                <w:rFonts w:cstheme="minorHAnsi"/>
                <w:noProof/>
                <w:lang w:val="en-GB"/>
              </w:rPr>
              <w:t>3.2.5.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Fixed broadband access technology mix</w:t>
            </w:r>
            <w:r w:rsidR="00930313">
              <w:rPr>
                <w:noProof/>
                <w:webHidden/>
              </w:rPr>
              <w:tab/>
            </w:r>
            <w:r w:rsidR="00930313">
              <w:rPr>
                <w:noProof/>
                <w:webHidden/>
              </w:rPr>
              <w:fldChar w:fldCharType="begin"/>
            </w:r>
            <w:r w:rsidR="00930313">
              <w:rPr>
                <w:noProof/>
                <w:webHidden/>
              </w:rPr>
              <w:instrText xml:space="preserve"> PAGEREF _Toc169258918 \h </w:instrText>
            </w:r>
            <w:r w:rsidR="00930313">
              <w:rPr>
                <w:noProof/>
                <w:webHidden/>
              </w:rPr>
            </w:r>
            <w:r w:rsidR="00930313">
              <w:rPr>
                <w:noProof/>
                <w:webHidden/>
              </w:rPr>
              <w:fldChar w:fldCharType="separate"/>
            </w:r>
            <w:r w:rsidR="00930313">
              <w:rPr>
                <w:noProof/>
                <w:webHidden/>
              </w:rPr>
              <w:t>52</w:t>
            </w:r>
            <w:r w:rsidR="00930313">
              <w:rPr>
                <w:noProof/>
                <w:webHidden/>
              </w:rPr>
              <w:fldChar w:fldCharType="end"/>
            </w:r>
          </w:hyperlink>
        </w:p>
        <w:p w14:paraId="4B245FB9" w14:textId="040A83B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19" w:history="1">
            <w:r w:rsidR="00930313" w:rsidRPr="00B51E28">
              <w:rPr>
                <w:rStyle w:val="Hyperlink"/>
                <w:rFonts w:cs="Calibri"/>
                <w:noProof/>
                <w:lang w:val="en-GB"/>
              </w:rPr>
              <w:t>3.2.6.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Fixed broadband access speeds</w:t>
            </w:r>
            <w:r w:rsidR="00930313">
              <w:rPr>
                <w:noProof/>
                <w:webHidden/>
              </w:rPr>
              <w:tab/>
            </w:r>
            <w:r w:rsidR="00930313">
              <w:rPr>
                <w:noProof/>
                <w:webHidden/>
              </w:rPr>
              <w:fldChar w:fldCharType="begin"/>
            </w:r>
            <w:r w:rsidR="00930313">
              <w:rPr>
                <w:noProof/>
                <w:webHidden/>
              </w:rPr>
              <w:instrText xml:space="preserve"> PAGEREF _Toc169258919 \h </w:instrText>
            </w:r>
            <w:r w:rsidR="00930313">
              <w:rPr>
                <w:noProof/>
                <w:webHidden/>
              </w:rPr>
            </w:r>
            <w:r w:rsidR="00930313">
              <w:rPr>
                <w:noProof/>
                <w:webHidden/>
              </w:rPr>
              <w:fldChar w:fldCharType="separate"/>
            </w:r>
            <w:r w:rsidR="00930313">
              <w:rPr>
                <w:noProof/>
                <w:webHidden/>
              </w:rPr>
              <w:t>55</w:t>
            </w:r>
            <w:r w:rsidR="00930313">
              <w:rPr>
                <w:noProof/>
                <w:webHidden/>
              </w:rPr>
              <w:fldChar w:fldCharType="end"/>
            </w:r>
          </w:hyperlink>
        </w:p>
        <w:p w14:paraId="4D7907BD" w14:textId="6D7514A6"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20" w:history="1">
            <w:r w:rsidR="00930313" w:rsidRPr="00B51E28">
              <w:rPr>
                <w:rStyle w:val="Hyperlink"/>
                <w:noProof/>
                <w:lang w:val="en-GB"/>
              </w:rPr>
              <w:t>3.3.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Service market definition of the retail fixed broadband access market</w:t>
            </w:r>
            <w:r w:rsidR="00930313">
              <w:rPr>
                <w:noProof/>
                <w:webHidden/>
              </w:rPr>
              <w:tab/>
            </w:r>
            <w:r w:rsidR="00930313">
              <w:rPr>
                <w:noProof/>
                <w:webHidden/>
              </w:rPr>
              <w:fldChar w:fldCharType="begin"/>
            </w:r>
            <w:r w:rsidR="00930313">
              <w:rPr>
                <w:noProof/>
                <w:webHidden/>
              </w:rPr>
              <w:instrText xml:space="preserve"> PAGEREF _Toc169258920 \h </w:instrText>
            </w:r>
            <w:r w:rsidR="00930313">
              <w:rPr>
                <w:noProof/>
                <w:webHidden/>
              </w:rPr>
            </w:r>
            <w:r w:rsidR="00930313">
              <w:rPr>
                <w:noProof/>
                <w:webHidden/>
              </w:rPr>
              <w:fldChar w:fldCharType="separate"/>
            </w:r>
            <w:r w:rsidR="00930313">
              <w:rPr>
                <w:noProof/>
                <w:webHidden/>
              </w:rPr>
              <w:t>58</w:t>
            </w:r>
            <w:r w:rsidR="00930313">
              <w:rPr>
                <w:noProof/>
                <w:webHidden/>
              </w:rPr>
              <w:fldChar w:fldCharType="end"/>
            </w:r>
          </w:hyperlink>
        </w:p>
        <w:p w14:paraId="372AABBC" w14:textId="3FB8853E"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1" w:history="1">
            <w:r w:rsidR="00930313" w:rsidRPr="00B51E28">
              <w:rPr>
                <w:rStyle w:val="Hyperlink"/>
                <w:rFonts w:cstheme="minorHAnsi"/>
                <w:noProof/>
                <w:lang w:val="en-GB"/>
              </w:rPr>
              <w:t>3.3.1.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Demand-side substitution</w:t>
            </w:r>
            <w:r w:rsidR="00930313">
              <w:rPr>
                <w:noProof/>
                <w:webHidden/>
              </w:rPr>
              <w:tab/>
            </w:r>
            <w:r w:rsidR="00930313">
              <w:rPr>
                <w:noProof/>
                <w:webHidden/>
              </w:rPr>
              <w:fldChar w:fldCharType="begin"/>
            </w:r>
            <w:r w:rsidR="00930313">
              <w:rPr>
                <w:noProof/>
                <w:webHidden/>
              </w:rPr>
              <w:instrText xml:space="preserve"> PAGEREF _Toc169258921 \h </w:instrText>
            </w:r>
            <w:r w:rsidR="00930313">
              <w:rPr>
                <w:noProof/>
                <w:webHidden/>
              </w:rPr>
            </w:r>
            <w:r w:rsidR="00930313">
              <w:rPr>
                <w:noProof/>
                <w:webHidden/>
              </w:rPr>
              <w:fldChar w:fldCharType="separate"/>
            </w:r>
            <w:r w:rsidR="00930313">
              <w:rPr>
                <w:noProof/>
                <w:webHidden/>
              </w:rPr>
              <w:t>59</w:t>
            </w:r>
            <w:r w:rsidR="00930313">
              <w:rPr>
                <w:noProof/>
                <w:webHidden/>
              </w:rPr>
              <w:fldChar w:fldCharType="end"/>
            </w:r>
          </w:hyperlink>
        </w:p>
        <w:p w14:paraId="7B0B2F79" w14:textId="1E1C1D0E"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2" w:history="1">
            <w:r w:rsidR="00930313" w:rsidRPr="00B51E28">
              <w:rPr>
                <w:rStyle w:val="Hyperlink"/>
                <w:rFonts w:cstheme="minorHAnsi"/>
                <w:noProof/>
                <w:lang w:val="en-GB"/>
              </w:rPr>
              <w:t>3.3.1.1.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FTTx access</w:t>
            </w:r>
            <w:r w:rsidR="00930313">
              <w:rPr>
                <w:noProof/>
                <w:webHidden/>
              </w:rPr>
              <w:tab/>
            </w:r>
            <w:r w:rsidR="00930313">
              <w:rPr>
                <w:noProof/>
                <w:webHidden/>
              </w:rPr>
              <w:fldChar w:fldCharType="begin"/>
            </w:r>
            <w:r w:rsidR="00930313">
              <w:rPr>
                <w:noProof/>
                <w:webHidden/>
              </w:rPr>
              <w:instrText xml:space="preserve"> PAGEREF _Toc169258922 \h </w:instrText>
            </w:r>
            <w:r w:rsidR="00930313">
              <w:rPr>
                <w:noProof/>
                <w:webHidden/>
              </w:rPr>
            </w:r>
            <w:r w:rsidR="00930313">
              <w:rPr>
                <w:noProof/>
                <w:webHidden/>
              </w:rPr>
              <w:fldChar w:fldCharType="separate"/>
            </w:r>
            <w:r w:rsidR="00930313">
              <w:rPr>
                <w:noProof/>
                <w:webHidden/>
              </w:rPr>
              <w:t>60</w:t>
            </w:r>
            <w:r w:rsidR="00930313">
              <w:rPr>
                <w:noProof/>
                <w:webHidden/>
              </w:rPr>
              <w:fldChar w:fldCharType="end"/>
            </w:r>
          </w:hyperlink>
        </w:p>
        <w:p w14:paraId="77292F89" w14:textId="203DB3AC"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3" w:history="1">
            <w:r w:rsidR="00930313" w:rsidRPr="00B51E28">
              <w:rPr>
                <w:rStyle w:val="Hyperlink"/>
                <w:rFonts w:cstheme="minorHAnsi"/>
                <w:noProof/>
                <w:lang w:val="en-GB"/>
              </w:rPr>
              <w:t>3.3.1.2.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Fixed Wireless Access (FWA)</w:t>
            </w:r>
            <w:r w:rsidR="00930313">
              <w:rPr>
                <w:noProof/>
                <w:webHidden/>
              </w:rPr>
              <w:tab/>
            </w:r>
            <w:r w:rsidR="00930313">
              <w:rPr>
                <w:noProof/>
                <w:webHidden/>
              </w:rPr>
              <w:fldChar w:fldCharType="begin"/>
            </w:r>
            <w:r w:rsidR="00930313">
              <w:rPr>
                <w:noProof/>
                <w:webHidden/>
              </w:rPr>
              <w:instrText xml:space="preserve"> PAGEREF _Toc169258923 \h </w:instrText>
            </w:r>
            <w:r w:rsidR="00930313">
              <w:rPr>
                <w:noProof/>
                <w:webHidden/>
              </w:rPr>
            </w:r>
            <w:r w:rsidR="00930313">
              <w:rPr>
                <w:noProof/>
                <w:webHidden/>
              </w:rPr>
              <w:fldChar w:fldCharType="separate"/>
            </w:r>
            <w:r w:rsidR="00930313">
              <w:rPr>
                <w:noProof/>
                <w:webHidden/>
              </w:rPr>
              <w:t>62</w:t>
            </w:r>
            <w:r w:rsidR="00930313">
              <w:rPr>
                <w:noProof/>
                <w:webHidden/>
              </w:rPr>
              <w:fldChar w:fldCharType="end"/>
            </w:r>
          </w:hyperlink>
        </w:p>
        <w:p w14:paraId="0211A145" w14:textId="297B62C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4" w:history="1">
            <w:r w:rsidR="00930313" w:rsidRPr="00B51E28">
              <w:rPr>
                <w:rStyle w:val="Hyperlink"/>
                <w:rFonts w:cstheme="minorHAnsi"/>
                <w:noProof/>
                <w:lang w:val="en-GB"/>
              </w:rPr>
              <w:t>3.3.1.3.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xDSL access over copper pair (ADSL and VDSL)</w:t>
            </w:r>
            <w:r w:rsidR="00930313">
              <w:rPr>
                <w:noProof/>
                <w:webHidden/>
              </w:rPr>
              <w:tab/>
            </w:r>
            <w:r w:rsidR="00930313">
              <w:rPr>
                <w:noProof/>
                <w:webHidden/>
              </w:rPr>
              <w:fldChar w:fldCharType="begin"/>
            </w:r>
            <w:r w:rsidR="00930313">
              <w:rPr>
                <w:noProof/>
                <w:webHidden/>
              </w:rPr>
              <w:instrText xml:space="preserve"> PAGEREF _Toc169258924 \h </w:instrText>
            </w:r>
            <w:r w:rsidR="00930313">
              <w:rPr>
                <w:noProof/>
                <w:webHidden/>
              </w:rPr>
            </w:r>
            <w:r w:rsidR="00930313">
              <w:rPr>
                <w:noProof/>
                <w:webHidden/>
              </w:rPr>
              <w:fldChar w:fldCharType="separate"/>
            </w:r>
            <w:r w:rsidR="00930313">
              <w:rPr>
                <w:noProof/>
                <w:webHidden/>
              </w:rPr>
              <w:t>65</w:t>
            </w:r>
            <w:r w:rsidR="00930313">
              <w:rPr>
                <w:noProof/>
                <w:webHidden/>
              </w:rPr>
              <w:fldChar w:fldCharType="end"/>
            </w:r>
          </w:hyperlink>
        </w:p>
        <w:p w14:paraId="79648956" w14:textId="067B438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5" w:history="1">
            <w:r w:rsidR="00930313" w:rsidRPr="00B51E28">
              <w:rPr>
                <w:rStyle w:val="Hyperlink"/>
                <w:rFonts w:cstheme="minorHAnsi"/>
                <w:noProof/>
                <w:lang w:val="en-GB"/>
              </w:rPr>
              <w:t>3.3.1.4.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Mobile broadband access (including fixed LTE)</w:t>
            </w:r>
            <w:r w:rsidR="00930313">
              <w:rPr>
                <w:noProof/>
                <w:webHidden/>
              </w:rPr>
              <w:tab/>
            </w:r>
            <w:r w:rsidR="00930313">
              <w:rPr>
                <w:noProof/>
                <w:webHidden/>
              </w:rPr>
              <w:fldChar w:fldCharType="begin"/>
            </w:r>
            <w:r w:rsidR="00930313">
              <w:rPr>
                <w:noProof/>
                <w:webHidden/>
              </w:rPr>
              <w:instrText xml:space="preserve"> PAGEREF _Toc169258925 \h </w:instrText>
            </w:r>
            <w:r w:rsidR="00930313">
              <w:rPr>
                <w:noProof/>
                <w:webHidden/>
              </w:rPr>
            </w:r>
            <w:r w:rsidR="00930313">
              <w:rPr>
                <w:noProof/>
                <w:webHidden/>
              </w:rPr>
              <w:fldChar w:fldCharType="separate"/>
            </w:r>
            <w:r w:rsidR="00930313">
              <w:rPr>
                <w:noProof/>
                <w:webHidden/>
              </w:rPr>
              <w:t>68</w:t>
            </w:r>
            <w:r w:rsidR="00930313">
              <w:rPr>
                <w:noProof/>
                <w:webHidden/>
              </w:rPr>
              <w:fldChar w:fldCharType="end"/>
            </w:r>
          </w:hyperlink>
        </w:p>
        <w:p w14:paraId="20F5AE12" w14:textId="07B980B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6" w:history="1">
            <w:r w:rsidR="00930313" w:rsidRPr="00B51E28">
              <w:rPr>
                <w:rStyle w:val="Hyperlink"/>
                <w:rFonts w:cs="Calibri"/>
                <w:noProof/>
                <w:lang w:val="en-GB"/>
              </w:rPr>
              <w:t>3.3.2.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Supply-side substitution</w:t>
            </w:r>
            <w:r w:rsidR="00930313">
              <w:rPr>
                <w:noProof/>
                <w:webHidden/>
              </w:rPr>
              <w:tab/>
            </w:r>
            <w:r w:rsidR="00930313">
              <w:rPr>
                <w:noProof/>
                <w:webHidden/>
              </w:rPr>
              <w:fldChar w:fldCharType="begin"/>
            </w:r>
            <w:r w:rsidR="00930313">
              <w:rPr>
                <w:noProof/>
                <w:webHidden/>
              </w:rPr>
              <w:instrText xml:space="preserve"> PAGEREF _Toc169258926 \h </w:instrText>
            </w:r>
            <w:r w:rsidR="00930313">
              <w:rPr>
                <w:noProof/>
                <w:webHidden/>
              </w:rPr>
            </w:r>
            <w:r w:rsidR="00930313">
              <w:rPr>
                <w:noProof/>
                <w:webHidden/>
              </w:rPr>
              <w:fldChar w:fldCharType="separate"/>
            </w:r>
            <w:r w:rsidR="00930313">
              <w:rPr>
                <w:noProof/>
                <w:webHidden/>
              </w:rPr>
              <w:t>70</w:t>
            </w:r>
            <w:r w:rsidR="00930313">
              <w:rPr>
                <w:noProof/>
                <w:webHidden/>
              </w:rPr>
              <w:fldChar w:fldCharType="end"/>
            </w:r>
          </w:hyperlink>
        </w:p>
        <w:p w14:paraId="0C239C78" w14:textId="052B378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7" w:history="1">
            <w:r w:rsidR="00930313" w:rsidRPr="00B51E28">
              <w:rPr>
                <w:rStyle w:val="Hyperlink"/>
                <w:rFonts w:cs="Calibri"/>
                <w:noProof/>
                <w:lang w:val="en-GB"/>
              </w:rPr>
              <w:t>3.3.3.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Conclusions on the relevant retail market for fixed broadband access services</w:t>
            </w:r>
            <w:r w:rsidR="00930313">
              <w:rPr>
                <w:noProof/>
                <w:webHidden/>
              </w:rPr>
              <w:tab/>
            </w:r>
            <w:r w:rsidR="00930313">
              <w:rPr>
                <w:noProof/>
                <w:webHidden/>
              </w:rPr>
              <w:fldChar w:fldCharType="begin"/>
            </w:r>
            <w:r w:rsidR="00930313">
              <w:rPr>
                <w:noProof/>
                <w:webHidden/>
              </w:rPr>
              <w:instrText xml:space="preserve"> PAGEREF _Toc169258927 \h </w:instrText>
            </w:r>
            <w:r w:rsidR="00930313">
              <w:rPr>
                <w:noProof/>
                <w:webHidden/>
              </w:rPr>
            </w:r>
            <w:r w:rsidR="00930313">
              <w:rPr>
                <w:noProof/>
                <w:webHidden/>
              </w:rPr>
              <w:fldChar w:fldCharType="separate"/>
            </w:r>
            <w:r w:rsidR="00930313">
              <w:rPr>
                <w:noProof/>
                <w:webHidden/>
              </w:rPr>
              <w:t>71</w:t>
            </w:r>
            <w:r w:rsidR="00930313">
              <w:rPr>
                <w:noProof/>
                <w:webHidden/>
              </w:rPr>
              <w:fldChar w:fldCharType="end"/>
            </w:r>
          </w:hyperlink>
        </w:p>
        <w:p w14:paraId="4D365659" w14:textId="7D858C07"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8" w:history="1">
            <w:r w:rsidR="00930313" w:rsidRPr="00B51E28">
              <w:rPr>
                <w:rStyle w:val="Hyperlink"/>
                <w:rFonts w:cstheme="minorHAnsi"/>
                <w:noProof/>
                <w:lang w:val="en-GB"/>
              </w:rPr>
              <w:t>3.3.3.1.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Basic fixed broadband access market</w:t>
            </w:r>
            <w:r w:rsidR="00930313">
              <w:rPr>
                <w:noProof/>
                <w:webHidden/>
              </w:rPr>
              <w:tab/>
            </w:r>
            <w:r w:rsidR="00930313">
              <w:rPr>
                <w:noProof/>
                <w:webHidden/>
              </w:rPr>
              <w:fldChar w:fldCharType="begin"/>
            </w:r>
            <w:r w:rsidR="00930313">
              <w:rPr>
                <w:noProof/>
                <w:webHidden/>
              </w:rPr>
              <w:instrText xml:space="preserve"> PAGEREF _Toc169258928 \h </w:instrText>
            </w:r>
            <w:r w:rsidR="00930313">
              <w:rPr>
                <w:noProof/>
                <w:webHidden/>
              </w:rPr>
            </w:r>
            <w:r w:rsidR="00930313">
              <w:rPr>
                <w:noProof/>
                <w:webHidden/>
              </w:rPr>
              <w:fldChar w:fldCharType="separate"/>
            </w:r>
            <w:r w:rsidR="00930313">
              <w:rPr>
                <w:noProof/>
                <w:webHidden/>
              </w:rPr>
              <w:t>71</w:t>
            </w:r>
            <w:r w:rsidR="00930313">
              <w:rPr>
                <w:noProof/>
                <w:webHidden/>
              </w:rPr>
              <w:fldChar w:fldCharType="end"/>
            </w:r>
          </w:hyperlink>
        </w:p>
        <w:p w14:paraId="389B7B5C" w14:textId="00FA1FB8"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29" w:history="1">
            <w:r w:rsidR="00930313" w:rsidRPr="00B51E28">
              <w:rPr>
                <w:rStyle w:val="Hyperlink"/>
                <w:rFonts w:cstheme="minorHAnsi"/>
                <w:noProof/>
                <w:lang w:val="en-GB"/>
              </w:rPr>
              <w:t>3.3.3.2.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Higher-speed fixed broadband access market</w:t>
            </w:r>
            <w:r w:rsidR="00930313">
              <w:rPr>
                <w:noProof/>
                <w:webHidden/>
              </w:rPr>
              <w:tab/>
            </w:r>
            <w:r w:rsidR="00930313">
              <w:rPr>
                <w:noProof/>
                <w:webHidden/>
              </w:rPr>
              <w:fldChar w:fldCharType="begin"/>
            </w:r>
            <w:r w:rsidR="00930313">
              <w:rPr>
                <w:noProof/>
                <w:webHidden/>
              </w:rPr>
              <w:instrText xml:space="preserve"> PAGEREF _Toc169258929 \h </w:instrText>
            </w:r>
            <w:r w:rsidR="00930313">
              <w:rPr>
                <w:noProof/>
                <w:webHidden/>
              </w:rPr>
            </w:r>
            <w:r w:rsidR="00930313">
              <w:rPr>
                <w:noProof/>
                <w:webHidden/>
              </w:rPr>
              <w:fldChar w:fldCharType="separate"/>
            </w:r>
            <w:r w:rsidR="00930313">
              <w:rPr>
                <w:noProof/>
                <w:webHidden/>
              </w:rPr>
              <w:t>71</w:t>
            </w:r>
            <w:r w:rsidR="00930313">
              <w:rPr>
                <w:noProof/>
                <w:webHidden/>
              </w:rPr>
              <w:fldChar w:fldCharType="end"/>
            </w:r>
          </w:hyperlink>
        </w:p>
        <w:p w14:paraId="3FD848E5" w14:textId="1D1908BA"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30" w:history="1">
            <w:r w:rsidR="00930313" w:rsidRPr="00B51E28">
              <w:rPr>
                <w:rStyle w:val="Hyperlink"/>
                <w:noProof/>
                <w:lang w:val="en-GB"/>
              </w:rPr>
              <w:t>3.4.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Geographical market definition of the basic and higher-speed retail fixed broadband access markets</w:t>
            </w:r>
            <w:r w:rsidR="00930313">
              <w:rPr>
                <w:noProof/>
                <w:webHidden/>
              </w:rPr>
              <w:tab/>
            </w:r>
            <w:r w:rsidR="00930313">
              <w:rPr>
                <w:noProof/>
                <w:webHidden/>
              </w:rPr>
              <w:fldChar w:fldCharType="begin"/>
            </w:r>
            <w:r w:rsidR="00930313">
              <w:rPr>
                <w:noProof/>
                <w:webHidden/>
              </w:rPr>
              <w:instrText xml:space="preserve"> PAGEREF _Toc169258930 \h </w:instrText>
            </w:r>
            <w:r w:rsidR="00930313">
              <w:rPr>
                <w:noProof/>
                <w:webHidden/>
              </w:rPr>
            </w:r>
            <w:r w:rsidR="00930313">
              <w:rPr>
                <w:noProof/>
                <w:webHidden/>
              </w:rPr>
              <w:fldChar w:fldCharType="separate"/>
            </w:r>
            <w:r w:rsidR="00930313">
              <w:rPr>
                <w:noProof/>
                <w:webHidden/>
              </w:rPr>
              <w:t>71</w:t>
            </w:r>
            <w:r w:rsidR="00930313">
              <w:rPr>
                <w:noProof/>
                <w:webHidden/>
              </w:rPr>
              <w:fldChar w:fldCharType="end"/>
            </w:r>
          </w:hyperlink>
        </w:p>
        <w:p w14:paraId="6771562D" w14:textId="2ADC32DE"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31" w:history="1">
            <w:r w:rsidR="00930313" w:rsidRPr="00B51E28">
              <w:rPr>
                <w:rStyle w:val="Hyperlink"/>
                <w:rFonts w:cstheme="minorHAnsi"/>
                <w:noProof/>
                <w:lang w:val="en-GB"/>
              </w:rPr>
              <w:t>3.4.1.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Conclusion on the geographical definitions of the relevant market</w:t>
            </w:r>
            <w:r w:rsidR="00930313">
              <w:rPr>
                <w:noProof/>
                <w:webHidden/>
              </w:rPr>
              <w:tab/>
            </w:r>
            <w:r w:rsidR="00930313">
              <w:rPr>
                <w:noProof/>
                <w:webHidden/>
              </w:rPr>
              <w:fldChar w:fldCharType="begin"/>
            </w:r>
            <w:r w:rsidR="00930313">
              <w:rPr>
                <w:noProof/>
                <w:webHidden/>
              </w:rPr>
              <w:instrText xml:space="preserve"> PAGEREF _Toc169258931 \h </w:instrText>
            </w:r>
            <w:r w:rsidR="00930313">
              <w:rPr>
                <w:noProof/>
                <w:webHidden/>
              </w:rPr>
            </w:r>
            <w:r w:rsidR="00930313">
              <w:rPr>
                <w:noProof/>
                <w:webHidden/>
              </w:rPr>
              <w:fldChar w:fldCharType="separate"/>
            </w:r>
            <w:r w:rsidR="00930313">
              <w:rPr>
                <w:noProof/>
                <w:webHidden/>
              </w:rPr>
              <w:t>73</w:t>
            </w:r>
            <w:r w:rsidR="00930313">
              <w:rPr>
                <w:noProof/>
                <w:webHidden/>
              </w:rPr>
              <w:fldChar w:fldCharType="end"/>
            </w:r>
          </w:hyperlink>
        </w:p>
        <w:p w14:paraId="0203E627" w14:textId="6860106C"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32" w:history="1">
            <w:r w:rsidR="00930313" w:rsidRPr="00B51E28">
              <w:rPr>
                <w:rStyle w:val="Hyperlink"/>
                <w:noProof/>
                <w:lang w:val="en-GB"/>
              </w:rPr>
              <w:t>3.5.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Conclusion on the market definitions of the relevant market</w:t>
            </w:r>
            <w:r w:rsidR="00930313">
              <w:rPr>
                <w:noProof/>
                <w:webHidden/>
              </w:rPr>
              <w:tab/>
            </w:r>
            <w:r w:rsidR="00930313">
              <w:rPr>
                <w:noProof/>
                <w:webHidden/>
              </w:rPr>
              <w:fldChar w:fldCharType="begin"/>
            </w:r>
            <w:r w:rsidR="00930313">
              <w:rPr>
                <w:noProof/>
                <w:webHidden/>
              </w:rPr>
              <w:instrText xml:space="preserve"> PAGEREF _Toc169258932 \h </w:instrText>
            </w:r>
            <w:r w:rsidR="00930313">
              <w:rPr>
                <w:noProof/>
                <w:webHidden/>
              </w:rPr>
            </w:r>
            <w:r w:rsidR="00930313">
              <w:rPr>
                <w:noProof/>
                <w:webHidden/>
              </w:rPr>
              <w:fldChar w:fldCharType="separate"/>
            </w:r>
            <w:r w:rsidR="00930313">
              <w:rPr>
                <w:noProof/>
                <w:webHidden/>
              </w:rPr>
              <w:t>73</w:t>
            </w:r>
            <w:r w:rsidR="00930313">
              <w:rPr>
                <w:noProof/>
                <w:webHidden/>
              </w:rPr>
              <w:fldChar w:fldCharType="end"/>
            </w:r>
          </w:hyperlink>
        </w:p>
        <w:p w14:paraId="6AA10590" w14:textId="0D6260D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33" w:history="1">
            <w:r w:rsidR="00930313" w:rsidRPr="00B51E28">
              <w:rPr>
                <w:rStyle w:val="Hyperlink"/>
                <w:rFonts w:cs="Calibri"/>
                <w:noProof/>
                <w:lang w:val="en-GB"/>
              </w:rPr>
              <w:t>3.5.1.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Higher-speed retail fixed broadband access market definition</w:t>
            </w:r>
            <w:r w:rsidR="00930313">
              <w:rPr>
                <w:noProof/>
                <w:webHidden/>
              </w:rPr>
              <w:tab/>
            </w:r>
            <w:r w:rsidR="00930313">
              <w:rPr>
                <w:noProof/>
                <w:webHidden/>
              </w:rPr>
              <w:fldChar w:fldCharType="begin"/>
            </w:r>
            <w:r w:rsidR="00930313">
              <w:rPr>
                <w:noProof/>
                <w:webHidden/>
              </w:rPr>
              <w:instrText xml:space="preserve"> PAGEREF _Toc169258933 \h </w:instrText>
            </w:r>
            <w:r w:rsidR="00930313">
              <w:rPr>
                <w:noProof/>
                <w:webHidden/>
              </w:rPr>
            </w:r>
            <w:r w:rsidR="00930313">
              <w:rPr>
                <w:noProof/>
                <w:webHidden/>
              </w:rPr>
              <w:fldChar w:fldCharType="separate"/>
            </w:r>
            <w:r w:rsidR="00930313">
              <w:rPr>
                <w:noProof/>
                <w:webHidden/>
              </w:rPr>
              <w:t>73</w:t>
            </w:r>
            <w:r w:rsidR="00930313">
              <w:rPr>
                <w:noProof/>
                <w:webHidden/>
              </w:rPr>
              <w:fldChar w:fldCharType="end"/>
            </w:r>
          </w:hyperlink>
        </w:p>
        <w:p w14:paraId="3E5F4346" w14:textId="1E25023E"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34" w:history="1">
            <w:r w:rsidR="00930313" w:rsidRPr="00B51E28">
              <w:rPr>
                <w:rStyle w:val="Hyperlink"/>
                <w:rFonts w:cstheme="minorHAnsi"/>
                <w:noProof/>
                <w:lang w:val="en-GB"/>
              </w:rPr>
              <w:t>3.5.2.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Basic retail fixed broadband access market definition</w:t>
            </w:r>
            <w:r w:rsidR="00930313">
              <w:rPr>
                <w:noProof/>
                <w:webHidden/>
              </w:rPr>
              <w:tab/>
            </w:r>
            <w:r w:rsidR="00930313">
              <w:rPr>
                <w:noProof/>
                <w:webHidden/>
              </w:rPr>
              <w:fldChar w:fldCharType="begin"/>
            </w:r>
            <w:r w:rsidR="00930313">
              <w:rPr>
                <w:noProof/>
                <w:webHidden/>
              </w:rPr>
              <w:instrText xml:space="preserve"> PAGEREF _Toc169258934 \h </w:instrText>
            </w:r>
            <w:r w:rsidR="00930313">
              <w:rPr>
                <w:noProof/>
                <w:webHidden/>
              </w:rPr>
            </w:r>
            <w:r w:rsidR="00930313">
              <w:rPr>
                <w:noProof/>
                <w:webHidden/>
              </w:rPr>
              <w:fldChar w:fldCharType="separate"/>
            </w:r>
            <w:r w:rsidR="00930313">
              <w:rPr>
                <w:noProof/>
                <w:webHidden/>
              </w:rPr>
              <w:t>73</w:t>
            </w:r>
            <w:r w:rsidR="00930313">
              <w:rPr>
                <w:noProof/>
                <w:webHidden/>
              </w:rPr>
              <w:fldChar w:fldCharType="end"/>
            </w:r>
          </w:hyperlink>
        </w:p>
        <w:p w14:paraId="67A4BCBA" w14:textId="24421529"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35" w:history="1">
            <w:r w:rsidR="00930313" w:rsidRPr="00B51E28">
              <w:rPr>
                <w:rStyle w:val="Hyperlink"/>
                <w:noProof/>
                <w:lang w:val="en-GB"/>
              </w:rPr>
              <w:t>3.6.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Prospective assessment of competition</w:t>
            </w:r>
            <w:r w:rsidR="00930313">
              <w:rPr>
                <w:noProof/>
                <w:webHidden/>
              </w:rPr>
              <w:tab/>
            </w:r>
            <w:r w:rsidR="00930313">
              <w:rPr>
                <w:noProof/>
                <w:webHidden/>
              </w:rPr>
              <w:fldChar w:fldCharType="begin"/>
            </w:r>
            <w:r w:rsidR="00930313">
              <w:rPr>
                <w:noProof/>
                <w:webHidden/>
              </w:rPr>
              <w:instrText xml:space="preserve"> PAGEREF _Toc169258935 \h </w:instrText>
            </w:r>
            <w:r w:rsidR="00930313">
              <w:rPr>
                <w:noProof/>
                <w:webHidden/>
              </w:rPr>
            </w:r>
            <w:r w:rsidR="00930313">
              <w:rPr>
                <w:noProof/>
                <w:webHidden/>
              </w:rPr>
              <w:fldChar w:fldCharType="separate"/>
            </w:r>
            <w:r w:rsidR="00930313">
              <w:rPr>
                <w:noProof/>
                <w:webHidden/>
              </w:rPr>
              <w:t>74</w:t>
            </w:r>
            <w:r w:rsidR="00930313">
              <w:rPr>
                <w:noProof/>
                <w:webHidden/>
              </w:rPr>
              <w:fldChar w:fldCharType="end"/>
            </w:r>
          </w:hyperlink>
        </w:p>
        <w:p w14:paraId="35E925C7" w14:textId="66122FD2"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36" w:history="1">
            <w:r w:rsidR="00930313" w:rsidRPr="00B51E28">
              <w:rPr>
                <w:rStyle w:val="Hyperlink"/>
                <w:rFonts w:cstheme="minorHAnsi"/>
                <w:noProof/>
                <w:lang w:val="en-GB"/>
              </w:rPr>
              <w:t>3.6.1.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Higher-speed retail fixed broadband access market</w:t>
            </w:r>
            <w:r w:rsidR="00930313">
              <w:rPr>
                <w:noProof/>
                <w:webHidden/>
              </w:rPr>
              <w:tab/>
            </w:r>
            <w:r w:rsidR="00930313">
              <w:rPr>
                <w:noProof/>
                <w:webHidden/>
              </w:rPr>
              <w:fldChar w:fldCharType="begin"/>
            </w:r>
            <w:r w:rsidR="00930313">
              <w:rPr>
                <w:noProof/>
                <w:webHidden/>
              </w:rPr>
              <w:instrText xml:space="preserve"> PAGEREF _Toc169258936 \h </w:instrText>
            </w:r>
            <w:r w:rsidR="00930313">
              <w:rPr>
                <w:noProof/>
                <w:webHidden/>
              </w:rPr>
            </w:r>
            <w:r w:rsidR="00930313">
              <w:rPr>
                <w:noProof/>
                <w:webHidden/>
              </w:rPr>
              <w:fldChar w:fldCharType="separate"/>
            </w:r>
            <w:r w:rsidR="00930313">
              <w:rPr>
                <w:noProof/>
                <w:webHidden/>
              </w:rPr>
              <w:t>74</w:t>
            </w:r>
            <w:r w:rsidR="00930313">
              <w:rPr>
                <w:noProof/>
                <w:webHidden/>
              </w:rPr>
              <w:fldChar w:fldCharType="end"/>
            </w:r>
          </w:hyperlink>
        </w:p>
        <w:p w14:paraId="4C5B26F2" w14:textId="56C8018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37" w:history="1">
            <w:r w:rsidR="00930313" w:rsidRPr="00B51E28">
              <w:rPr>
                <w:rStyle w:val="Hyperlink"/>
                <w:rFonts w:cstheme="minorHAnsi"/>
                <w:noProof/>
                <w:lang w:val="en-GB"/>
              </w:rPr>
              <w:t>3.6.2.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Retail basic fixed broadband access market</w:t>
            </w:r>
            <w:r w:rsidR="00930313">
              <w:rPr>
                <w:noProof/>
                <w:webHidden/>
              </w:rPr>
              <w:tab/>
            </w:r>
            <w:r w:rsidR="00930313">
              <w:rPr>
                <w:noProof/>
                <w:webHidden/>
              </w:rPr>
              <w:fldChar w:fldCharType="begin"/>
            </w:r>
            <w:r w:rsidR="00930313">
              <w:rPr>
                <w:noProof/>
                <w:webHidden/>
              </w:rPr>
              <w:instrText xml:space="preserve"> PAGEREF _Toc169258937 \h </w:instrText>
            </w:r>
            <w:r w:rsidR="00930313">
              <w:rPr>
                <w:noProof/>
                <w:webHidden/>
              </w:rPr>
            </w:r>
            <w:r w:rsidR="00930313">
              <w:rPr>
                <w:noProof/>
                <w:webHidden/>
              </w:rPr>
              <w:fldChar w:fldCharType="separate"/>
            </w:r>
            <w:r w:rsidR="00930313">
              <w:rPr>
                <w:noProof/>
                <w:webHidden/>
              </w:rPr>
              <w:t>79</w:t>
            </w:r>
            <w:r w:rsidR="00930313">
              <w:rPr>
                <w:noProof/>
                <w:webHidden/>
              </w:rPr>
              <w:fldChar w:fldCharType="end"/>
            </w:r>
          </w:hyperlink>
        </w:p>
        <w:p w14:paraId="5FF20215" w14:textId="1AA9B824"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38" w:history="1">
            <w:r w:rsidR="00930313" w:rsidRPr="00B51E28">
              <w:rPr>
                <w:rStyle w:val="Hyperlink"/>
                <w:noProof/>
                <w:lang w:val="en-GB"/>
              </w:rPr>
              <w:t>3.7.</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Effects on consumers</w:t>
            </w:r>
            <w:r w:rsidR="00930313">
              <w:rPr>
                <w:noProof/>
                <w:webHidden/>
              </w:rPr>
              <w:tab/>
            </w:r>
            <w:r w:rsidR="00930313">
              <w:rPr>
                <w:noProof/>
                <w:webHidden/>
              </w:rPr>
              <w:fldChar w:fldCharType="begin"/>
            </w:r>
            <w:r w:rsidR="00930313">
              <w:rPr>
                <w:noProof/>
                <w:webHidden/>
              </w:rPr>
              <w:instrText xml:space="preserve"> PAGEREF _Toc169258938 \h </w:instrText>
            </w:r>
            <w:r w:rsidR="00930313">
              <w:rPr>
                <w:noProof/>
                <w:webHidden/>
              </w:rPr>
            </w:r>
            <w:r w:rsidR="00930313">
              <w:rPr>
                <w:noProof/>
                <w:webHidden/>
              </w:rPr>
              <w:fldChar w:fldCharType="separate"/>
            </w:r>
            <w:r w:rsidR="00930313">
              <w:rPr>
                <w:noProof/>
                <w:webHidden/>
              </w:rPr>
              <w:t>80</w:t>
            </w:r>
            <w:r w:rsidR="00930313">
              <w:rPr>
                <w:noProof/>
                <w:webHidden/>
              </w:rPr>
              <w:fldChar w:fldCharType="end"/>
            </w:r>
          </w:hyperlink>
        </w:p>
        <w:p w14:paraId="6246B63F" w14:textId="7B3BFED6"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8939" w:history="1">
            <w:r w:rsidR="00930313" w:rsidRPr="00B51E28">
              <w:rPr>
                <w:rStyle w:val="Hyperlink"/>
                <w:noProof/>
                <w:lang w:val="en-GB"/>
              </w:rPr>
              <w:t>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Analysis of the upstream wholesale markets related to local and central access at a fixed location (markets 3a and 3b from EU Recommendation 2014)</w:t>
            </w:r>
            <w:r w:rsidR="00930313">
              <w:rPr>
                <w:noProof/>
                <w:webHidden/>
              </w:rPr>
              <w:tab/>
            </w:r>
            <w:r w:rsidR="00930313">
              <w:rPr>
                <w:noProof/>
                <w:webHidden/>
              </w:rPr>
              <w:fldChar w:fldCharType="begin"/>
            </w:r>
            <w:r w:rsidR="00930313">
              <w:rPr>
                <w:noProof/>
                <w:webHidden/>
              </w:rPr>
              <w:instrText xml:space="preserve"> PAGEREF _Toc169258939 \h </w:instrText>
            </w:r>
            <w:r w:rsidR="00930313">
              <w:rPr>
                <w:noProof/>
                <w:webHidden/>
              </w:rPr>
            </w:r>
            <w:r w:rsidR="00930313">
              <w:rPr>
                <w:noProof/>
                <w:webHidden/>
              </w:rPr>
              <w:fldChar w:fldCharType="separate"/>
            </w:r>
            <w:r w:rsidR="00930313">
              <w:rPr>
                <w:noProof/>
                <w:webHidden/>
              </w:rPr>
              <w:t>82</w:t>
            </w:r>
            <w:r w:rsidR="00930313">
              <w:rPr>
                <w:noProof/>
                <w:webHidden/>
              </w:rPr>
              <w:fldChar w:fldCharType="end"/>
            </w:r>
          </w:hyperlink>
        </w:p>
        <w:p w14:paraId="4DCA67D3" w14:textId="367ACCEC"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40" w:history="1">
            <w:r w:rsidR="00930313" w:rsidRPr="00B51E28">
              <w:rPr>
                <w:rStyle w:val="Hyperlink"/>
                <w:noProof/>
                <w:lang w:val="en-GB"/>
              </w:rPr>
              <w:t>4.1.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Wholesale fixed local and central access product market definition: Demand-side substitution</w:t>
            </w:r>
            <w:r w:rsidR="00930313">
              <w:rPr>
                <w:noProof/>
                <w:webHidden/>
              </w:rPr>
              <w:tab/>
            </w:r>
            <w:r w:rsidR="00930313">
              <w:rPr>
                <w:noProof/>
                <w:webHidden/>
              </w:rPr>
              <w:fldChar w:fldCharType="begin"/>
            </w:r>
            <w:r w:rsidR="00930313">
              <w:rPr>
                <w:noProof/>
                <w:webHidden/>
              </w:rPr>
              <w:instrText xml:space="preserve"> PAGEREF _Toc169258940 \h </w:instrText>
            </w:r>
            <w:r w:rsidR="00930313">
              <w:rPr>
                <w:noProof/>
                <w:webHidden/>
              </w:rPr>
            </w:r>
            <w:r w:rsidR="00930313">
              <w:rPr>
                <w:noProof/>
                <w:webHidden/>
              </w:rPr>
              <w:fldChar w:fldCharType="separate"/>
            </w:r>
            <w:r w:rsidR="00930313">
              <w:rPr>
                <w:noProof/>
                <w:webHidden/>
              </w:rPr>
              <w:t>83</w:t>
            </w:r>
            <w:r w:rsidR="00930313">
              <w:rPr>
                <w:noProof/>
                <w:webHidden/>
              </w:rPr>
              <w:fldChar w:fldCharType="end"/>
            </w:r>
          </w:hyperlink>
        </w:p>
        <w:p w14:paraId="68FDFACB" w14:textId="376A03C2"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41" w:history="1">
            <w:r w:rsidR="00930313" w:rsidRPr="00B51E28">
              <w:rPr>
                <w:rStyle w:val="Hyperlink"/>
                <w:noProof/>
                <w:lang w:val="en-GB"/>
              </w:rPr>
              <w:t>4.2.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Product market definition: Supply-side substitution</w:t>
            </w:r>
            <w:r w:rsidR="00930313">
              <w:rPr>
                <w:noProof/>
                <w:webHidden/>
              </w:rPr>
              <w:tab/>
            </w:r>
            <w:r w:rsidR="00930313">
              <w:rPr>
                <w:noProof/>
                <w:webHidden/>
              </w:rPr>
              <w:fldChar w:fldCharType="begin"/>
            </w:r>
            <w:r w:rsidR="00930313">
              <w:rPr>
                <w:noProof/>
                <w:webHidden/>
              </w:rPr>
              <w:instrText xml:space="preserve"> PAGEREF _Toc169258941 \h </w:instrText>
            </w:r>
            <w:r w:rsidR="00930313">
              <w:rPr>
                <w:noProof/>
                <w:webHidden/>
              </w:rPr>
            </w:r>
            <w:r w:rsidR="00930313">
              <w:rPr>
                <w:noProof/>
                <w:webHidden/>
              </w:rPr>
              <w:fldChar w:fldCharType="separate"/>
            </w:r>
            <w:r w:rsidR="00930313">
              <w:rPr>
                <w:noProof/>
                <w:webHidden/>
              </w:rPr>
              <w:t>92</w:t>
            </w:r>
            <w:r w:rsidR="00930313">
              <w:rPr>
                <w:noProof/>
                <w:webHidden/>
              </w:rPr>
              <w:fldChar w:fldCharType="end"/>
            </w:r>
          </w:hyperlink>
        </w:p>
        <w:p w14:paraId="728B2239" w14:textId="7A7E36D8"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42" w:history="1">
            <w:r w:rsidR="00930313" w:rsidRPr="00B51E28">
              <w:rPr>
                <w:rStyle w:val="Hyperlink"/>
                <w:noProof/>
                <w:lang w:val="en-GB"/>
              </w:rPr>
              <w:t>4.3.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Conclusion on the wholesale fixed local and central access product market definition</w:t>
            </w:r>
            <w:r w:rsidR="00930313">
              <w:rPr>
                <w:noProof/>
                <w:webHidden/>
              </w:rPr>
              <w:tab/>
            </w:r>
            <w:r w:rsidR="00930313">
              <w:rPr>
                <w:noProof/>
                <w:webHidden/>
              </w:rPr>
              <w:fldChar w:fldCharType="begin"/>
            </w:r>
            <w:r w:rsidR="00930313">
              <w:rPr>
                <w:noProof/>
                <w:webHidden/>
              </w:rPr>
              <w:instrText xml:space="preserve"> PAGEREF _Toc169258942 \h </w:instrText>
            </w:r>
            <w:r w:rsidR="00930313">
              <w:rPr>
                <w:noProof/>
                <w:webHidden/>
              </w:rPr>
            </w:r>
            <w:r w:rsidR="00930313">
              <w:rPr>
                <w:noProof/>
                <w:webHidden/>
              </w:rPr>
              <w:fldChar w:fldCharType="separate"/>
            </w:r>
            <w:r w:rsidR="00930313">
              <w:rPr>
                <w:noProof/>
                <w:webHidden/>
              </w:rPr>
              <w:t>93</w:t>
            </w:r>
            <w:r w:rsidR="00930313">
              <w:rPr>
                <w:noProof/>
                <w:webHidden/>
              </w:rPr>
              <w:fldChar w:fldCharType="end"/>
            </w:r>
          </w:hyperlink>
        </w:p>
        <w:p w14:paraId="5EACD4CC" w14:textId="5D99CA2F"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43" w:history="1">
            <w:r w:rsidR="00930313" w:rsidRPr="00B51E28">
              <w:rPr>
                <w:rStyle w:val="Hyperlink"/>
                <w:noProof/>
                <w:lang w:val="en-GB"/>
              </w:rPr>
              <w:t>4.4.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Geographical market definition</w:t>
            </w:r>
            <w:r w:rsidR="00930313">
              <w:rPr>
                <w:noProof/>
                <w:webHidden/>
              </w:rPr>
              <w:tab/>
            </w:r>
            <w:r w:rsidR="00930313">
              <w:rPr>
                <w:noProof/>
                <w:webHidden/>
              </w:rPr>
              <w:fldChar w:fldCharType="begin"/>
            </w:r>
            <w:r w:rsidR="00930313">
              <w:rPr>
                <w:noProof/>
                <w:webHidden/>
              </w:rPr>
              <w:instrText xml:space="preserve"> PAGEREF _Toc169258943 \h </w:instrText>
            </w:r>
            <w:r w:rsidR="00930313">
              <w:rPr>
                <w:noProof/>
                <w:webHidden/>
              </w:rPr>
            </w:r>
            <w:r w:rsidR="00930313">
              <w:rPr>
                <w:noProof/>
                <w:webHidden/>
              </w:rPr>
              <w:fldChar w:fldCharType="separate"/>
            </w:r>
            <w:r w:rsidR="00930313">
              <w:rPr>
                <w:noProof/>
                <w:webHidden/>
              </w:rPr>
              <w:t>93</w:t>
            </w:r>
            <w:r w:rsidR="00930313">
              <w:rPr>
                <w:noProof/>
                <w:webHidden/>
              </w:rPr>
              <w:fldChar w:fldCharType="end"/>
            </w:r>
          </w:hyperlink>
        </w:p>
        <w:p w14:paraId="276C8C20" w14:textId="6569FEE3"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44" w:history="1">
            <w:r w:rsidR="00930313" w:rsidRPr="00B51E28">
              <w:rPr>
                <w:rStyle w:val="Hyperlink"/>
                <w:noProof/>
                <w:lang w:val="en-GB"/>
              </w:rPr>
              <w:t>4.5.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Conducting three criteria test</w:t>
            </w:r>
            <w:r w:rsidR="00930313">
              <w:rPr>
                <w:noProof/>
                <w:webHidden/>
              </w:rPr>
              <w:tab/>
            </w:r>
            <w:r w:rsidR="00930313">
              <w:rPr>
                <w:noProof/>
                <w:webHidden/>
              </w:rPr>
              <w:fldChar w:fldCharType="begin"/>
            </w:r>
            <w:r w:rsidR="00930313">
              <w:rPr>
                <w:noProof/>
                <w:webHidden/>
              </w:rPr>
              <w:instrText xml:space="preserve"> PAGEREF _Toc169258944 \h </w:instrText>
            </w:r>
            <w:r w:rsidR="00930313">
              <w:rPr>
                <w:noProof/>
                <w:webHidden/>
              </w:rPr>
            </w:r>
            <w:r w:rsidR="00930313">
              <w:rPr>
                <w:noProof/>
                <w:webHidden/>
              </w:rPr>
              <w:fldChar w:fldCharType="separate"/>
            </w:r>
            <w:r w:rsidR="00930313">
              <w:rPr>
                <w:noProof/>
                <w:webHidden/>
              </w:rPr>
              <w:t>95</w:t>
            </w:r>
            <w:r w:rsidR="00930313">
              <w:rPr>
                <w:noProof/>
                <w:webHidden/>
              </w:rPr>
              <w:fldChar w:fldCharType="end"/>
            </w:r>
          </w:hyperlink>
        </w:p>
        <w:p w14:paraId="0A485E54" w14:textId="66C9CA7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45" w:history="1">
            <w:r w:rsidR="00930313" w:rsidRPr="00B51E28">
              <w:rPr>
                <w:rStyle w:val="Hyperlink"/>
                <w:rFonts w:cstheme="minorHAnsi"/>
                <w:noProof/>
                <w:lang w:val="en-GB"/>
              </w:rPr>
              <w:t>4.5.1.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First criterion - the presence of high and non-transitory barriers to entry</w:t>
            </w:r>
            <w:r w:rsidR="00930313">
              <w:rPr>
                <w:noProof/>
                <w:webHidden/>
              </w:rPr>
              <w:tab/>
            </w:r>
            <w:r w:rsidR="00930313">
              <w:rPr>
                <w:noProof/>
                <w:webHidden/>
              </w:rPr>
              <w:fldChar w:fldCharType="begin"/>
            </w:r>
            <w:r w:rsidR="00930313">
              <w:rPr>
                <w:noProof/>
                <w:webHidden/>
              </w:rPr>
              <w:instrText xml:space="preserve"> PAGEREF _Toc169258945 \h </w:instrText>
            </w:r>
            <w:r w:rsidR="00930313">
              <w:rPr>
                <w:noProof/>
                <w:webHidden/>
              </w:rPr>
            </w:r>
            <w:r w:rsidR="00930313">
              <w:rPr>
                <w:noProof/>
                <w:webHidden/>
              </w:rPr>
              <w:fldChar w:fldCharType="separate"/>
            </w:r>
            <w:r w:rsidR="00930313">
              <w:rPr>
                <w:noProof/>
                <w:webHidden/>
              </w:rPr>
              <w:t>95</w:t>
            </w:r>
            <w:r w:rsidR="00930313">
              <w:rPr>
                <w:noProof/>
                <w:webHidden/>
              </w:rPr>
              <w:fldChar w:fldCharType="end"/>
            </w:r>
          </w:hyperlink>
        </w:p>
        <w:p w14:paraId="1557608F" w14:textId="46DE38D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46" w:history="1">
            <w:r w:rsidR="00930313" w:rsidRPr="00B51E28">
              <w:rPr>
                <w:rStyle w:val="Hyperlink"/>
                <w:rFonts w:cstheme="minorHAnsi"/>
                <w:noProof/>
                <w:lang w:val="en-GB"/>
              </w:rPr>
              <w:t>4.5.2.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Second criterion – The market is not tending towards effective competition</w:t>
            </w:r>
            <w:r w:rsidR="00930313">
              <w:rPr>
                <w:noProof/>
                <w:webHidden/>
              </w:rPr>
              <w:tab/>
            </w:r>
            <w:r w:rsidR="00930313">
              <w:rPr>
                <w:noProof/>
                <w:webHidden/>
              </w:rPr>
              <w:fldChar w:fldCharType="begin"/>
            </w:r>
            <w:r w:rsidR="00930313">
              <w:rPr>
                <w:noProof/>
                <w:webHidden/>
              </w:rPr>
              <w:instrText xml:space="preserve"> PAGEREF _Toc169258946 \h </w:instrText>
            </w:r>
            <w:r w:rsidR="00930313">
              <w:rPr>
                <w:noProof/>
                <w:webHidden/>
              </w:rPr>
            </w:r>
            <w:r w:rsidR="00930313">
              <w:rPr>
                <w:noProof/>
                <w:webHidden/>
              </w:rPr>
              <w:fldChar w:fldCharType="separate"/>
            </w:r>
            <w:r w:rsidR="00930313">
              <w:rPr>
                <w:noProof/>
                <w:webHidden/>
              </w:rPr>
              <w:t>97</w:t>
            </w:r>
            <w:r w:rsidR="00930313">
              <w:rPr>
                <w:noProof/>
                <w:webHidden/>
              </w:rPr>
              <w:fldChar w:fldCharType="end"/>
            </w:r>
          </w:hyperlink>
        </w:p>
        <w:p w14:paraId="54200F96" w14:textId="34F0307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47" w:history="1">
            <w:r w:rsidR="00930313" w:rsidRPr="00B51E28">
              <w:rPr>
                <w:rStyle w:val="Hyperlink"/>
                <w:rFonts w:cstheme="minorHAnsi"/>
                <w:noProof/>
                <w:lang w:val="en-GB"/>
              </w:rPr>
              <w:t>4.5.3.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Third criterion - Competition law alone is insufficient to adequately address the identified market failure(s).</w:t>
            </w:r>
            <w:r w:rsidR="00930313">
              <w:rPr>
                <w:noProof/>
                <w:webHidden/>
              </w:rPr>
              <w:tab/>
            </w:r>
            <w:r w:rsidR="00930313">
              <w:rPr>
                <w:noProof/>
                <w:webHidden/>
              </w:rPr>
              <w:fldChar w:fldCharType="begin"/>
            </w:r>
            <w:r w:rsidR="00930313">
              <w:rPr>
                <w:noProof/>
                <w:webHidden/>
              </w:rPr>
              <w:instrText xml:space="preserve"> PAGEREF _Toc169258947 \h </w:instrText>
            </w:r>
            <w:r w:rsidR="00930313">
              <w:rPr>
                <w:noProof/>
                <w:webHidden/>
              </w:rPr>
            </w:r>
            <w:r w:rsidR="00930313">
              <w:rPr>
                <w:noProof/>
                <w:webHidden/>
              </w:rPr>
              <w:fldChar w:fldCharType="separate"/>
            </w:r>
            <w:r w:rsidR="00930313">
              <w:rPr>
                <w:noProof/>
                <w:webHidden/>
              </w:rPr>
              <w:t>103</w:t>
            </w:r>
            <w:r w:rsidR="00930313">
              <w:rPr>
                <w:noProof/>
                <w:webHidden/>
              </w:rPr>
              <w:fldChar w:fldCharType="end"/>
            </w:r>
          </w:hyperlink>
        </w:p>
        <w:p w14:paraId="6D02CBD3" w14:textId="5AC76BF9"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48" w:history="1">
            <w:r w:rsidR="00930313" w:rsidRPr="00B51E28">
              <w:rPr>
                <w:rStyle w:val="Hyperlink"/>
                <w:rFonts w:cstheme="minorHAnsi"/>
                <w:noProof/>
                <w:lang w:val="en-GB"/>
              </w:rPr>
              <w:t>4.5.4.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Conclusion on whether the market is susceptible to ex-ante regulation</w:t>
            </w:r>
            <w:r w:rsidR="00930313">
              <w:rPr>
                <w:noProof/>
                <w:webHidden/>
              </w:rPr>
              <w:tab/>
            </w:r>
            <w:r w:rsidR="00930313">
              <w:rPr>
                <w:noProof/>
                <w:webHidden/>
              </w:rPr>
              <w:fldChar w:fldCharType="begin"/>
            </w:r>
            <w:r w:rsidR="00930313">
              <w:rPr>
                <w:noProof/>
                <w:webHidden/>
              </w:rPr>
              <w:instrText xml:space="preserve"> PAGEREF _Toc169258948 \h </w:instrText>
            </w:r>
            <w:r w:rsidR="00930313">
              <w:rPr>
                <w:noProof/>
                <w:webHidden/>
              </w:rPr>
            </w:r>
            <w:r w:rsidR="00930313">
              <w:rPr>
                <w:noProof/>
                <w:webHidden/>
              </w:rPr>
              <w:fldChar w:fldCharType="separate"/>
            </w:r>
            <w:r w:rsidR="00930313">
              <w:rPr>
                <w:noProof/>
                <w:webHidden/>
              </w:rPr>
              <w:t>103</w:t>
            </w:r>
            <w:r w:rsidR="00930313">
              <w:rPr>
                <w:noProof/>
                <w:webHidden/>
              </w:rPr>
              <w:fldChar w:fldCharType="end"/>
            </w:r>
          </w:hyperlink>
        </w:p>
        <w:p w14:paraId="1F5251CB" w14:textId="04207FF4"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8949" w:history="1">
            <w:r w:rsidR="00930313" w:rsidRPr="00B51E28">
              <w:rPr>
                <w:rStyle w:val="Hyperlink"/>
                <w:noProof/>
                <w:lang w:val="en-GB"/>
              </w:rPr>
              <w:t>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SMP assessment</w:t>
            </w:r>
            <w:r w:rsidR="00930313">
              <w:rPr>
                <w:noProof/>
                <w:webHidden/>
              </w:rPr>
              <w:tab/>
            </w:r>
            <w:r w:rsidR="00930313">
              <w:rPr>
                <w:noProof/>
                <w:webHidden/>
              </w:rPr>
              <w:fldChar w:fldCharType="begin"/>
            </w:r>
            <w:r w:rsidR="00930313">
              <w:rPr>
                <w:noProof/>
                <w:webHidden/>
              </w:rPr>
              <w:instrText xml:space="preserve"> PAGEREF _Toc169258949 \h </w:instrText>
            </w:r>
            <w:r w:rsidR="00930313">
              <w:rPr>
                <w:noProof/>
                <w:webHidden/>
              </w:rPr>
            </w:r>
            <w:r w:rsidR="00930313">
              <w:rPr>
                <w:noProof/>
                <w:webHidden/>
              </w:rPr>
              <w:fldChar w:fldCharType="separate"/>
            </w:r>
            <w:r w:rsidR="00930313">
              <w:rPr>
                <w:noProof/>
                <w:webHidden/>
              </w:rPr>
              <w:t>104</w:t>
            </w:r>
            <w:r w:rsidR="00930313">
              <w:rPr>
                <w:noProof/>
                <w:webHidden/>
              </w:rPr>
              <w:fldChar w:fldCharType="end"/>
            </w:r>
          </w:hyperlink>
        </w:p>
        <w:p w14:paraId="3418A134" w14:textId="245FE854"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50" w:history="1">
            <w:r w:rsidR="00930313" w:rsidRPr="00B51E28">
              <w:rPr>
                <w:rStyle w:val="Hyperlink"/>
                <w:noProof/>
                <w:lang w:val="en-GB"/>
              </w:rPr>
              <w:t>5.1.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Background and goal of the SMP assessment phase</w:t>
            </w:r>
            <w:r w:rsidR="00930313">
              <w:rPr>
                <w:noProof/>
                <w:webHidden/>
              </w:rPr>
              <w:tab/>
            </w:r>
            <w:r w:rsidR="00930313">
              <w:rPr>
                <w:noProof/>
                <w:webHidden/>
              </w:rPr>
              <w:fldChar w:fldCharType="begin"/>
            </w:r>
            <w:r w:rsidR="00930313">
              <w:rPr>
                <w:noProof/>
                <w:webHidden/>
              </w:rPr>
              <w:instrText xml:space="preserve"> PAGEREF _Toc169258950 \h </w:instrText>
            </w:r>
            <w:r w:rsidR="00930313">
              <w:rPr>
                <w:noProof/>
                <w:webHidden/>
              </w:rPr>
            </w:r>
            <w:r w:rsidR="00930313">
              <w:rPr>
                <w:noProof/>
                <w:webHidden/>
              </w:rPr>
              <w:fldChar w:fldCharType="separate"/>
            </w:r>
            <w:r w:rsidR="00930313">
              <w:rPr>
                <w:noProof/>
                <w:webHidden/>
              </w:rPr>
              <w:t>104</w:t>
            </w:r>
            <w:r w:rsidR="00930313">
              <w:rPr>
                <w:noProof/>
                <w:webHidden/>
              </w:rPr>
              <w:fldChar w:fldCharType="end"/>
            </w:r>
          </w:hyperlink>
        </w:p>
        <w:p w14:paraId="2FED142B" w14:textId="597A28CB"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51" w:history="1">
            <w:r w:rsidR="00930313" w:rsidRPr="00B51E28">
              <w:rPr>
                <w:rStyle w:val="Hyperlink"/>
                <w:noProof/>
                <w:lang w:val="en-GB"/>
              </w:rPr>
              <w:t>5.2.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The wholesale market of local and central access at a fixed location</w:t>
            </w:r>
            <w:r w:rsidR="00930313">
              <w:rPr>
                <w:noProof/>
                <w:webHidden/>
              </w:rPr>
              <w:tab/>
            </w:r>
            <w:r w:rsidR="00930313">
              <w:rPr>
                <w:noProof/>
                <w:webHidden/>
              </w:rPr>
              <w:fldChar w:fldCharType="begin"/>
            </w:r>
            <w:r w:rsidR="00930313">
              <w:rPr>
                <w:noProof/>
                <w:webHidden/>
              </w:rPr>
              <w:instrText xml:space="preserve"> PAGEREF _Toc169258951 \h </w:instrText>
            </w:r>
            <w:r w:rsidR="00930313">
              <w:rPr>
                <w:noProof/>
                <w:webHidden/>
              </w:rPr>
            </w:r>
            <w:r w:rsidR="00930313">
              <w:rPr>
                <w:noProof/>
                <w:webHidden/>
              </w:rPr>
              <w:fldChar w:fldCharType="separate"/>
            </w:r>
            <w:r w:rsidR="00930313">
              <w:rPr>
                <w:noProof/>
                <w:webHidden/>
              </w:rPr>
              <w:t>104</w:t>
            </w:r>
            <w:r w:rsidR="00930313">
              <w:rPr>
                <w:noProof/>
                <w:webHidden/>
              </w:rPr>
              <w:fldChar w:fldCharType="end"/>
            </w:r>
          </w:hyperlink>
        </w:p>
        <w:p w14:paraId="352B8C04" w14:textId="04EF1C08"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52" w:history="1">
            <w:r w:rsidR="00930313" w:rsidRPr="00B51E28">
              <w:rPr>
                <w:rStyle w:val="Hyperlink"/>
                <w:noProof/>
                <w:lang w:val="en-GB"/>
              </w:rPr>
              <w:t>5.3.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Assessment of SMP using the relevant criteria</w:t>
            </w:r>
            <w:r w:rsidR="00930313">
              <w:rPr>
                <w:noProof/>
                <w:webHidden/>
              </w:rPr>
              <w:tab/>
            </w:r>
            <w:r w:rsidR="00930313">
              <w:rPr>
                <w:noProof/>
                <w:webHidden/>
              </w:rPr>
              <w:fldChar w:fldCharType="begin"/>
            </w:r>
            <w:r w:rsidR="00930313">
              <w:rPr>
                <w:noProof/>
                <w:webHidden/>
              </w:rPr>
              <w:instrText xml:space="preserve"> PAGEREF _Toc169258952 \h </w:instrText>
            </w:r>
            <w:r w:rsidR="00930313">
              <w:rPr>
                <w:noProof/>
                <w:webHidden/>
              </w:rPr>
            </w:r>
            <w:r w:rsidR="00930313">
              <w:rPr>
                <w:noProof/>
                <w:webHidden/>
              </w:rPr>
              <w:fldChar w:fldCharType="separate"/>
            </w:r>
            <w:r w:rsidR="00930313">
              <w:rPr>
                <w:noProof/>
                <w:webHidden/>
              </w:rPr>
              <w:t>106</w:t>
            </w:r>
            <w:r w:rsidR="00930313">
              <w:rPr>
                <w:noProof/>
                <w:webHidden/>
              </w:rPr>
              <w:fldChar w:fldCharType="end"/>
            </w:r>
          </w:hyperlink>
        </w:p>
        <w:p w14:paraId="62A7397C" w14:textId="560E70A3"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3" w:history="1">
            <w:r w:rsidR="00930313" w:rsidRPr="00B51E28">
              <w:rPr>
                <w:rStyle w:val="Hyperlink"/>
                <w:rFonts w:cstheme="minorHAnsi"/>
                <w:noProof/>
                <w:lang w:val="en-GB"/>
              </w:rPr>
              <w:t>5.3.1.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Market share</w:t>
            </w:r>
            <w:r w:rsidR="00930313">
              <w:rPr>
                <w:noProof/>
                <w:webHidden/>
              </w:rPr>
              <w:tab/>
            </w:r>
            <w:r w:rsidR="00930313">
              <w:rPr>
                <w:noProof/>
                <w:webHidden/>
              </w:rPr>
              <w:fldChar w:fldCharType="begin"/>
            </w:r>
            <w:r w:rsidR="00930313">
              <w:rPr>
                <w:noProof/>
                <w:webHidden/>
              </w:rPr>
              <w:instrText xml:space="preserve"> PAGEREF _Toc169258953 \h </w:instrText>
            </w:r>
            <w:r w:rsidR="00930313">
              <w:rPr>
                <w:noProof/>
                <w:webHidden/>
              </w:rPr>
            </w:r>
            <w:r w:rsidR="00930313">
              <w:rPr>
                <w:noProof/>
                <w:webHidden/>
              </w:rPr>
              <w:fldChar w:fldCharType="separate"/>
            </w:r>
            <w:r w:rsidR="00930313">
              <w:rPr>
                <w:noProof/>
                <w:webHidden/>
              </w:rPr>
              <w:t>106</w:t>
            </w:r>
            <w:r w:rsidR="00930313">
              <w:rPr>
                <w:noProof/>
                <w:webHidden/>
              </w:rPr>
              <w:fldChar w:fldCharType="end"/>
            </w:r>
          </w:hyperlink>
        </w:p>
        <w:p w14:paraId="4455478D" w14:textId="32729DF9"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4" w:history="1">
            <w:r w:rsidR="00930313" w:rsidRPr="00B51E28">
              <w:rPr>
                <w:rStyle w:val="Hyperlink"/>
                <w:rFonts w:cstheme="minorHAnsi"/>
                <w:noProof/>
                <w:lang w:val="en-GB"/>
              </w:rPr>
              <w:t>5.3.1.1.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Market share based on the retail market</w:t>
            </w:r>
            <w:r w:rsidR="00930313">
              <w:rPr>
                <w:noProof/>
                <w:webHidden/>
              </w:rPr>
              <w:tab/>
            </w:r>
            <w:r w:rsidR="00930313">
              <w:rPr>
                <w:noProof/>
                <w:webHidden/>
              </w:rPr>
              <w:fldChar w:fldCharType="begin"/>
            </w:r>
            <w:r w:rsidR="00930313">
              <w:rPr>
                <w:noProof/>
                <w:webHidden/>
              </w:rPr>
              <w:instrText xml:space="preserve"> PAGEREF _Toc169258954 \h </w:instrText>
            </w:r>
            <w:r w:rsidR="00930313">
              <w:rPr>
                <w:noProof/>
                <w:webHidden/>
              </w:rPr>
            </w:r>
            <w:r w:rsidR="00930313">
              <w:rPr>
                <w:noProof/>
                <w:webHidden/>
              </w:rPr>
              <w:fldChar w:fldCharType="separate"/>
            </w:r>
            <w:r w:rsidR="00930313">
              <w:rPr>
                <w:noProof/>
                <w:webHidden/>
              </w:rPr>
              <w:t>108</w:t>
            </w:r>
            <w:r w:rsidR="00930313">
              <w:rPr>
                <w:noProof/>
                <w:webHidden/>
              </w:rPr>
              <w:fldChar w:fldCharType="end"/>
            </w:r>
          </w:hyperlink>
        </w:p>
        <w:p w14:paraId="16A6CF95" w14:textId="5BAF3C62"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5" w:history="1">
            <w:r w:rsidR="00930313" w:rsidRPr="00B51E28">
              <w:rPr>
                <w:rStyle w:val="Hyperlink"/>
                <w:rFonts w:cstheme="minorHAnsi"/>
                <w:noProof/>
                <w:lang w:val="en-GB"/>
              </w:rPr>
              <w:t>5.3.2.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Absolute and relative size of the operators</w:t>
            </w:r>
            <w:r w:rsidR="00930313">
              <w:rPr>
                <w:noProof/>
                <w:webHidden/>
              </w:rPr>
              <w:tab/>
            </w:r>
            <w:r w:rsidR="00930313">
              <w:rPr>
                <w:noProof/>
                <w:webHidden/>
              </w:rPr>
              <w:fldChar w:fldCharType="begin"/>
            </w:r>
            <w:r w:rsidR="00930313">
              <w:rPr>
                <w:noProof/>
                <w:webHidden/>
              </w:rPr>
              <w:instrText xml:space="preserve"> PAGEREF _Toc169258955 \h </w:instrText>
            </w:r>
            <w:r w:rsidR="00930313">
              <w:rPr>
                <w:noProof/>
                <w:webHidden/>
              </w:rPr>
            </w:r>
            <w:r w:rsidR="00930313">
              <w:rPr>
                <w:noProof/>
                <w:webHidden/>
              </w:rPr>
              <w:fldChar w:fldCharType="separate"/>
            </w:r>
            <w:r w:rsidR="00930313">
              <w:rPr>
                <w:noProof/>
                <w:webHidden/>
              </w:rPr>
              <w:t>111</w:t>
            </w:r>
            <w:r w:rsidR="00930313">
              <w:rPr>
                <w:noProof/>
                <w:webHidden/>
              </w:rPr>
              <w:fldChar w:fldCharType="end"/>
            </w:r>
          </w:hyperlink>
        </w:p>
        <w:p w14:paraId="18763510" w14:textId="7DC202D8"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6" w:history="1">
            <w:r w:rsidR="00930313" w:rsidRPr="00B51E28">
              <w:rPr>
                <w:rStyle w:val="Hyperlink"/>
                <w:rFonts w:cstheme="minorHAnsi"/>
                <w:noProof/>
                <w:lang w:val="en-GB"/>
              </w:rPr>
              <w:t>5.3.3.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Control of infrastructure not easily duplicated</w:t>
            </w:r>
            <w:r w:rsidR="00930313">
              <w:rPr>
                <w:noProof/>
                <w:webHidden/>
              </w:rPr>
              <w:tab/>
            </w:r>
            <w:r w:rsidR="00930313">
              <w:rPr>
                <w:noProof/>
                <w:webHidden/>
              </w:rPr>
              <w:fldChar w:fldCharType="begin"/>
            </w:r>
            <w:r w:rsidR="00930313">
              <w:rPr>
                <w:noProof/>
                <w:webHidden/>
              </w:rPr>
              <w:instrText xml:space="preserve"> PAGEREF _Toc169258956 \h </w:instrText>
            </w:r>
            <w:r w:rsidR="00930313">
              <w:rPr>
                <w:noProof/>
                <w:webHidden/>
              </w:rPr>
            </w:r>
            <w:r w:rsidR="00930313">
              <w:rPr>
                <w:noProof/>
                <w:webHidden/>
              </w:rPr>
              <w:fldChar w:fldCharType="separate"/>
            </w:r>
            <w:r w:rsidR="00930313">
              <w:rPr>
                <w:noProof/>
                <w:webHidden/>
              </w:rPr>
              <w:t>112</w:t>
            </w:r>
            <w:r w:rsidR="00930313">
              <w:rPr>
                <w:noProof/>
                <w:webHidden/>
              </w:rPr>
              <w:fldChar w:fldCharType="end"/>
            </w:r>
          </w:hyperlink>
        </w:p>
        <w:p w14:paraId="09DE678E" w14:textId="4E4C3A8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7" w:history="1">
            <w:r w:rsidR="00930313" w:rsidRPr="00B51E28">
              <w:rPr>
                <w:rStyle w:val="Hyperlink"/>
                <w:rFonts w:cstheme="minorHAnsi"/>
                <w:noProof/>
                <w:lang w:val="en-GB"/>
              </w:rPr>
              <w:t>5.3.4.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Absence of potential competition</w:t>
            </w:r>
            <w:r w:rsidR="00930313">
              <w:rPr>
                <w:noProof/>
                <w:webHidden/>
              </w:rPr>
              <w:tab/>
            </w:r>
            <w:r w:rsidR="00930313">
              <w:rPr>
                <w:noProof/>
                <w:webHidden/>
              </w:rPr>
              <w:fldChar w:fldCharType="begin"/>
            </w:r>
            <w:r w:rsidR="00930313">
              <w:rPr>
                <w:noProof/>
                <w:webHidden/>
              </w:rPr>
              <w:instrText xml:space="preserve"> PAGEREF _Toc169258957 \h </w:instrText>
            </w:r>
            <w:r w:rsidR="00930313">
              <w:rPr>
                <w:noProof/>
                <w:webHidden/>
              </w:rPr>
            </w:r>
            <w:r w:rsidR="00930313">
              <w:rPr>
                <w:noProof/>
                <w:webHidden/>
              </w:rPr>
              <w:fldChar w:fldCharType="separate"/>
            </w:r>
            <w:r w:rsidR="00930313">
              <w:rPr>
                <w:noProof/>
                <w:webHidden/>
              </w:rPr>
              <w:t>114</w:t>
            </w:r>
            <w:r w:rsidR="00930313">
              <w:rPr>
                <w:noProof/>
                <w:webHidden/>
              </w:rPr>
              <w:fldChar w:fldCharType="end"/>
            </w:r>
          </w:hyperlink>
        </w:p>
        <w:p w14:paraId="343763AA" w14:textId="78CE76A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8" w:history="1">
            <w:r w:rsidR="00930313" w:rsidRPr="00B51E28">
              <w:rPr>
                <w:rStyle w:val="Hyperlink"/>
                <w:rFonts w:cstheme="minorHAnsi"/>
                <w:noProof/>
                <w:lang w:val="en-GB"/>
              </w:rPr>
              <w:t>5.3.5.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Barriers to market entry and expansion</w:t>
            </w:r>
            <w:r w:rsidR="00930313">
              <w:rPr>
                <w:noProof/>
                <w:webHidden/>
              </w:rPr>
              <w:tab/>
            </w:r>
            <w:r w:rsidR="00930313">
              <w:rPr>
                <w:noProof/>
                <w:webHidden/>
              </w:rPr>
              <w:fldChar w:fldCharType="begin"/>
            </w:r>
            <w:r w:rsidR="00930313">
              <w:rPr>
                <w:noProof/>
                <w:webHidden/>
              </w:rPr>
              <w:instrText xml:space="preserve"> PAGEREF _Toc169258958 \h </w:instrText>
            </w:r>
            <w:r w:rsidR="00930313">
              <w:rPr>
                <w:noProof/>
                <w:webHidden/>
              </w:rPr>
            </w:r>
            <w:r w:rsidR="00930313">
              <w:rPr>
                <w:noProof/>
                <w:webHidden/>
              </w:rPr>
              <w:fldChar w:fldCharType="separate"/>
            </w:r>
            <w:r w:rsidR="00930313">
              <w:rPr>
                <w:noProof/>
                <w:webHidden/>
              </w:rPr>
              <w:t>115</w:t>
            </w:r>
            <w:r w:rsidR="00930313">
              <w:rPr>
                <w:noProof/>
                <w:webHidden/>
              </w:rPr>
              <w:fldChar w:fldCharType="end"/>
            </w:r>
          </w:hyperlink>
        </w:p>
        <w:p w14:paraId="4BF7499F" w14:textId="35863E4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59" w:history="1">
            <w:r w:rsidR="00930313" w:rsidRPr="00B51E28">
              <w:rPr>
                <w:rStyle w:val="Hyperlink"/>
                <w:rFonts w:cstheme="minorHAnsi"/>
                <w:noProof/>
                <w:lang w:val="en-GB"/>
              </w:rPr>
              <w:t>5.3.6.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Absence of or low countervailing buying power, conclusion of long-term and sustainable access agreements</w:t>
            </w:r>
            <w:r w:rsidR="00930313">
              <w:rPr>
                <w:noProof/>
                <w:webHidden/>
              </w:rPr>
              <w:tab/>
            </w:r>
            <w:r w:rsidR="00930313">
              <w:rPr>
                <w:noProof/>
                <w:webHidden/>
              </w:rPr>
              <w:fldChar w:fldCharType="begin"/>
            </w:r>
            <w:r w:rsidR="00930313">
              <w:rPr>
                <w:noProof/>
                <w:webHidden/>
              </w:rPr>
              <w:instrText xml:space="preserve"> PAGEREF _Toc169258959 \h </w:instrText>
            </w:r>
            <w:r w:rsidR="00930313">
              <w:rPr>
                <w:noProof/>
                <w:webHidden/>
              </w:rPr>
            </w:r>
            <w:r w:rsidR="00930313">
              <w:rPr>
                <w:noProof/>
                <w:webHidden/>
              </w:rPr>
              <w:fldChar w:fldCharType="separate"/>
            </w:r>
            <w:r w:rsidR="00930313">
              <w:rPr>
                <w:noProof/>
                <w:webHidden/>
              </w:rPr>
              <w:t>116</w:t>
            </w:r>
            <w:r w:rsidR="00930313">
              <w:rPr>
                <w:noProof/>
                <w:webHidden/>
              </w:rPr>
              <w:fldChar w:fldCharType="end"/>
            </w:r>
          </w:hyperlink>
        </w:p>
        <w:p w14:paraId="68D042EF" w14:textId="41863EE2"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60" w:history="1">
            <w:r w:rsidR="00930313" w:rsidRPr="00B51E28">
              <w:rPr>
                <w:rStyle w:val="Hyperlink"/>
                <w:rFonts w:cstheme="minorHAnsi"/>
                <w:noProof/>
                <w:lang w:val="en-GB"/>
              </w:rPr>
              <w:t>5.3.7.</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Easy or privileged access to capital markets/financial resources</w:t>
            </w:r>
            <w:r w:rsidR="00930313">
              <w:rPr>
                <w:noProof/>
                <w:webHidden/>
              </w:rPr>
              <w:tab/>
            </w:r>
            <w:r w:rsidR="00930313">
              <w:rPr>
                <w:noProof/>
                <w:webHidden/>
              </w:rPr>
              <w:fldChar w:fldCharType="begin"/>
            </w:r>
            <w:r w:rsidR="00930313">
              <w:rPr>
                <w:noProof/>
                <w:webHidden/>
              </w:rPr>
              <w:instrText xml:space="preserve"> PAGEREF _Toc169258960 \h </w:instrText>
            </w:r>
            <w:r w:rsidR="00930313">
              <w:rPr>
                <w:noProof/>
                <w:webHidden/>
              </w:rPr>
            </w:r>
            <w:r w:rsidR="00930313">
              <w:rPr>
                <w:noProof/>
                <w:webHidden/>
              </w:rPr>
              <w:fldChar w:fldCharType="separate"/>
            </w:r>
            <w:r w:rsidR="00930313">
              <w:rPr>
                <w:noProof/>
                <w:webHidden/>
              </w:rPr>
              <w:t>117</w:t>
            </w:r>
            <w:r w:rsidR="00930313">
              <w:rPr>
                <w:noProof/>
                <w:webHidden/>
              </w:rPr>
              <w:fldChar w:fldCharType="end"/>
            </w:r>
          </w:hyperlink>
        </w:p>
        <w:p w14:paraId="18A4B36D" w14:textId="09C26BA3"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61" w:history="1">
            <w:r w:rsidR="00930313" w:rsidRPr="00B51E28">
              <w:rPr>
                <w:rStyle w:val="Hyperlink"/>
                <w:rFonts w:cstheme="minorHAnsi"/>
                <w:noProof/>
                <w:lang w:val="en-GB"/>
              </w:rPr>
              <w:t>5.3.8.</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Economies of scale</w:t>
            </w:r>
            <w:r w:rsidR="00930313">
              <w:rPr>
                <w:noProof/>
                <w:webHidden/>
              </w:rPr>
              <w:tab/>
            </w:r>
            <w:r w:rsidR="00930313">
              <w:rPr>
                <w:noProof/>
                <w:webHidden/>
              </w:rPr>
              <w:fldChar w:fldCharType="begin"/>
            </w:r>
            <w:r w:rsidR="00930313">
              <w:rPr>
                <w:noProof/>
                <w:webHidden/>
              </w:rPr>
              <w:instrText xml:space="preserve"> PAGEREF _Toc169258961 \h </w:instrText>
            </w:r>
            <w:r w:rsidR="00930313">
              <w:rPr>
                <w:noProof/>
                <w:webHidden/>
              </w:rPr>
            </w:r>
            <w:r w:rsidR="00930313">
              <w:rPr>
                <w:noProof/>
                <w:webHidden/>
              </w:rPr>
              <w:fldChar w:fldCharType="separate"/>
            </w:r>
            <w:r w:rsidR="00930313">
              <w:rPr>
                <w:noProof/>
                <w:webHidden/>
              </w:rPr>
              <w:t>118</w:t>
            </w:r>
            <w:r w:rsidR="00930313">
              <w:rPr>
                <w:noProof/>
                <w:webHidden/>
              </w:rPr>
              <w:fldChar w:fldCharType="end"/>
            </w:r>
          </w:hyperlink>
        </w:p>
        <w:p w14:paraId="018425F5" w14:textId="5CCAD7C5"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62" w:history="1">
            <w:r w:rsidR="00930313" w:rsidRPr="00B51E28">
              <w:rPr>
                <w:rStyle w:val="Hyperlink"/>
                <w:rFonts w:cstheme="minorHAnsi"/>
                <w:noProof/>
                <w:lang w:val="en-GB"/>
              </w:rPr>
              <w:t>5.3.9.</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Economies of scope, product/services diversification (for example, bundled products or services)</w:t>
            </w:r>
            <w:r w:rsidR="00930313">
              <w:rPr>
                <w:noProof/>
                <w:webHidden/>
              </w:rPr>
              <w:tab/>
            </w:r>
            <w:r w:rsidR="00930313">
              <w:rPr>
                <w:noProof/>
                <w:webHidden/>
              </w:rPr>
              <w:fldChar w:fldCharType="begin"/>
            </w:r>
            <w:r w:rsidR="00930313">
              <w:rPr>
                <w:noProof/>
                <w:webHidden/>
              </w:rPr>
              <w:instrText xml:space="preserve"> PAGEREF _Toc169258962 \h </w:instrText>
            </w:r>
            <w:r w:rsidR="00930313">
              <w:rPr>
                <w:noProof/>
                <w:webHidden/>
              </w:rPr>
            </w:r>
            <w:r w:rsidR="00930313">
              <w:rPr>
                <w:noProof/>
                <w:webHidden/>
              </w:rPr>
              <w:fldChar w:fldCharType="separate"/>
            </w:r>
            <w:r w:rsidR="00930313">
              <w:rPr>
                <w:noProof/>
                <w:webHidden/>
              </w:rPr>
              <w:t>119</w:t>
            </w:r>
            <w:r w:rsidR="00930313">
              <w:rPr>
                <w:noProof/>
                <w:webHidden/>
              </w:rPr>
              <w:fldChar w:fldCharType="end"/>
            </w:r>
          </w:hyperlink>
        </w:p>
        <w:p w14:paraId="45B0D4D0" w14:textId="051AAB02"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63" w:history="1">
            <w:r w:rsidR="00930313" w:rsidRPr="00B51E28">
              <w:rPr>
                <w:rStyle w:val="Hyperlink"/>
                <w:rFonts w:cstheme="minorHAnsi"/>
                <w:noProof/>
                <w:lang w:val="en-GB"/>
              </w:rPr>
              <w:t>5.3.10.</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Vertical integration</w:t>
            </w:r>
            <w:r w:rsidR="00930313">
              <w:rPr>
                <w:noProof/>
                <w:webHidden/>
              </w:rPr>
              <w:tab/>
            </w:r>
            <w:r w:rsidR="00930313">
              <w:rPr>
                <w:noProof/>
                <w:webHidden/>
              </w:rPr>
              <w:fldChar w:fldCharType="begin"/>
            </w:r>
            <w:r w:rsidR="00930313">
              <w:rPr>
                <w:noProof/>
                <w:webHidden/>
              </w:rPr>
              <w:instrText xml:space="preserve"> PAGEREF _Toc169258963 \h </w:instrText>
            </w:r>
            <w:r w:rsidR="00930313">
              <w:rPr>
                <w:noProof/>
                <w:webHidden/>
              </w:rPr>
            </w:r>
            <w:r w:rsidR="00930313">
              <w:rPr>
                <w:noProof/>
                <w:webHidden/>
              </w:rPr>
              <w:fldChar w:fldCharType="separate"/>
            </w:r>
            <w:r w:rsidR="00930313">
              <w:rPr>
                <w:noProof/>
                <w:webHidden/>
              </w:rPr>
              <w:t>120</w:t>
            </w:r>
            <w:r w:rsidR="00930313">
              <w:rPr>
                <w:noProof/>
                <w:webHidden/>
              </w:rPr>
              <w:fldChar w:fldCharType="end"/>
            </w:r>
          </w:hyperlink>
        </w:p>
        <w:p w14:paraId="2BE0FADE" w14:textId="6C07F8E4"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64" w:history="1">
            <w:r w:rsidR="00930313" w:rsidRPr="00B51E28">
              <w:rPr>
                <w:rStyle w:val="Hyperlink"/>
                <w:noProof/>
                <w:lang w:val="en-GB"/>
              </w:rPr>
              <w:t>5.4.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Conclusion on the finding of SMP in the wholesale market for local and central access at a fixed location.</w:t>
            </w:r>
            <w:r w:rsidR="00930313">
              <w:rPr>
                <w:noProof/>
                <w:webHidden/>
              </w:rPr>
              <w:tab/>
            </w:r>
            <w:r w:rsidR="00930313">
              <w:rPr>
                <w:noProof/>
                <w:webHidden/>
              </w:rPr>
              <w:fldChar w:fldCharType="begin"/>
            </w:r>
            <w:r w:rsidR="00930313">
              <w:rPr>
                <w:noProof/>
                <w:webHidden/>
              </w:rPr>
              <w:instrText xml:space="preserve"> PAGEREF _Toc169258964 \h </w:instrText>
            </w:r>
            <w:r w:rsidR="00930313">
              <w:rPr>
                <w:noProof/>
                <w:webHidden/>
              </w:rPr>
            </w:r>
            <w:r w:rsidR="00930313">
              <w:rPr>
                <w:noProof/>
                <w:webHidden/>
              </w:rPr>
              <w:fldChar w:fldCharType="separate"/>
            </w:r>
            <w:r w:rsidR="00930313">
              <w:rPr>
                <w:noProof/>
                <w:webHidden/>
              </w:rPr>
              <w:t>121</w:t>
            </w:r>
            <w:r w:rsidR="00930313">
              <w:rPr>
                <w:noProof/>
                <w:webHidden/>
              </w:rPr>
              <w:fldChar w:fldCharType="end"/>
            </w:r>
          </w:hyperlink>
        </w:p>
        <w:p w14:paraId="7104EAA4" w14:textId="3B758977"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65" w:history="1">
            <w:r w:rsidR="00930313" w:rsidRPr="00B51E28">
              <w:rPr>
                <w:rStyle w:val="Hyperlink"/>
                <w:rFonts w:cstheme="minorHAnsi"/>
                <w:noProof/>
                <w:lang w:val="en-GB"/>
              </w:rPr>
              <w:t>5.5.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Joint dominance</w:t>
            </w:r>
            <w:r w:rsidR="00930313">
              <w:rPr>
                <w:noProof/>
                <w:webHidden/>
              </w:rPr>
              <w:tab/>
            </w:r>
            <w:r w:rsidR="00930313">
              <w:rPr>
                <w:noProof/>
                <w:webHidden/>
              </w:rPr>
              <w:fldChar w:fldCharType="begin"/>
            </w:r>
            <w:r w:rsidR="00930313">
              <w:rPr>
                <w:noProof/>
                <w:webHidden/>
              </w:rPr>
              <w:instrText xml:space="preserve"> PAGEREF _Toc169258965 \h </w:instrText>
            </w:r>
            <w:r w:rsidR="00930313">
              <w:rPr>
                <w:noProof/>
                <w:webHidden/>
              </w:rPr>
            </w:r>
            <w:r w:rsidR="00930313">
              <w:rPr>
                <w:noProof/>
                <w:webHidden/>
              </w:rPr>
              <w:fldChar w:fldCharType="separate"/>
            </w:r>
            <w:r w:rsidR="00930313">
              <w:rPr>
                <w:noProof/>
                <w:webHidden/>
              </w:rPr>
              <w:t>121</w:t>
            </w:r>
            <w:r w:rsidR="00930313">
              <w:rPr>
                <w:noProof/>
                <w:webHidden/>
              </w:rPr>
              <w:fldChar w:fldCharType="end"/>
            </w:r>
          </w:hyperlink>
        </w:p>
        <w:p w14:paraId="64AA872B" w14:textId="4530049B"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8966" w:history="1">
            <w:r w:rsidR="00930313" w:rsidRPr="00B51E28">
              <w:rPr>
                <w:rStyle w:val="Hyperlink"/>
                <w:noProof/>
                <w:lang w:val="en-GB"/>
              </w:rPr>
              <w:t>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Assessment of competition in different geographical areas</w:t>
            </w:r>
            <w:r w:rsidR="00930313">
              <w:rPr>
                <w:noProof/>
                <w:webHidden/>
              </w:rPr>
              <w:tab/>
            </w:r>
            <w:r w:rsidR="00930313">
              <w:rPr>
                <w:noProof/>
                <w:webHidden/>
              </w:rPr>
              <w:fldChar w:fldCharType="begin"/>
            </w:r>
            <w:r w:rsidR="00930313">
              <w:rPr>
                <w:noProof/>
                <w:webHidden/>
              </w:rPr>
              <w:instrText xml:space="preserve"> PAGEREF _Toc169258966 \h </w:instrText>
            </w:r>
            <w:r w:rsidR="00930313">
              <w:rPr>
                <w:noProof/>
                <w:webHidden/>
              </w:rPr>
            </w:r>
            <w:r w:rsidR="00930313">
              <w:rPr>
                <w:noProof/>
                <w:webHidden/>
              </w:rPr>
              <w:fldChar w:fldCharType="separate"/>
            </w:r>
            <w:r w:rsidR="00930313">
              <w:rPr>
                <w:noProof/>
                <w:webHidden/>
              </w:rPr>
              <w:t>125</w:t>
            </w:r>
            <w:r w:rsidR="00930313">
              <w:rPr>
                <w:noProof/>
                <w:webHidden/>
              </w:rPr>
              <w:fldChar w:fldCharType="end"/>
            </w:r>
          </w:hyperlink>
        </w:p>
        <w:p w14:paraId="7D10648B" w14:textId="7846D5A2"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67" w:history="1">
            <w:r w:rsidR="00930313" w:rsidRPr="00B51E28">
              <w:rPr>
                <w:rStyle w:val="Hyperlink"/>
                <w:noProof/>
                <w:lang w:val="en-GB"/>
              </w:rPr>
              <w:t>6.1.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The goal of promoting network competition</w:t>
            </w:r>
            <w:r w:rsidR="00930313">
              <w:rPr>
                <w:noProof/>
                <w:webHidden/>
              </w:rPr>
              <w:tab/>
            </w:r>
            <w:r w:rsidR="00930313">
              <w:rPr>
                <w:noProof/>
                <w:webHidden/>
              </w:rPr>
              <w:fldChar w:fldCharType="begin"/>
            </w:r>
            <w:r w:rsidR="00930313">
              <w:rPr>
                <w:noProof/>
                <w:webHidden/>
              </w:rPr>
              <w:instrText xml:space="preserve"> PAGEREF _Toc169258967 \h </w:instrText>
            </w:r>
            <w:r w:rsidR="00930313">
              <w:rPr>
                <w:noProof/>
                <w:webHidden/>
              </w:rPr>
            </w:r>
            <w:r w:rsidR="00930313">
              <w:rPr>
                <w:noProof/>
                <w:webHidden/>
              </w:rPr>
              <w:fldChar w:fldCharType="separate"/>
            </w:r>
            <w:r w:rsidR="00930313">
              <w:rPr>
                <w:noProof/>
                <w:webHidden/>
              </w:rPr>
              <w:t>125</w:t>
            </w:r>
            <w:r w:rsidR="00930313">
              <w:rPr>
                <w:noProof/>
                <w:webHidden/>
              </w:rPr>
              <w:fldChar w:fldCharType="end"/>
            </w:r>
          </w:hyperlink>
        </w:p>
        <w:p w14:paraId="78EE2639" w14:textId="267D794B"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68" w:history="1">
            <w:r w:rsidR="00930313" w:rsidRPr="00B51E28">
              <w:rPr>
                <w:rStyle w:val="Hyperlink"/>
                <w:noProof/>
                <w:lang w:val="en-GB"/>
              </w:rPr>
              <w:t>6.2.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Defining the possible criteria to identify variation in ability and incentives to foreclose market entry</w:t>
            </w:r>
            <w:r w:rsidR="00930313">
              <w:rPr>
                <w:noProof/>
                <w:webHidden/>
              </w:rPr>
              <w:tab/>
            </w:r>
            <w:r w:rsidR="00930313">
              <w:rPr>
                <w:noProof/>
                <w:webHidden/>
              </w:rPr>
              <w:fldChar w:fldCharType="begin"/>
            </w:r>
            <w:r w:rsidR="00930313">
              <w:rPr>
                <w:noProof/>
                <w:webHidden/>
              </w:rPr>
              <w:instrText xml:space="preserve"> PAGEREF _Toc169258968 \h </w:instrText>
            </w:r>
            <w:r w:rsidR="00930313">
              <w:rPr>
                <w:noProof/>
                <w:webHidden/>
              </w:rPr>
            </w:r>
            <w:r w:rsidR="00930313">
              <w:rPr>
                <w:noProof/>
                <w:webHidden/>
              </w:rPr>
              <w:fldChar w:fldCharType="separate"/>
            </w:r>
            <w:r w:rsidR="00930313">
              <w:rPr>
                <w:noProof/>
                <w:webHidden/>
              </w:rPr>
              <w:t>127</w:t>
            </w:r>
            <w:r w:rsidR="00930313">
              <w:rPr>
                <w:noProof/>
                <w:webHidden/>
              </w:rPr>
              <w:fldChar w:fldCharType="end"/>
            </w:r>
          </w:hyperlink>
        </w:p>
        <w:p w14:paraId="633D511D" w14:textId="6F82CCE9"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69" w:history="1">
            <w:r w:rsidR="00930313" w:rsidRPr="00B51E28">
              <w:rPr>
                <w:rStyle w:val="Hyperlink"/>
                <w:noProof/>
                <w:lang w:val="en-GB"/>
              </w:rPr>
              <w:t>6.3.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Risk assessment of the criteria</w:t>
            </w:r>
            <w:r w:rsidR="00930313">
              <w:rPr>
                <w:noProof/>
                <w:webHidden/>
              </w:rPr>
              <w:tab/>
            </w:r>
            <w:r w:rsidR="00930313">
              <w:rPr>
                <w:noProof/>
                <w:webHidden/>
              </w:rPr>
              <w:fldChar w:fldCharType="begin"/>
            </w:r>
            <w:r w:rsidR="00930313">
              <w:rPr>
                <w:noProof/>
                <w:webHidden/>
              </w:rPr>
              <w:instrText xml:space="preserve"> PAGEREF _Toc169258969 \h </w:instrText>
            </w:r>
            <w:r w:rsidR="00930313">
              <w:rPr>
                <w:noProof/>
                <w:webHidden/>
              </w:rPr>
            </w:r>
            <w:r w:rsidR="00930313">
              <w:rPr>
                <w:noProof/>
                <w:webHidden/>
              </w:rPr>
              <w:fldChar w:fldCharType="separate"/>
            </w:r>
            <w:r w:rsidR="00930313">
              <w:rPr>
                <w:noProof/>
                <w:webHidden/>
              </w:rPr>
              <w:t>133</w:t>
            </w:r>
            <w:r w:rsidR="00930313">
              <w:rPr>
                <w:noProof/>
                <w:webHidden/>
              </w:rPr>
              <w:fldChar w:fldCharType="end"/>
            </w:r>
          </w:hyperlink>
        </w:p>
        <w:p w14:paraId="425DC1D7" w14:textId="59FF7CD7"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0" w:history="1">
            <w:r w:rsidR="00930313" w:rsidRPr="00B51E28">
              <w:rPr>
                <w:rStyle w:val="Hyperlink"/>
                <w:rFonts w:cstheme="minorHAnsi"/>
                <w:noProof/>
                <w:lang w:val="en-GB"/>
              </w:rPr>
              <w:t>6.3.1.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Settlements without fibre network are not affected</w:t>
            </w:r>
            <w:r w:rsidR="00930313">
              <w:rPr>
                <w:noProof/>
                <w:webHidden/>
              </w:rPr>
              <w:tab/>
            </w:r>
            <w:r w:rsidR="00930313">
              <w:rPr>
                <w:noProof/>
                <w:webHidden/>
              </w:rPr>
              <w:fldChar w:fldCharType="begin"/>
            </w:r>
            <w:r w:rsidR="00930313">
              <w:rPr>
                <w:noProof/>
                <w:webHidden/>
              </w:rPr>
              <w:instrText xml:space="preserve"> PAGEREF _Toc169258970 \h </w:instrText>
            </w:r>
            <w:r w:rsidR="00930313">
              <w:rPr>
                <w:noProof/>
                <w:webHidden/>
              </w:rPr>
            </w:r>
            <w:r w:rsidR="00930313">
              <w:rPr>
                <w:noProof/>
                <w:webHidden/>
              </w:rPr>
              <w:fldChar w:fldCharType="separate"/>
            </w:r>
            <w:r w:rsidR="00930313">
              <w:rPr>
                <w:noProof/>
                <w:webHidden/>
              </w:rPr>
              <w:t>133</w:t>
            </w:r>
            <w:r w:rsidR="00930313">
              <w:rPr>
                <w:noProof/>
                <w:webHidden/>
              </w:rPr>
              <w:fldChar w:fldCharType="end"/>
            </w:r>
          </w:hyperlink>
        </w:p>
        <w:p w14:paraId="21E23C0F" w14:textId="55D7432A"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1" w:history="1">
            <w:r w:rsidR="00930313" w:rsidRPr="00B51E28">
              <w:rPr>
                <w:rStyle w:val="Hyperlink"/>
                <w:rFonts w:cstheme="minorHAnsi"/>
                <w:noProof/>
                <w:lang w:val="en-GB"/>
              </w:rPr>
              <w:t>6.3.2.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Settlements where other operators have more FTTx subscribers than Magticom</w:t>
            </w:r>
            <w:r w:rsidR="00930313">
              <w:rPr>
                <w:noProof/>
                <w:webHidden/>
              </w:rPr>
              <w:tab/>
            </w:r>
            <w:r w:rsidR="00930313">
              <w:rPr>
                <w:noProof/>
                <w:webHidden/>
              </w:rPr>
              <w:fldChar w:fldCharType="begin"/>
            </w:r>
            <w:r w:rsidR="00930313">
              <w:rPr>
                <w:noProof/>
                <w:webHidden/>
              </w:rPr>
              <w:instrText xml:space="preserve"> PAGEREF _Toc169258971 \h </w:instrText>
            </w:r>
            <w:r w:rsidR="00930313">
              <w:rPr>
                <w:noProof/>
                <w:webHidden/>
              </w:rPr>
            </w:r>
            <w:r w:rsidR="00930313">
              <w:rPr>
                <w:noProof/>
                <w:webHidden/>
              </w:rPr>
              <w:fldChar w:fldCharType="separate"/>
            </w:r>
            <w:r w:rsidR="00930313">
              <w:rPr>
                <w:noProof/>
                <w:webHidden/>
              </w:rPr>
              <w:t>133</w:t>
            </w:r>
            <w:r w:rsidR="00930313">
              <w:rPr>
                <w:noProof/>
                <w:webHidden/>
              </w:rPr>
              <w:fldChar w:fldCharType="end"/>
            </w:r>
          </w:hyperlink>
        </w:p>
        <w:p w14:paraId="7F26D4F3" w14:textId="33DE6CC4"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2" w:history="1">
            <w:r w:rsidR="00930313" w:rsidRPr="00B51E28">
              <w:rPr>
                <w:rStyle w:val="Hyperlink"/>
                <w:rFonts w:cstheme="minorHAnsi"/>
                <w:noProof/>
                <w:lang w:val="en-GB"/>
              </w:rPr>
              <w:t>6.3.3.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The risks in settlements where Magticom is not present but other FTTx operators exist</w:t>
            </w:r>
            <w:r w:rsidR="00930313">
              <w:rPr>
                <w:noProof/>
                <w:webHidden/>
              </w:rPr>
              <w:tab/>
            </w:r>
            <w:r w:rsidR="00930313">
              <w:rPr>
                <w:noProof/>
                <w:webHidden/>
              </w:rPr>
              <w:fldChar w:fldCharType="begin"/>
            </w:r>
            <w:r w:rsidR="00930313">
              <w:rPr>
                <w:noProof/>
                <w:webHidden/>
              </w:rPr>
              <w:instrText xml:space="preserve"> PAGEREF _Toc169258972 \h </w:instrText>
            </w:r>
            <w:r w:rsidR="00930313">
              <w:rPr>
                <w:noProof/>
                <w:webHidden/>
              </w:rPr>
            </w:r>
            <w:r w:rsidR="00930313">
              <w:rPr>
                <w:noProof/>
                <w:webHidden/>
              </w:rPr>
              <w:fldChar w:fldCharType="separate"/>
            </w:r>
            <w:r w:rsidR="00930313">
              <w:rPr>
                <w:noProof/>
                <w:webHidden/>
              </w:rPr>
              <w:t>134</w:t>
            </w:r>
            <w:r w:rsidR="00930313">
              <w:rPr>
                <w:noProof/>
                <w:webHidden/>
              </w:rPr>
              <w:fldChar w:fldCharType="end"/>
            </w:r>
          </w:hyperlink>
        </w:p>
        <w:p w14:paraId="0FC475C0" w14:textId="2AFF04CA"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3" w:history="1">
            <w:r w:rsidR="00930313" w:rsidRPr="00B51E28">
              <w:rPr>
                <w:rStyle w:val="Hyperlink"/>
                <w:rFonts w:cstheme="minorHAnsi"/>
                <w:noProof/>
                <w:lang w:val="en-GB"/>
              </w:rPr>
              <w:t>6.3.4.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Risks caused by data not being detailed enough</w:t>
            </w:r>
            <w:r w:rsidR="00930313">
              <w:rPr>
                <w:noProof/>
                <w:webHidden/>
              </w:rPr>
              <w:tab/>
            </w:r>
            <w:r w:rsidR="00930313">
              <w:rPr>
                <w:noProof/>
                <w:webHidden/>
              </w:rPr>
              <w:fldChar w:fldCharType="begin"/>
            </w:r>
            <w:r w:rsidR="00930313">
              <w:rPr>
                <w:noProof/>
                <w:webHidden/>
              </w:rPr>
              <w:instrText xml:space="preserve"> PAGEREF _Toc169258973 \h </w:instrText>
            </w:r>
            <w:r w:rsidR="00930313">
              <w:rPr>
                <w:noProof/>
                <w:webHidden/>
              </w:rPr>
            </w:r>
            <w:r w:rsidR="00930313">
              <w:rPr>
                <w:noProof/>
                <w:webHidden/>
              </w:rPr>
              <w:fldChar w:fldCharType="separate"/>
            </w:r>
            <w:r w:rsidR="00930313">
              <w:rPr>
                <w:noProof/>
                <w:webHidden/>
              </w:rPr>
              <w:t>136</w:t>
            </w:r>
            <w:r w:rsidR="00930313">
              <w:rPr>
                <w:noProof/>
                <w:webHidden/>
              </w:rPr>
              <w:fldChar w:fldCharType="end"/>
            </w:r>
          </w:hyperlink>
        </w:p>
        <w:p w14:paraId="7EE609CF" w14:textId="6130D46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4" w:history="1">
            <w:r w:rsidR="00930313" w:rsidRPr="00B51E28">
              <w:rPr>
                <w:rStyle w:val="Hyperlink"/>
                <w:rFonts w:cstheme="minorHAnsi"/>
                <w:noProof/>
                <w:lang w:val="en-GB"/>
              </w:rPr>
              <w:t>6.3.5.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Risk resulting from inaccurate data</w:t>
            </w:r>
            <w:r w:rsidR="00930313">
              <w:rPr>
                <w:noProof/>
                <w:webHidden/>
              </w:rPr>
              <w:tab/>
            </w:r>
            <w:r w:rsidR="00930313">
              <w:rPr>
                <w:noProof/>
                <w:webHidden/>
              </w:rPr>
              <w:fldChar w:fldCharType="begin"/>
            </w:r>
            <w:r w:rsidR="00930313">
              <w:rPr>
                <w:noProof/>
                <w:webHidden/>
              </w:rPr>
              <w:instrText xml:space="preserve"> PAGEREF _Toc169258974 \h </w:instrText>
            </w:r>
            <w:r w:rsidR="00930313">
              <w:rPr>
                <w:noProof/>
                <w:webHidden/>
              </w:rPr>
            </w:r>
            <w:r w:rsidR="00930313">
              <w:rPr>
                <w:noProof/>
                <w:webHidden/>
              </w:rPr>
              <w:fldChar w:fldCharType="separate"/>
            </w:r>
            <w:r w:rsidR="00930313">
              <w:rPr>
                <w:noProof/>
                <w:webHidden/>
              </w:rPr>
              <w:t>137</w:t>
            </w:r>
            <w:r w:rsidR="00930313">
              <w:rPr>
                <w:noProof/>
                <w:webHidden/>
              </w:rPr>
              <w:fldChar w:fldCharType="end"/>
            </w:r>
          </w:hyperlink>
        </w:p>
        <w:p w14:paraId="5A1339D7" w14:textId="445E88B8"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5" w:history="1">
            <w:r w:rsidR="00930313" w:rsidRPr="00B51E28">
              <w:rPr>
                <w:rStyle w:val="Hyperlink"/>
                <w:rFonts w:cstheme="minorHAnsi"/>
                <w:noProof/>
                <w:lang w:val="en-GB"/>
              </w:rPr>
              <w:t>6.3.6.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Conclusion</w:t>
            </w:r>
            <w:r w:rsidR="00930313">
              <w:rPr>
                <w:noProof/>
                <w:webHidden/>
              </w:rPr>
              <w:tab/>
            </w:r>
            <w:r w:rsidR="00930313">
              <w:rPr>
                <w:noProof/>
                <w:webHidden/>
              </w:rPr>
              <w:fldChar w:fldCharType="begin"/>
            </w:r>
            <w:r w:rsidR="00930313">
              <w:rPr>
                <w:noProof/>
                <w:webHidden/>
              </w:rPr>
              <w:instrText xml:space="preserve"> PAGEREF _Toc169258975 \h </w:instrText>
            </w:r>
            <w:r w:rsidR="00930313">
              <w:rPr>
                <w:noProof/>
                <w:webHidden/>
              </w:rPr>
            </w:r>
            <w:r w:rsidR="00930313">
              <w:rPr>
                <w:noProof/>
                <w:webHidden/>
              </w:rPr>
              <w:fldChar w:fldCharType="separate"/>
            </w:r>
            <w:r w:rsidR="00930313">
              <w:rPr>
                <w:noProof/>
                <w:webHidden/>
              </w:rPr>
              <w:t>138</w:t>
            </w:r>
            <w:r w:rsidR="00930313">
              <w:rPr>
                <w:noProof/>
                <w:webHidden/>
              </w:rPr>
              <w:fldChar w:fldCharType="end"/>
            </w:r>
          </w:hyperlink>
        </w:p>
        <w:p w14:paraId="2E9EDFD2" w14:textId="1AC26D01"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76" w:history="1">
            <w:r w:rsidR="00930313" w:rsidRPr="00B51E28">
              <w:rPr>
                <w:rStyle w:val="Hyperlink"/>
                <w:noProof/>
                <w:lang w:val="en-GB"/>
              </w:rPr>
              <w:t>6.4.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Assessment of Georgian settlements using each criterion</w:t>
            </w:r>
            <w:r w:rsidR="00930313">
              <w:rPr>
                <w:noProof/>
                <w:webHidden/>
              </w:rPr>
              <w:tab/>
            </w:r>
            <w:r w:rsidR="00930313">
              <w:rPr>
                <w:noProof/>
                <w:webHidden/>
              </w:rPr>
              <w:fldChar w:fldCharType="begin"/>
            </w:r>
            <w:r w:rsidR="00930313">
              <w:rPr>
                <w:noProof/>
                <w:webHidden/>
              </w:rPr>
              <w:instrText xml:space="preserve"> PAGEREF _Toc169258976 \h </w:instrText>
            </w:r>
            <w:r w:rsidR="00930313">
              <w:rPr>
                <w:noProof/>
                <w:webHidden/>
              </w:rPr>
            </w:r>
            <w:r w:rsidR="00930313">
              <w:rPr>
                <w:noProof/>
                <w:webHidden/>
              </w:rPr>
              <w:fldChar w:fldCharType="separate"/>
            </w:r>
            <w:r w:rsidR="00930313">
              <w:rPr>
                <w:noProof/>
                <w:webHidden/>
              </w:rPr>
              <w:t>138</w:t>
            </w:r>
            <w:r w:rsidR="00930313">
              <w:rPr>
                <w:noProof/>
                <w:webHidden/>
              </w:rPr>
              <w:fldChar w:fldCharType="end"/>
            </w:r>
          </w:hyperlink>
        </w:p>
        <w:p w14:paraId="1FFD58A7" w14:textId="3D1E1590"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7" w:history="1">
            <w:r w:rsidR="00930313" w:rsidRPr="00B51E28">
              <w:rPr>
                <w:rStyle w:val="Hyperlink"/>
                <w:rFonts w:cstheme="minorHAnsi"/>
                <w:noProof/>
                <w:lang w:val="en-GB"/>
              </w:rPr>
              <w:t>6.4.1.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Criterion i.: Three FTTx network operators are present in the settlement</w:t>
            </w:r>
            <w:r w:rsidR="00930313">
              <w:rPr>
                <w:noProof/>
                <w:webHidden/>
              </w:rPr>
              <w:tab/>
            </w:r>
            <w:r w:rsidR="00930313">
              <w:rPr>
                <w:noProof/>
                <w:webHidden/>
              </w:rPr>
              <w:fldChar w:fldCharType="begin"/>
            </w:r>
            <w:r w:rsidR="00930313">
              <w:rPr>
                <w:noProof/>
                <w:webHidden/>
              </w:rPr>
              <w:instrText xml:space="preserve"> PAGEREF _Toc169258977 \h </w:instrText>
            </w:r>
            <w:r w:rsidR="00930313">
              <w:rPr>
                <w:noProof/>
                <w:webHidden/>
              </w:rPr>
            </w:r>
            <w:r w:rsidR="00930313">
              <w:rPr>
                <w:noProof/>
                <w:webHidden/>
              </w:rPr>
              <w:fldChar w:fldCharType="separate"/>
            </w:r>
            <w:r w:rsidR="00930313">
              <w:rPr>
                <w:noProof/>
                <w:webHidden/>
              </w:rPr>
              <w:t>139</w:t>
            </w:r>
            <w:r w:rsidR="00930313">
              <w:rPr>
                <w:noProof/>
                <w:webHidden/>
              </w:rPr>
              <w:fldChar w:fldCharType="end"/>
            </w:r>
          </w:hyperlink>
        </w:p>
        <w:p w14:paraId="553EBE95" w14:textId="25D986D3"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8" w:history="1">
            <w:r w:rsidR="00930313" w:rsidRPr="00B51E28">
              <w:rPr>
                <w:rStyle w:val="Hyperlink"/>
                <w:rFonts w:cstheme="minorHAnsi"/>
                <w:noProof/>
                <w:lang w:val="en-GB"/>
              </w:rPr>
              <w:t>6.4.2.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Criterion ii.: Magticom’s share of FTTx broadband access users is below 40%</w:t>
            </w:r>
            <w:r w:rsidR="00930313">
              <w:rPr>
                <w:noProof/>
                <w:webHidden/>
              </w:rPr>
              <w:tab/>
            </w:r>
            <w:r w:rsidR="00930313">
              <w:rPr>
                <w:noProof/>
                <w:webHidden/>
              </w:rPr>
              <w:fldChar w:fldCharType="begin"/>
            </w:r>
            <w:r w:rsidR="00930313">
              <w:rPr>
                <w:noProof/>
                <w:webHidden/>
              </w:rPr>
              <w:instrText xml:space="preserve"> PAGEREF _Toc169258978 \h </w:instrText>
            </w:r>
            <w:r w:rsidR="00930313">
              <w:rPr>
                <w:noProof/>
                <w:webHidden/>
              </w:rPr>
            </w:r>
            <w:r w:rsidR="00930313">
              <w:rPr>
                <w:noProof/>
                <w:webHidden/>
              </w:rPr>
              <w:fldChar w:fldCharType="separate"/>
            </w:r>
            <w:r w:rsidR="00930313">
              <w:rPr>
                <w:noProof/>
                <w:webHidden/>
              </w:rPr>
              <w:t>140</w:t>
            </w:r>
            <w:r w:rsidR="00930313">
              <w:rPr>
                <w:noProof/>
                <w:webHidden/>
              </w:rPr>
              <w:fldChar w:fldCharType="end"/>
            </w:r>
          </w:hyperlink>
        </w:p>
        <w:p w14:paraId="632231A5" w14:textId="466BF129"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79" w:history="1">
            <w:r w:rsidR="00930313" w:rsidRPr="00B51E28">
              <w:rPr>
                <w:rStyle w:val="Hyperlink"/>
                <w:rFonts w:cstheme="minorHAnsi"/>
                <w:noProof/>
                <w:lang w:val="en-GB"/>
              </w:rPr>
              <w:t>6.4.3.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Criterion iii.: A least two further operators each have a share of FTTx broadband access users FTTx above 10%</w:t>
            </w:r>
            <w:r w:rsidR="00930313">
              <w:rPr>
                <w:noProof/>
                <w:webHidden/>
              </w:rPr>
              <w:tab/>
            </w:r>
            <w:r w:rsidR="00930313">
              <w:rPr>
                <w:noProof/>
                <w:webHidden/>
              </w:rPr>
              <w:fldChar w:fldCharType="begin"/>
            </w:r>
            <w:r w:rsidR="00930313">
              <w:rPr>
                <w:noProof/>
                <w:webHidden/>
              </w:rPr>
              <w:instrText xml:space="preserve"> PAGEREF _Toc169258979 \h </w:instrText>
            </w:r>
            <w:r w:rsidR="00930313">
              <w:rPr>
                <w:noProof/>
                <w:webHidden/>
              </w:rPr>
            </w:r>
            <w:r w:rsidR="00930313">
              <w:rPr>
                <w:noProof/>
                <w:webHidden/>
              </w:rPr>
              <w:fldChar w:fldCharType="separate"/>
            </w:r>
            <w:r w:rsidR="00930313">
              <w:rPr>
                <w:noProof/>
                <w:webHidden/>
              </w:rPr>
              <w:t>141</w:t>
            </w:r>
            <w:r w:rsidR="00930313">
              <w:rPr>
                <w:noProof/>
                <w:webHidden/>
              </w:rPr>
              <w:fldChar w:fldCharType="end"/>
            </w:r>
          </w:hyperlink>
        </w:p>
        <w:p w14:paraId="31D766C7" w14:textId="1BD69550"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80" w:history="1">
            <w:r w:rsidR="00930313" w:rsidRPr="00B51E28">
              <w:rPr>
                <w:rStyle w:val="Hyperlink"/>
                <w:noProof/>
                <w:lang w:val="en-GB"/>
              </w:rPr>
              <w:t>6.5.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Assessment of all three cumulative criteria together</w:t>
            </w:r>
            <w:r w:rsidR="00930313">
              <w:rPr>
                <w:noProof/>
                <w:webHidden/>
              </w:rPr>
              <w:tab/>
            </w:r>
            <w:r w:rsidR="00930313">
              <w:rPr>
                <w:noProof/>
                <w:webHidden/>
              </w:rPr>
              <w:fldChar w:fldCharType="begin"/>
            </w:r>
            <w:r w:rsidR="00930313">
              <w:rPr>
                <w:noProof/>
                <w:webHidden/>
              </w:rPr>
              <w:instrText xml:space="preserve"> PAGEREF _Toc169258980 \h </w:instrText>
            </w:r>
            <w:r w:rsidR="00930313">
              <w:rPr>
                <w:noProof/>
                <w:webHidden/>
              </w:rPr>
            </w:r>
            <w:r w:rsidR="00930313">
              <w:rPr>
                <w:noProof/>
                <w:webHidden/>
              </w:rPr>
              <w:fldChar w:fldCharType="separate"/>
            </w:r>
            <w:r w:rsidR="00930313">
              <w:rPr>
                <w:noProof/>
                <w:webHidden/>
              </w:rPr>
              <w:t>142</w:t>
            </w:r>
            <w:r w:rsidR="00930313">
              <w:rPr>
                <w:noProof/>
                <w:webHidden/>
              </w:rPr>
              <w:fldChar w:fldCharType="end"/>
            </w:r>
          </w:hyperlink>
        </w:p>
        <w:p w14:paraId="2F8E9FFC" w14:textId="242B3C54"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81" w:history="1">
            <w:r w:rsidR="00930313" w:rsidRPr="00B51E28">
              <w:rPr>
                <w:rStyle w:val="Hyperlink"/>
                <w:rFonts w:cstheme="minorHAnsi"/>
                <w:noProof/>
                <w:lang w:val="en-GB"/>
              </w:rPr>
              <w:t>6.5.1.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The three main criteria together</w:t>
            </w:r>
            <w:r w:rsidR="00930313">
              <w:rPr>
                <w:noProof/>
                <w:webHidden/>
              </w:rPr>
              <w:tab/>
            </w:r>
            <w:r w:rsidR="00930313">
              <w:rPr>
                <w:noProof/>
                <w:webHidden/>
              </w:rPr>
              <w:fldChar w:fldCharType="begin"/>
            </w:r>
            <w:r w:rsidR="00930313">
              <w:rPr>
                <w:noProof/>
                <w:webHidden/>
              </w:rPr>
              <w:instrText xml:space="preserve"> PAGEREF _Toc169258981 \h </w:instrText>
            </w:r>
            <w:r w:rsidR="00930313">
              <w:rPr>
                <w:noProof/>
                <w:webHidden/>
              </w:rPr>
            </w:r>
            <w:r w:rsidR="00930313">
              <w:rPr>
                <w:noProof/>
                <w:webHidden/>
              </w:rPr>
              <w:fldChar w:fldCharType="separate"/>
            </w:r>
            <w:r w:rsidR="00930313">
              <w:rPr>
                <w:noProof/>
                <w:webHidden/>
              </w:rPr>
              <w:t>143</w:t>
            </w:r>
            <w:r w:rsidR="00930313">
              <w:rPr>
                <w:noProof/>
                <w:webHidden/>
              </w:rPr>
              <w:fldChar w:fldCharType="end"/>
            </w:r>
          </w:hyperlink>
        </w:p>
        <w:p w14:paraId="0D9C4929" w14:textId="0F60DAB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82" w:history="1">
            <w:r w:rsidR="00930313" w:rsidRPr="00B51E28">
              <w:rPr>
                <w:rStyle w:val="Hyperlink"/>
                <w:rFonts w:cstheme="minorHAnsi"/>
                <w:noProof/>
                <w:lang w:val="en-GB"/>
              </w:rPr>
              <w:t>6.5.2.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Assessment of competition in settlements with more than 100,000 inhabitants</w:t>
            </w:r>
            <w:r w:rsidR="00930313">
              <w:rPr>
                <w:noProof/>
                <w:webHidden/>
              </w:rPr>
              <w:tab/>
            </w:r>
            <w:r w:rsidR="00930313">
              <w:rPr>
                <w:noProof/>
                <w:webHidden/>
              </w:rPr>
              <w:fldChar w:fldCharType="begin"/>
            </w:r>
            <w:r w:rsidR="00930313">
              <w:rPr>
                <w:noProof/>
                <w:webHidden/>
              </w:rPr>
              <w:instrText xml:space="preserve"> PAGEREF _Toc169258982 \h </w:instrText>
            </w:r>
            <w:r w:rsidR="00930313">
              <w:rPr>
                <w:noProof/>
                <w:webHidden/>
              </w:rPr>
            </w:r>
            <w:r w:rsidR="00930313">
              <w:rPr>
                <w:noProof/>
                <w:webHidden/>
              </w:rPr>
              <w:fldChar w:fldCharType="separate"/>
            </w:r>
            <w:r w:rsidR="00930313">
              <w:rPr>
                <w:noProof/>
                <w:webHidden/>
              </w:rPr>
              <w:t>146</w:t>
            </w:r>
            <w:r w:rsidR="00930313">
              <w:rPr>
                <w:noProof/>
                <w:webHidden/>
              </w:rPr>
              <w:fldChar w:fldCharType="end"/>
            </w:r>
          </w:hyperlink>
        </w:p>
        <w:p w14:paraId="3FAF6FBA" w14:textId="5CCA5B6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83" w:history="1">
            <w:r w:rsidR="00930313" w:rsidRPr="00B51E28">
              <w:rPr>
                <w:rStyle w:val="Hyperlink"/>
                <w:rFonts w:cstheme="minorHAnsi"/>
                <w:noProof/>
                <w:lang w:val="en-GB"/>
              </w:rPr>
              <w:t>6.5.3.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highlight w:val="yellow"/>
                <w:lang w:val="en-GB"/>
              </w:rPr>
              <w:t>Does Magticom’s share of FTTx broadband tend towards below 40%?</w:t>
            </w:r>
            <w:r w:rsidR="00930313">
              <w:rPr>
                <w:noProof/>
                <w:webHidden/>
              </w:rPr>
              <w:tab/>
            </w:r>
            <w:r w:rsidR="00930313">
              <w:rPr>
                <w:noProof/>
                <w:webHidden/>
              </w:rPr>
              <w:fldChar w:fldCharType="begin"/>
            </w:r>
            <w:r w:rsidR="00930313">
              <w:rPr>
                <w:noProof/>
                <w:webHidden/>
              </w:rPr>
              <w:instrText xml:space="preserve"> PAGEREF _Toc169258983 \h </w:instrText>
            </w:r>
            <w:r w:rsidR="00930313">
              <w:rPr>
                <w:noProof/>
                <w:webHidden/>
              </w:rPr>
            </w:r>
            <w:r w:rsidR="00930313">
              <w:rPr>
                <w:noProof/>
                <w:webHidden/>
              </w:rPr>
              <w:fldChar w:fldCharType="separate"/>
            </w:r>
            <w:r w:rsidR="00930313">
              <w:rPr>
                <w:noProof/>
                <w:webHidden/>
              </w:rPr>
              <w:t>147</w:t>
            </w:r>
            <w:r w:rsidR="00930313">
              <w:rPr>
                <w:noProof/>
                <w:webHidden/>
              </w:rPr>
              <w:fldChar w:fldCharType="end"/>
            </w:r>
          </w:hyperlink>
        </w:p>
        <w:p w14:paraId="485E1780" w14:textId="53990A0A"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84" w:history="1">
            <w:r w:rsidR="00930313" w:rsidRPr="00B51E28">
              <w:rPr>
                <w:rStyle w:val="Hyperlink"/>
                <w:rFonts w:cstheme="minorHAnsi"/>
                <w:noProof/>
                <w:lang w:val="en-GB"/>
              </w:rPr>
              <w:t>6.5.4.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Premises passed</w:t>
            </w:r>
            <w:r w:rsidR="00930313">
              <w:rPr>
                <w:noProof/>
                <w:webHidden/>
              </w:rPr>
              <w:tab/>
            </w:r>
            <w:r w:rsidR="00930313">
              <w:rPr>
                <w:noProof/>
                <w:webHidden/>
              </w:rPr>
              <w:fldChar w:fldCharType="begin"/>
            </w:r>
            <w:r w:rsidR="00930313">
              <w:rPr>
                <w:noProof/>
                <w:webHidden/>
              </w:rPr>
              <w:instrText xml:space="preserve"> PAGEREF _Toc169258984 \h </w:instrText>
            </w:r>
            <w:r w:rsidR="00930313">
              <w:rPr>
                <w:noProof/>
                <w:webHidden/>
              </w:rPr>
            </w:r>
            <w:r w:rsidR="00930313">
              <w:rPr>
                <w:noProof/>
                <w:webHidden/>
              </w:rPr>
              <w:fldChar w:fldCharType="separate"/>
            </w:r>
            <w:r w:rsidR="00930313">
              <w:rPr>
                <w:noProof/>
                <w:webHidden/>
              </w:rPr>
              <w:t>147</w:t>
            </w:r>
            <w:r w:rsidR="00930313">
              <w:rPr>
                <w:noProof/>
                <w:webHidden/>
              </w:rPr>
              <w:fldChar w:fldCharType="end"/>
            </w:r>
          </w:hyperlink>
        </w:p>
        <w:p w14:paraId="5CB856AD" w14:textId="4DFAEB28"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85" w:history="1">
            <w:r w:rsidR="00930313" w:rsidRPr="00B51E28">
              <w:rPr>
                <w:rStyle w:val="Hyperlink"/>
                <w:noProof/>
                <w:lang w:val="en-GB"/>
              </w:rPr>
              <w:t>6.6.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Conclusions on the geographical analysis of competition</w:t>
            </w:r>
            <w:r w:rsidR="00930313">
              <w:rPr>
                <w:noProof/>
                <w:webHidden/>
              </w:rPr>
              <w:tab/>
            </w:r>
            <w:r w:rsidR="00930313">
              <w:rPr>
                <w:noProof/>
                <w:webHidden/>
              </w:rPr>
              <w:fldChar w:fldCharType="begin"/>
            </w:r>
            <w:r w:rsidR="00930313">
              <w:rPr>
                <w:noProof/>
                <w:webHidden/>
              </w:rPr>
              <w:instrText xml:space="preserve"> PAGEREF _Toc169258985 \h </w:instrText>
            </w:r>
            <w:r w:rsidR="00930313">
              <w:rPr>
                <w:noProof/>
                <w:webHidden/>
              </w:rPr>
            </w:r>
            <w:r w:rsidR="00930313">
              <w:rPr>
                <w:noProof/>
                <w:webHidden/>
              </w:rPr>
              <w:fldChar w:fldCharType="separate"/>
            </w:r>
            <w:r w:rsidR="00930313">
              <w:rPr>
                <w:noProof/>
                <w:webHidden/>
              </w:rPr>
              <w:t>149</w:t>
            </w:r>
            <w:r w:rsidR="00930313">
              <w:rPr>
                <w:noProof/>
                <w:webHidden/>
              </w:rPr>
              <w:fldChar w:fldCharType="end"/>
            </w:r>
          </w:hyperlink>
        </w:p>
        <w:p w14:paraId="26E20823" w14:textId="34ADC8D5"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86" w:history="1">
            <w:r w:rsidR="00930313" w:rsidRPr="00B51E28">
              <w:rPr>
                <w:rStyle w:val="Hyperlink"/>
                <w:noProof/>
                <w:lang w:val="en-GB"/>
              </w:rPr>
              <w:t>6.7.</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Updating the list of contestable settlements</w:t>
            </w:r>
            <w:r w:rsidR="00930313">
              <w:rPr>
                <w:noProof/>
                <w:webHidden/>
              </w:rPr>
              <w:tab/>
            </w:r>
            <w:r w:rsidR="00930313">
              <w:rPr>
                <w:noProof/>
                <w:webHidden/>
              </w:rPr>
              <w:fldChar w:fldCharType="begin"/>
            </w:r>
            <w:r w:rsidR="00930313">
              <w:rPr>
                <w:noProof/>
                <w:webHidden/>
              </w:rPr>
              <w:instrText xml:space="preserve"> PAGEREF _Toc169258986 \h </w:instrText>
            </w:r>
            <w:r w:rsidR="00930313">
              <w:rPr>
                <w:noProof/>
                <w:webHidden/>
              </w:rPr>
            </w:r>
            <w:r w:rsidR="00930313">
              <w:rPr>
                <w:noProof/>
                <w:webHidden/>
              </w:rPr>
              <w:fldChar w:fldCharType="separate"/>
            </w:r>
            <w:r w:rsidR="00930313">
              <w:rPr>
                <w:noProof/>
                <w:webHidden/>
              </w:rPr>
              <w:t>151</w:t>
            </w:r>
            <w:r w:rsidR="00930313">
              <w:rPr>
                <w:noProof/>
                <w:webHidden/>
              </w:rPr>
              <w:fldChar w:fldCharType="end"/>
            </w:r>
          </w:hyperlink>
        </w:p>
        <w:p w14:paraId="485EDFA9" w14:textId="12671597"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87" w:history="1">
            <w:r w:rsidR="00930313" w:rsidRPr="00B51E28">
              <w:rPr>
                <w:rStyle w:val="Hyperlink"/>
                <w:rFonts w:cstheme="minorHAnsi"/>
                <w:noProof/>
                <w:lang w:val="en-GB"/>
              </w:rPr>
              <w:t>6.7.1.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Risk analysis of the frequency of updating the analysis</w:t>
            </w:r>
            <w:r w:rsidR="00930313">
              <w:rPr>
                <w:noProof/>
                <w:webHidden/>
              </w:rPr>
              <w:tab/>
            </w:r>
            <w:r w:rsidR="00930313">
              <w:rPr>
                <w:noProof/>
                <w:webHidden/>
              </w:rPr>
              <w:fldChar w:fldCharType="begin"/>
            </w:r>
            <w:r w:rsidR="00930313">
              <w:rPr>
                <w:noProof/>
                <w:webHidden/>
              </w:rPr>
              <w:instrText xml:space="preserve"> PAGEREF _Toc169258987 \h </w:instrText>
            </w:r>
            <w:r w:rsidR="00930313">
              <w:rPr>
                <w:noProof/>
                <w:webHidden/>
              </w:rPr>
            </w:r>
            <w:r w:rsidR="00930313">
              <w:rPr>
                <w:noProof/>
                <w:webHidden/>
              </w:rPr>
              <w:fldChar w:fldCharType="separate"/>
            </w:r>
            <w:r w:rsidR="00930313">
              <w:rPr>
                <w:noProof/>
                <w:webHidden/>
              </w:rPr>
              <w:t>152</w:t>
            </w:r>
            <w:r w:rsidR="00930313">
              <w:rPr>
                <w:noProof/>
                <w:webHidden/>
              </w:rPr>
              <w:fldChar w:fldCharType="end"/>
            </w:r>
          </w:hyperlink>
        </w:p>
        <w:p w14:paraId="7AB73207" w14:textId="1EECF937"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88" w:history="1">
            <w:r w:rsidR="00930313" w:rsidRPr="00B51E28">
              <w:rPr>
                <w:rStyle w:val="Hyperlink"/>
                <w:rFonts w:cstheme="minorHAnsi"/>
                <w:noProof/>
                <w:lang w:val="en-GB"/>
              </w:rPr>
              <w:t>6.7.2.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Conclusion on updating list</w:t>
            </w:r>
            <w:r w:rsidR="00930313">
              <w:rPr>
                <w:noProof/>
                <w:webHidden/>
              </w:rPr>
              <w:tab/>
            </w:r>
            <w:r w:rsidR="00930313">
              <w:rPr>
                <w:noProof/>
                <w:webHidden/>
              </w:rPr>
              <w:fldChar w:fldCharType="begin"/>
            </w:r>
            <w:r w:rsidR="00930313">
              <w:rPr>
                <w:noProof/>
                <w:webHidden/>
              </w:rPr>
              <w:instrText xml:space="preserve"> PAGEREF _Toc169258988 \h </w:instrText>
            </w:r>
            <w:r w:rsidR="00930313">
              <w:rPr>
                <w:noProof/>
                <w:webHidden/>
              </w:rPr>
            </w:r>
            <w:r w:rsidR="00930313">
              <w:rPr>
                <w:noProof/>
                <w:webHidden/>
              </w:rPr>
              <w:fldChar w:fldCharType="separate"/>
            </w:r>
            <w:r w:rsidR="00930313">
              <w:rPr>
                <w:noProof/>
                <w:webHidden/>
              </w:rPr>
              <w:t>153</w:t>
            </w:r>
            <w:r w:rsidR="00930313">
              <w:rPr>
                <w:noProof/>
                <w:webHidden/>
              </w:rPr>
              <w:fldChar w:fldCharType="end"/>
            </w:r>
          </w:hyperlink>
        </w:p>
        <w:p w14:paraId="61073C5D" w14:textId="26181E8E"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8989" w:history="1">
            <w:r w:rsidR="00930313" w:rsidRPr="00B51E28">
              <w:rPr>
                <w:rStyle w:val="Hyperlink"/>
                <w:noProof/>
                <w:lang w:val="en-GB"/>
              </w:rPr>
              <w:t>7.</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Analysis of the possible competition problems on the relevant wholesale market in the absence of regulation</w:t>
            </w:r>
            <w:r w:rsidR="00930313">
              <w:rPr>
                <w:noProof/>
                <w:webHidden/>
              </w:rPr>
              <w:tab/>
            </w:r>
            <w:r w:rsidR="00930313">
              <w:rPr>
                <w:noProof/>
                <w:webHidden/>
              </w:rPr>
              <w:fldChar w:fldCharType="begin"/>
            </w:r>
            <w:r w:rsidR="00930313">
              <w:rPr>
                <w:noProof/>
                <w:webHidden/>
              </w:rPr>
              <w:instrText xml:space="preserve"> PAGEREF _Toc169258989 \h </w:instrText>
            </w:r>
            <w:r w:rsidR="00930313">
              <w:rPr>
                <w:noProof/>
                <w:webHidden/>
              </w:rPr>
            </w:r>
            <w:r w:rsidR="00930313">
              <w:rPr>
                <w:noProof/>
                <w:webHidden/>
              </w:rPr>
              <w:fldChar w:fldCharType="separate"/>
            </w:r>
            <w:r w:rsidR="00930313">
              <w:rPr>
                <w:noProof/>
                <w:webHidden/>
              </w:rPr>
              <w:t>154</w:t>
            </w:r>
            <w:r w:rsidR="00930313">
              <w:rPr>
                <w:noProof/>
                <w:webHidden/>
              </w:rPr>
              <w:fldChar w:fldCharType="end"/>
            </w:r>
          </w:hyperlink>
        </w:p>
        <w:p w14:paraId="6DA3A582" w14:textId="5199AF76"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90" w:history="1">
            <w:r w:rsidR="00930313" w:rsidRPr="00B51E28">
              <w:rPr>
                <w:rStyle w:val="Hyperlink"/>
                <w:noProof/>
                <w:lang w:val="en-GB"/>
              </w:rPr>
              <w:t>7.1.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Segmentation of impacts of competition problems in Clusters I, II and III</w:t>
            </w:r>
            <w:r w:rsidR="00930313">
              <w:rPr>
                <w:noProof/>
                <w:webHidden/>
              </w:rPr>
              <w:tab/>
            </w:r>
            <w:r w:rsidR="00930313">
              <w:rPr>
                <w:noProof/>
                <w:webHidden/>
              </w:rPr>
              <w:fldChar w:fldCharType="begin"/>
            </w:r>
            <w:r w:rsidR="00930313">
              <w:rPr>
                <w:noProof/>
                <w:webHidden/>
              </w:rPr>
              <w:instrText xml:space="preserve"> PAGEREF _Toc169258990 \h </w:instrText>
            </w:r>
            <w:r w:rsidR="00930313">
              <w:rPr>
                <w:noProof/>
                <w:webHidden/>
              </w:rPr>
            </w:r>
            <w:r w:rsidR="00930313">
              <w:rPr>
                <w:noProof/>
                <w:webHidden/>
              </w:rPr>
              <w:fldChar w:fldCharType="separate"/>
            </w:r>
            <w:r w:rsidR="00930313">
              <w:rPr>
                <w:noProof/>
                <w:webHidden/>
              </w:rPr>
              <w:t>155</w:t>
            </w:r>
            <w:r w:rsidR="00930313">
              <w:rPr>
                <w:noProof/>
                <w:webHidden/>
              </w:rPr>
              <w:fldChar w:fldCharType="end"/>
            </w:r>
          </w:hyperlink>
        </w:p>
        <w:p w14:paraId="3A115161" w14:textId="7DA75305"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91" w:history="1">
            <w:r w:rsidR="00930313" w:rsidRPr="00B51E28">
              <w:rPr>
                <w:rStyle w:val="Hyperlink"/>
                <w:noProof/>
                <w:lang w:val="en-GB"/>
              </w:rPr>
              <w:t>7.2.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Refusal of supply/ Denial of access</w:t>
            </w:r>
            <w:r w:rsidR="00930313">
              <w:rPr>
                <w:noProof/>
                <w:webHidden/>
              </w:rPr>
              <w:tab/>
            </w:r>
            <w:r w:rsidR="00930313">
              <w:rPr>
                <w:noProof/>
                <w:webHidden/>
              </w:rPr>
              <w:fldChar w:fldCharType="begin"/>
            </w:r>
            <w:r w:rsidR="00930313">
              <w:rPr>
                <w:noProof/>
                <w:webHidden/>
              </w:rPr>
              <w:instrText xml:space="preserve"> PAGEREF _Toc169258991 \h </w:instrText>
            </w:r>
            <w:r w:rsidR="00930313">
              <w:rPr>
                <w:noProof/>
                <w:webHidden/>
              </w:rPr>
            </w:r>
            <w:r w:rsidR="00930313">
              <w:rPr>
                <w:noProof/>
                <w:webHidden/>
              </w:rPr>
              <w:fldChar w:fldCharType="separate"/>
            </w:r>
            <w:r w:rsidR="00930313">
              <w:rPr>
                <w:noProof/>
                <w:webHidden/>
              </w:rPr>
              <w:t>156</w:t>
            </w:r>
            <w:r w:rsidR="00930313">
              <w:rPr>
                <w:noProof/>
                <w:webHidden/>
              </w:rPr>
              <w:fldChar w:fldCharType="end"/>
            </w:r>
          </w:hyperlink>
        </w:p>
        <w:p w14:paraId="456BD878" w14:textId="50956FA7"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92" w:history="1">
            <w:r w:rsidR="00930313" w:rsidRPr="00B51E28">
              <w:rPr>
                <w:rStyle w:val="Hyperlink"/>
                <w:noProof/>
                <w:lang w:val="en-GB"/>
              </w:rPr>
              <w:t>7.3.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Leveraging by means of non-price variables</w:t>
            </w:r>
            <w:r w:rsidR="00930313">
              <w:rPr>
                <w:noProof/>
                <w:webHidden/>
              </w:rPr>
              <w:tab/>
            </w:r>
            <w:r w:rsidR="00930313">
              <w:rPr>
                <w:noProof/>
                <w:webHidden/>
              </w:rPr>
              <w:fldChar w:fldCharType="begin"/>
            </w:r>
            <w:r w:rsidR="00930313">
              <w:rPr>
                <w:noProof/>
                <w:webHidden/>
              </w:rPr>
              <w:instrText xml:space="preserve"> PAGEREF _Toc169258992 \h </w:instrText>
            </w:r>
            <w:r w:rsidR="00930313">
              <w:rPr>
                <w:noProof/>
                <w:webHidden/>
              </w:rPr>
            </w:r>
            <w:r w:rsidR="00930313">
              <w:rPr>
                <w:noProof/>
                <w:webHidden/>
              </w:rPr>
              <w:fldChar w:fldCharType="separate"/>
            </w:r>
            <w:r w:rsidR="00930313">
              <w:rPr>
                <w:noProof/>
                <w:webHidden/>
              </w:rPr>
              <w:t>157</w:t>
            </w:r>
            <w:r w:rsidR="00930313">
              <w:rPr>
                <w:noProof/>
                <w:webHidden/>
              </w:rPr>
              <w:fldChar w:fldCharType="end"/>
            </w:r>
          </w:hyperlink>
        </w:p>
        <w:p w14:paraId="555C5274" w14:textId="00B3A67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93" w:history="1">
            <w:r w:rsidR="00930313" w:rsidRPr="00B51E28">
              <w:rPr>
                <w:rStyle w:val="Hyperlink"/>
                <w:rFonts w:cstheme="minorHAnsi"/>
                <w:noProof/>
                <w:lang w:val="en-GB"/>
              </w:rPr>
              <w:t>7.3.1.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Discriminatory use of information or withholding of information</w:t>
            </w:r>
            <w:r w:rsidR="00930313">
              <w:rPr>
                <w:noProof/>
                <w:webHidden/>
              </w:rPr>
              <w:tab/>
            </w:r>
            <w:r w:rsidR="00930313">
              <w:rPr>
                <w:noProof/>
                <w:webHidden/>
              </w:rPr>
              <w:fldChar w:fldCharType="begin"/>
            </w:r>
            <w:r w:rsidR="00930313">
              <w:rPr>
                <w:noProof/>
                <w:webHidden/>
              </w:rPr>
              <w:instrText xml:space="preserve"> PAGEREF _Toc169258993 \h </w:instrText>
            </w:r>
            <w:r w:rsidR="00930313">
              <w:rPr>
                <w:noProof/>
                <w:webHidden/>
              </w:rPr>
            </w:r>
            <w:r w:rsidR="00930313">
              <w:rPr>
                <w:noProof/>
                <w:webHidden/>
              </w:rPr>
              <w:fldChar w:fldCharType="separate"/>
            </w:r>
            <w:r w:rsidR="00930313">
              <w:rPr>
                <w:noProof/>
                <w:webHidden/>
              </w:rPr>
              <w:t>157</w:t>
            </w:r>
            <w:r w:rsidR="00930313">
              <w:rPr>
                <w:noProof/>
                <w:webHidden/>
              </w:rPr>
              <w:fldChar w:fldCharType="end"/>
            </w:r>
          </w:hyperlink>
        </w:p>
        <w:p w14:paraId="51D40455" w14:textId="042252D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94" w:history="1">
            <w:r w:rsidR="00930313" w:rsidRPr="00B51E28">
              <w:rPr>
                <w:rStyle w:val="Hyperlink"/>
                <w:rFonts w:cstheme="minorHAnsi"/>
                <w:noProof/>
                <w:lang w:val="en-GB"/>
              </w:rPr>
              <w:t>7.3.2.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Delaying tactics</w:t>
            </w:r>
            <w:r w:rsidR="00930313">
              <w:rPr>
                <w:noProof/>
                <w:webHidden/>
              </w:rPr>
              <w:tab/>
            </w:r>
            <w:r w:rsidR="00930313">
              <w:rPr>
                <w:noProof/>
                <w:webHidden/>
              </w:rPr>
              <w:fldChar w:fldCharType="begin"/>
            </w:r>
            <w:r w:rsidR="00930313">
              <w:rPr>
                <w:noProof/>
                <w:webHidden/>
              </w:rPr>
              <w:instrText xml:space="preserve"> PAGEREF _Toc169258994 \h </w:instrText>
            </w:r>
            <w:r w:rsidR="00930313">
              <w:rPr>
                <w:noProof/>
                <w:webHidden/>
              </w:rPr>
            </w:r>
            <w:r w:rsidR="00930313">
              <w:rPr>
                <w:noProof/>
                <w:webHidden/>
              </w:rPr>
              <w:fldChar w:fldCharType="separate"/>
            </w:r>
            <w:r w:rsidR="00930313">
              <w:rPr>
                <w:noProof/>
                <w:webHidden/>
              </w:rPr>
              <w:t>158</w:t>
            </w:r>
            <w:r w:rsidR="00930313">
              <w:rPr>
                <w:noProof/>
                <w:webHidden/>
              </w:rPr>
              <w:fldChar w:fldCharType="end"/>
            </w:r>
          </w:hyperlink>
        </w:p>
        <w:p w14:paraId="4DB702B3" w14:textId="630E6CC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95" w:history="1">
            <w:r w:rsidR="00930313" w:rsidRPr="00B51E28">
              <w:rPr>
                <w:rStyle w:val="Hyperlink"/>
                <w:rFonts w:cstheme="minorHAnsi"/>
                <w:noProof/>
                <w:lang w:val="en-GB"/>
              </w:rPr>
              <w:t>7.3.3.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Unjustified claims</w:t>
            </w:r>
            <w:r w:rsidR="00930313">
              <w:rPr>
                <w:noProof/>
                <w:webHidden/>
              </w:rPr>
              <w:tab/>
            </w:r>
            <w:r w:rsidR="00930313">
              <w:rPr>
                <w:noProof/>
                <w:webHidden/>
              </w:rPr>
              <w:fldChar w:fldCharType="begin"/>
            </w:r>
            <w:r w:rsidR="00930313">
              <w:rPr>
                <w:noProof/>
                <w:webHidden/>
              </w:rPr>
              <w:instrText xml:space="preserve"> PAGEREF _Toc169258995 \h </w:instrText>
            </w:r>
            <w:r w:rsidR="00930313">
              <w:rPr>
                <w:noProof/>
                <w:webHidden/>
              </w:rPr>
            </w:r>
            <w:r w:rsidR="00930313">
              <w:rPr>
                <w:noProof/>
                <w:webHidden/>
              </w:rPr>
              <w:fldChar w:fldCharType="separate"/>
            </w:r>
            <w:r w:rsidR="00930313">
              <w:rPr>
                <w:noProof/>
                <w:webHidden/>
              </w:rPr>
              <w:t>159</w:t>
            </w:r>
            <w:r w:rsidR="00930313">
              <w:rPr>
                <w:noProof/>
                <w:webHidden/>
              </w:rPr>
              <w:fldChar w:fldCharType="end"/>
            </w:r>
          </w:hyperlink>
        </w:p>
        <w:p w14:paraId="00EF745C" w14:textId="15CDBCF1"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96" w:history="1">
            <w:r w:rsidR="00930313" w:rsidRPr="00B51E28">
              <w:rPr>
                <w:rStyle w:val="Hyperlink"/>
                <w:rFonts w:cstheme="minorHAnsi"/>
                <w:noProof/>
                <w:lang w:val="en-GB"/>
              </w:rPr>
              <w:t>7.3.4.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Unjustified use of information about competitors</w:t>
            </w:r>
            <w:r w:rsidR="00930313">
              <w:rPr>
                <w:noProof/>
                <w:webHidden/>
              </w:rPr>
              <w:tab/>
            </w:r>
            <w:r w:rsidR="00930313">
              <w:rPr>
                <w:noProof/>
                <w:webHidden/>
              </w:rPr>
              <w:fldChar w:fldCharType="begin"/>
            </w:r>
            <w:r w:rsidR="00930313">
              <w:rPr>
                <w:noProof/>
                <w:webHidden/>
              </w:rPr>
              <w:instrText xml:space="preserve"> PAGEREF _Toc169258996 \h </w:instrText>
            </w:r>
            <w:r w:rsidR="00930313">
              <w:rPr>
                <w:noProof/>
                <w:webHidden/>
              </w:rPr>
            </w:r>
            <w:r w:rsidR="00930313">
              <w:rPr>
                <w:noProof/>
                <w:webHidden/>
              </w:rPr>
              <w:fldChar w:fldCharType="separate"/>
            </w:r>
            <w:r w:rsidR="00930313">
              <w:rPr>
                <w:noProof/>
                <w:webHidden/>
              </w:rPr>
              <w:t>159</w:t>
            </w:r>
            <w:r w:rsidR="00930313">
              <w:rPr>
                <w:noProof/>
                <w:webHidden/>
              </w:rPr>
              <w:fldChar w:fldCharType="end"/>
            </w:r>
          </w:hyperlink>
        </w:p>
        <w:p w14:paraId="7D4F8D0A" w14:textId="3197F6BF"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97" w:history="1">
            <w:r w:rsidR="00930313" w:rsidRPr="00B51E28">
              <w:rPr>
                <w:rStyle w:val="Hyperlink"/>
                <w:rFonts w:cstheme="minorHAnsi"/>
                <w:noProof/>
                <w:lang w:val="en-GB"/>
              </w:rPr>
              <w:t>7.3.5.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Discrimination by quality of service</w:t>
            </w:r>
            <w:r w:rsidR="00930313">
              <w:rPr>
                <w:noProof/>
                <w:webHidden/>
              </w:rPr>
              <w:tab/>
            </w:r>
            <w:r w:rsidR="00930313">
              <w:rPr>
                <w:noProof/>
                <w:webHidden/>
              </w:rPr>
              <w:fldChar w:fldCharType="begin"/>
            </w:r>
            <w:r w:rsidR="00930313">
              <w:rPr>
                <w:noProof/>
                <w:webHidden/>
              </w:rPr>
              <w:instrText xml:space="preserve"> PAGEREF _Toc169258997 \h </w:instrText>
            </w:r>
            <w:r w:rsidR="00930313">
              <w:rPr>
                <w:noProof/>
                <w:webHidden/>
              </w:rPr>
            </w:r>
            <w:r w:rsidR="00930313">
              <w:rPr>
                <w:noProof/>
                <w:webHidden/>
              </w:rPr>
              <w:fldChar w:fldCharType="separate"/>
            </w:r>
            <w:r w:rsidR="00930313">
              <w:rPr>
                <w:noProof/>
                <w:webHidden/>
              </w:rPr>
              <w:t>160</w:t>
            </w:r>
            <w:r w:rsidR="00930313">
              <w:rPr>
                <w:noProof/>
                <w:webHidden/>
              </w:rPr>
              <w:fldChar w:fldCharType="end"/>
            </w:r>
          </w:hyperlink>
        </w:p>
        <w:p w14:paraId="6FE2AB7F" w14:textId="6466C060"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8998" w:history="1">
            <w:r w:rsidR="00930313" w:rsidRPr="00B51E28">
              <w:rPr>
                <w:rStyle w:val="Hyperlink"/>
                <w:noProof/>
                <w:lang w:val="en-GB"/>
              </w:rPr>
              <w:t>7.4.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Leveraging by means of pricing</w:t>
            </w:r>
            <w:r w:rsidR="00930313">
              <w:rPr>
                <w:noProof/>
                <w:webHidden/>
              </w:rPr>
              <w:tab/>
            </w:r>
            <w:r w:rsidR="00930313">
              <w:rPr>
                <w:noProof/>
                <w:webHidden/>
              </w:rPr>
              <w:fldChar w:fldCharType="begin"/>
            </w:r>
            <w:r w:rsidR="00930313">
              <w:rPr>
                <w:noProof/>
                <w:webHidden/>
              </w:rPr>
              <w:instrText xml:space="preserve"> PAGEREF _Toc169258998 \h </w:instrText>
            </w:r>
            <w:r w:rsidR="00930313">
              <w:rPr>
                <w:noProof/>
                <w:webHidden/>
              </w:rPr>
            </w:r>
            <w:r w:rsidR="00930313">
              <w:rPr>
                <w:noProof/>
                <w:webHidden/>
              </w:rPr>
              <w:fldChar w:fldCharType="separate"/>
            </w:r>
            <w:r w:rsidR="00930313">
              <w:rPr>
                <w:noProof/>
                <w:webHidden/>
              </w:rPr>
              <w:t>160</w:t>
            </w:r>
            <w:r w:rsidR="00930313">
              <w:rPr>
                <w:noProof/>
                <w:webHidden/>
              </w:rPr>
              <w:fldChar w:fldCharType="end"/>
            </w:r>
          </w:hyperlink>
        </w:p>
        <w:p w14:paraId="65DA1E0C" w14:textId="1169F41D"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8999" w:history="1">
            <w:r w:rsidR="00930313" w:rsidRPr="00B51E28">
              <w:rPr>
                <w:rStyle w:val="Hyperlink"/>
                <w:rFonts w:cstheme="minorHAnsi"/>
                <w:noProof/>
                <w:lang w:val="en-GB"/>
              </w:rPr>
              <w:t>7.4.1.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Price discrimination</w:t>
            </w:r>
            <w:r w:rsidR="00930313">
              <w:rPr>
                <w:noProof/>
                <w:webHidden/>
              </w:rPr>
              <w:tab/>
            </w:r>
            <w:r w:rsidR="00930313">
              <w:rPr>
                <w:noProof/>
                <w:webHidden/>
              </w:rPr>
              <w:fldChar w:fldCharType="begin"/>
            </w:r>
            <w:r w:rsidR="00930313">
              <w:rPr>
                <w:noProof/>
                <w:webHidden/>
              </w:rPr>
              <w:instrText xml:space="preserve"> PAGEREF _Toc169258999 \h </w:instrText>
            </w:r>
            <w:r w:rsidR="00930313">
              <w:rPr>
                <w:noProof/>
                <w:webHidden/>
              </w:rPr>
            </w:r>
            <w:r w:rsidR="00930313">
              <w:rPr>
                <w:noProof/>
                <w:webHidden/>
              </w:rPr>
              <w:fldChar w:fldCharType="separate"/>
            </w:r>
            <w:r w:rsidR="00930313">
              <w:rPr>
                <w:noProof/>
                <w:webHidden/>
              </w:rPr>
              <w:t>160</w:t>
            </w:r>
            <w:r w:rsidR="00930313">
              <w:rPr>
                <w:noProof/>
                <w:webHidden/>
              </w:rPr>
              <w:fldChar w:fldCharType="end"/>
            </w:r>
          </w:hyperlink>
        </w:p>
        <w:p w14:paraId="7BBF9663" w14:textId="04B673EB"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9000" w:history="1">
            <w:r w:rsidR="00930313" w:rsidRPr="00B51E28">
              <w:rPr>
                <w:rStyle w:val="Hyperlink"/>
                <w:rFonts w:cstheme="minorHAnsi"/>
                <w:noProof/>
                <w:lang w:val="en-GB"/>
              </w:rPr>
              <w:t>7.4.2.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Cross subsidising</w:t>
            </w:r>
            <w:r w:rsidR="00930313">
              <w:rPr>
                <w:noProof/>
                <w:webHidden/>
              </w:rPr>
              <w:tab/>
            </w:r>
            <w:r w:rsidR="00930313">
              <w:rPr>
                <w:noProof/>
                <w:webHidden/>
              </w:rPr>
              <w:fldChar w:fldCharType="begin"/>
            </w:r>
            <w:r w:rsidR="00930313">
              <w:rPr>
                <w:noProof/>
                <w:webHidden/>
              </w:rPr>
              <w:instrText xml:space="preserve"> PAGEREF _Toc169259000 \h </w:instrText>
            </w:r>
            <w:r w:rsidR="00930313">
              <w:rPr>
                <w:noProof/>
                <w:webHidden/>
              </w:rPr>
            </w:r>
            <w:r w:rsidR="00930313">
              <w:rPr>
                <w:noProof/>
                <w:webHidden/>
              </w:rPr>
              <w:fldChar w:fldCharType="separate"/>
            </w:r>
            <w:r w:rsidR="00930313">
              <w:rPr>
                <w:noProof/>
                <w:webHidden/>
              </w:rPr>
              <w:t>161</w:t>
            </w:r>
            <w:r w:rsidR="00930313">
              <w:rPr>
                <w:noProof/>
                <w:webHidden/>
              </w:rPr>
              <w:fldChar w:fldCharType="end"/>
            </w:r>
          </w:hyperlink>
        </w:p>
        <w:p w14:paraId="7FF9409B" w14:textId="36D384A6"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9001" w:history="1">
            <w:r w:rsidR="00930313" w:rsidRPr="00B51E28">
              <w:rPr>
                <w:rStyle w:val="Hyperlink"/>
                <w:rFonts w:cstheme="minorHAnsi"/>
                <w:noProof/>
                <w:lang w:val="en-GB"/>
              </w:rPr>
              <w:t>7.4.3.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Predatory pricing</w:t>
            </w:r>
            <w:r w:rsidR="00930313">
              <w:rPr>
                <w:noProof/>
                <w:webHidden/>
              </w:rPr>
              <w:tab/>
            </w:r>
            <w:r w:rsidR="00930313">
              <w:rPr>
                <w:noProof/>
                <w:webHidden/>
              </w:rPr>
              <w:fldChar w:fldCharType="begin"/>
            </w:r>
            <w:r w:rsidR="00930313">
              <w:rPr>
                <w:noProof/>
                <w:webHidden/>
              </w:rPr>
              <w:instrText xml:space="preserve"> PAGEREF _Toc169259001 \h </w:instrText>
            </w:r>
            <w:r w:rsidR="00930313">
              <w:rPr>
                <w:noProof/>
                <w:webHidden/>
              </w:rPr>
            </w:r>
            <w:r w:rsidR="00930313">
              <w:rPr>
                <w:noProof/>
                <w:webHidden/>
              </w:rPr>
              <w:fldChar w:fldCharType="separate"/>
            </w:r>
            <w:r w:rsidR="00930313">
              <w:rPr>
                <w:noProof/>
                <w:webHidden/>
              </w:rPr>
              <w:t>161</w:t>
            </w:r>
            <w:r w:rsidR="00930313">
              <w:rPr>
                <w:noProof/>
                <w:webHidden/>
              </w:rPr>
              <w:fldChar w:fldCharType="end"/>
            </w:r>
          </w:hyperlink>
        </w:p>
        <w:p w14:paraId="18308933" w14:textId="52AE50D3" w:rsidR="00930313" w:rsidRDefault="004B7613">
          <w:pPr>
            <w:pStyle w:val="TOC1"/>
            <w:tabs>
              <w:tab w:val="left" w:pos="440"/>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9002" w:history="1">
            <w:r w:rsidR="00930313" w:rsidRPr="00B51E28">
              <w:rPr>
                <w:rStyle w:val="Hyperlink"/>
                <w:noProof/>
                <w:lang w:val="en-GB"/>
              </w:rPr>
              <w:t>8.</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Regulatory remedies</w:t>
            </w:r>
            <w:r w:rsidR="00930313">
              <w:rPr>
                <w:noProof/>
                <w:webHidden/>
              </w:rPr>
              <w:tab/>
            </w:r>
            <w:r w:rsidR="00930313">
              <w:rPr>
                <w:noProof/>
                <w:webHidden/>
              </w:rPr>
              <w:fldChar w:fldCharType="begin"/>
            </w:r>
            <w:r w:rsidR="00930313">
              <w:rPr>
                <w:noProof/>
                <w:webHidden/>
              </w:rPr>
              <w:instrText xml:space="preserve"> PAGEREF _Toc169259002 \h </w:instrText>
            </w:r>
            <w:r w:rsidR="00930313">
              <w:rPr>
                <w:noProof/>
                <w:webHidden/>
              </w:rPr>
            </w:r>
            <w:r w:rsidR="00930313">
              <w:rPr>
                <w:noProof/>
                <w:webHidden/>
              </w:rPr>
              <w:fldChar w:fldCharType="separate"/>
            </w:r>
            <w:r w:rsidR="00930313">
              <w:rPr>
                <w:noProof/>
                <w:webHidden/>
              </w:rPr>
              <w:t>163</w:t>
            </w:r>
            <w:r w:rsidR="00930313">
              <w:rPr>
                <w:noProof/>
                <w:webHidden/>
              </w:rPr>
              <w:fldChar w:fldCharType="end"/>
            </w:r>
          </w:hyperlink>
        </w:p>
        <w:p w14:paraId="190C2BFE" w14:textId="6F56C849"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03" w:history="1">
            <w:r w:rsidR="00930313" w:rsidRPr="00B51E28">
              <w:rPr>
                <w:rStyle w:val="Hyperlink"/>
                <w:noProof/>
                <w:lang w:val="en-GB"/>
              </w:rPr>
              <w:t>8.1.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Access</w:t>
            </w:r>
            <w:r w:rsidR="00930313">
              <w:rPr>
                <w:noProof/>
                <w:webHidden/>
              </w:rPr>
              <w:tab/>
            </w:r>
            <w:r w:rsidR="00930313">
              <w:rPr>
                <w:noProof/>
                <w:webHidden/>
              </w:rPr>
              <w:fldChar w:fldCharType="begin"/>
            </w:r>
            <w:r w:rsidR="00930313">
              <w:rPr>
                <w:noProof/>
                <w:webHidden/>
              </w:rPr>
              <w:instrText xml:space="preserve"> PAGEREF _Toc169259003 \h </w:instrText>
            </w:r>
            <w:r w:rsidR="00930313">
              <w:rPr>
                <w:noProof/>
                <w:webHidden/>
              </w:rPr>
            </w:r>
            <w:r w:rsidR="00930313">
              <w:rPr>
                <w:noProof/>
                <w:webHidden/>
              </w:rPr>
              <w:fldChar w:fldCharType="separate"/>
            </w:r>
            <w:r w:rsidR="00930313">
              <w:rPr>
                <w:noProof/>
                <w:webHidden/>
              </w:rPr>
              <w:t>164</w:t>
            </w:r>
            <w:r w:rsidR="00930313">
              <w:rPr>
                <w:noProof/>
                <w:webHidden/>
              </w:rPr>
              <w:fldChar w:fldCharType="end"/>
            </w:r>
          </w:hyperlink>
        </w:p>
        <w:p w14:paraId="0300672D" w14:textId="3D50026F"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04" w:history="1">
            <w:r w:rsidR="00930313" w:rsidRPr="00B51E28">
              <w:rPr>
                <w:rStyle w:val="Hyperlink"/>
                <w:noProof/>
                <w:lang w:val="en-GB"/>
              </w:rPr>
              <w:t>8.2.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Non-discrimination</w:t>
            </w:r>
            <w:r w:rsidR="00930313">
              <w:rPr>
                <w:noProof/>
                <w:webHidden/>
              </w:rPr>
              <w:tab/>
            </w:r>
            <w:r w:rsidR="00930313">
              <w:rPr>
                <w:noProof/>
                <w:webHidden/>
              </w:rPr>
              <w:fldChar w:fldCharType="begin"/>
            </w:r>
            <w:r w:rsidR="00930313">
              <w:rPr>
                <w:noProof/>
                <w:webHidden/>
              </w:rPr>
              <w:instrText xml:space="preserve"> PAGEREF _Toc169259004 \h </w:instrText>
            </w:r>
            <w:r w:rsidR="00930313">
              <w:rPr>
                <w:noProof/>
                <w:webHidden/>
              </w:rPr>
            </w:r>
            <w:r w:rsidR="00930313">
              <w:rPr>
                <w:noProof/>
                <w:webHidden/>
              </w:rPr>
              <w:fldChar w:fldCharType="separate"/>
            </w:r>
            <w:r w:rsidR="00930313">
              <w:rPr>
                <w:noProof/>
                <w:webHidden/>
              </w:rPr>
              <w:t>166</w:t>
            </w:r>
            <w:r w:rsidR="00930313">
              <w:rPr>
                <w:noProof/>
                <w:webHidden/>
              </w:rPr>
              <w:fldChar w:fldCharType="end"/>
            </w:r>
          </w:hyperlink>
        </w:p>
        <w:p w14:paraId="4182C9CB" w14:textId="22244588"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9005" w:history="1">
            <w:r w:rsidR="00930313" w:rsidRPr="00B51E28">
              <w:rPr>
                <w:rStyle w:val="Hyperlink"/>
                <w:rFonts w:cstheme="minorHAnsi"/>
                <w:noProof/>
                <w:lang w:val="en-GB"/>
              </w:rPr>
              <w:t>8.2.1.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Key performance indicators (KPIs)</w:t>
            </w:r>
            <w:r w:rsidR="00930313">
              <w:rPr>
                <w:noProof/>
                <w:webHidden/>
              </w:rPr>
              <w:tab/>
            </w:r>
            <w:r w:rsidR="00930313">
              <w:rPr>
                <w:noProof/>
                <w:webHidden/>
              </w:rPr>
              <w:fldChar w:fldCharType="begin"/>
            </w:r>
            <w:r w:rsidR="00930313">
              <w:rPr>
                <w:noProof/>
                <w:webHidden/>
              </w:rPr>
              <w:instrText xml:space="preserve"> PAGEREF _Toc169259005 \h </w:instrText>
            </w:r>
            <w:r w:rsidR="00930313">
              <w:rPr>
                <w:noProof/>
                <w:webHidden/>
              </w:rPr>
            </w:r>
            <w:r w:rsidR="00930313">
              <w:rPr>
                <w:noProof/>
                <w:webHidden/>
              </w:rPr>
              <w:fldChar w:fldCharType="separate"/>
            </w:r>
            <w:r w:rsidR="00930313">
              <w:rPr>
                <w:noProof/>
                <w:webHidden/>
              </w:rPr>
              <w:t>168</w:t>
            </w:r>
            <w:r w:rsidR="00930313">
              <w:rPr>
                <w:noProof/>
                <w:webHidden/>
              </w:rPr>
              <w:fldChar w:fldCharType="end"/>
            </w:r>
          </w:hyperlink>
        </w:p>
        <w:p w14:paraId="51843D2D" w14:textId="42272EA2"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9006" w:history="1">
            <w:r w:rsidR="00930313" w:rsidRPr="00B51E28">
              <w:rPr>
                <w:rStyle w:val="Hyperlink"/>
                <w:rFonts w:cstheme="minorHAnsi"/>
                <w:noProof/>
                <w:lang w:val="en-GB"/>
              </w:rPr>
              <w:t>8.2.2.</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Margin squeeze test</w:t>
            </w:r>
            <w:r w:rsidR="00930313">
              <w:rPr>
                <w:noProof/>
                <w:webHidden/>
              </w:rPr>
              <w:tab/>
            </w:r>
            <w:r w:rsidR="00930313">
              <w:rPr>
                <w:noProof/>
                <w:webHidden/>
              </w:rPr>
              <w:fldChar w:fldCharType="begin"/>
            </w:r>
            <w:r w:rsidR="00930313">
              <w:rPr>
                <w:noProof/>
                <w:webHidden/>
              </w:rPr>
              <w:instrText xml:space="preserve"> PAGEREF _Toc169259006 \h </w:instrText>
            </w:r>
            <w:r w:rsidR="00930313">
              <w:rPr>
                <w:noProof/>
                <w:webHidden/>
              </w:rPr>
            </w:r>
            <w:r w:rsidR="00930313">
              <w:rPr>
                <w:noProof/>
                <w:webHidden/>
              </w:rPr>
              <w:fldChar w:fldCharType="separate"/>
            </w:r>
            <w:r w:rsidR="00930313">
              <w:rPr>
                <w:noProof/>
                <w:webHidden/>
              </w:rPr>
              <w:t>168</w:t>
            </w:r>
            <w:r w:rsidR="00930313">
              <w:rPr>
                <w:noProof/>
                <w:webHidden/>
              </w:rPr>
              <w:fldChar w:fldCharType="end"/>
            </w:r>
          </w:hyperlink>
        </w:p>
        <w:p w14:paraId="592BBC51" w14:textId="0A044640"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07" w:history="1">
            <w:r w:rsidR="00930313" w:rsidRPr="00B51E28">
              <w:rPr>
                <w:rStyle w:val="Hyperlink"/>
                <w:noProof/>
                <w:lang w:val="en-GB"/>
              </w:rPr>
              <w:t>8.3.</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Transparency</w:t>
            </w:r>
            <w:r w:rsidR="00930313">
              <w:rPr>
                <w:noProof/>
                <w:webHidden/>
              </w:rPr>
              <w:tab/>
            </w:r>
            <w:r w:rsidR="00930313">
              <w:rPr>
                <w:noProof/>
                <w:webHidden/>
              </w:rPr>
              <w:fldChar w:fldCharType="begin"/>
            </w:r>
            <w:r w:rsidR="00930313">
              <w:rPr>
                <w:noProof/>
                <w:webHidden/>
              </w:rPr>
              <w:instrText xml:space="preserve"> PAGEREF _Toc169259007 \h </w:instrText>
            </w:r>
            <w:r w:rsidR="00930313">
              <w:rPr>
                <w:noProof/>
                <w:webHidden/>
              </w:rPr>
            </w:r>
            <w:r w:rsidR="00930313">
              <w:rPr>
                <w:noProof/>
                <w:webHidden/>
              </w:rPr>
              <w:fldChar w:fldCharType="separate"/>
            </w:r>
            <w:r w:rsidR="00930313">
              <w:rPr>
                <w:noProof/>
                <w:webHidden/>
              </w:rPr>
              <w:t>169</w:t>
            </w:r>
            <w:r w:rsidR="00930313">
              <w:rPr>
                <w:noProof/>
                <w:webHidden/>
              </w:rPr>
              <w:fldChar w:fldCharType="end"/>
            </w:r>
          </w:hyperlink>
        </w:p>
        <w:p w14:paraId="7DE44883" w14:textId="17C2C4E4" w:rsidR="00930313" w:rsidRDefault="004B7613">
          <w:pPr>
            <w:pStyle w:val="TOC3"/>
            <w:rPr>
              <w:rFonts w:asciiTheme="minorHAnsi" w:eastAsiaTheme="minorEastAsia" w:hAnsiTheme="minorHAnsi" w:cstheme="minorBidi"/>
              <w:noProof/>
              <w:kern w:val="2"/>
              <w:sz w:val="24"/>
              <w:szCs w:val="24"/>
              <w:lang w:val="en-US"/>
              <w14:ligatures w14:val="standardContextual"/>
            </w:rPr>
          </w:pPr>
          <w:hyperlink w:anchor="_Toc169259008" w:history="1">
            <w:r w:rsidR="00930313" w:rsidRPr="00B51E28">
              <w:rPr>
                <w:rStyle w:val="Hyperlink"/>
                <w:rFonts w:cstheme="minorHAnsi"/>
                <w:noProof/>
                <w:lang w:val="en-GB"/>
              </w:rPr>
              <w:t>8.3.1.</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rFonts w:cstheme="minorHAnsi"/>
                <w:noProof/>
                <w:lang w:val="en-GB"/>
              </w:rPr>
              <w:t>Minimum content of the SMP operator’s reference offer</w:t>
            </w:r>
            <w:r w:rsidR="00930313">
              <w:rPr>
                <w:noProof/>
                <w:webHidden/>
              </w:rPr>
              <w:tab/>
            </w:r>
            <w:r w:rsidR="00930313">
              <w:rPr>
                <w:noProof/>
                <w:webHidden/>
              </w:rPr>
              <w:fldChar w:fldCharType="begin"/>
            </w:r>
            <w:r w:rsidR="00930313">
              <w:rPr>
                <w:noProof/>
                <w:webHidden/>
              </w:rPr>
              <w:instrText xml:space="preserve"> PAGEREF _Toc169259008 \h </w:instrText>
            </w:r>
            <w:r w:rsidR="00930313">
              <w:rPr>
                <w:noProof/>
                <w:webHidden/>
              </w:rPr>
            </w:r>
            <w:r w:rsidR="00930313">
              <w:rPr>
                <w:noProof/>
                <w:webHidden/>
              </w:rPr>
              <w:fldChar w:fldCharType="separate"/>
            </w:r>
            <w:r w:rsidR="00930313">
              <w:rPr>
                <w:noProof/>
                <w:webHidden/>
              </w:rPr>
              <w:t>172</w:t>
            </w:r>
            <w:r w:rsidR="00930313">
              <w:rPr>
                <w:noProof/>
                <w:webHidden/>
              </w:rPr>
              <w:fldChar w:fldCharType="end"/>
            </w:r>
          </w:hyperlink>
        </w:p>
        <w:p w14:paraId="39BEC8AB" w14:textId="4D4C0901"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09" w:history="1">
            <w:r w:rsidR="00930313" w:rsidRPr="00B51E28">
              <w:rPr>
                <w:rStyle w:val="Hyperlink"/>
                <w:noProof/>
                <w:lang w:val="en-GB"/>
              </w:rPr>
              <w:t>8.4.</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Price control and cost accounting</w:t>
            </w:r>
            <w:r w:rsidR="00930313">
              <w:rPr>
                <w:noProof/>
                <w:webHidden/>
              </w:rPr>
              <w:tab/>
            </w:r>
            <w:r w:rsidR="00930313">
              <w:rPr>
                <w:noProof/>
                <w:webHidden/>
              </w:rPr>
              <w:fldChar w:fldCharType="begin"/>
            </w:r>
            <w:r w:rsidR="00930313">
              <w:rPr>
                <w:noProof/>
                <w:webHidden/>
              </w:rPr>
              <w:instrText xml:space="preserve"> PAGEREF _Toc169259009 \h </w:instrText>
            </w:r>
            <w:r w:rsidR="00930313">
              <w:rPr>
                <w:noProof/>
                <w:webHidden/>
              </w:rPr>
            </w:r>
            <w:r w:rsidR="00930313">
              <w:rPr>
                <w:noProof/>
                <w:webHidden/>
              </w:rPr>
              <w:fldChar w:fldCharType="separate"/>
            </w:r>
            <w:r w:rsidR="00930313">
              <w:rPr>
                <w:noProof/>
                <w:webHidden/>
              </w:rPr>
              <w:t>174</w:t>
            </w:r>
            <w:r w:rsidR="00930313">
              <w:rPr>
                <w:noProof/>
                <w:webHidden/>
              </w:rPr>
              <w:fldChar w:fldCharType="end"/>
            </w:r>
          </w:hyperlink>
        </w:p>
        <w:p w14:paraId="6725245B" w14:textId="157C741D"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0" w:history="1">
            <w:r w:rsidR="00930313" w:rsidRPr="00B51E28">
              <w:rPr>
                <w:rStyle w:val="Hyperlink"/>
                <w:noProof/>
                <w:lang w:val="en-GB"/>
              </w:rPr>
              <w:t>8.5.</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Accounting separation</w:t>
            </w:r>
            <w:r w:rsidR="00930313">
              <w:rPr>
                <w:noProof/>
                <w:webHidden/>
              </w:rPr>
              <w:tab/>
            </w:r>
            <w:r w:rsidR="00930313">
              <w:rPr>
                <w:noProof/>
                <w:webHidden/>
              </w:rPr>
              <w:fldChar w:fldCharType="begin"/>
            </w:r>
            <w:r w:rsidR="00930313">
              <w:rPr>
                <w:noProof/>
                <w:webHidden/>
              </w:rPr>
              <w:instrText xml:space="preserve"> PAGEREF _Toc169259010 \h </w:instrText>
            </w:r>
            <w:r w:rsidR="00930313">
              <w:rPr>
                <w:noProof/>
                <w:webHidden/>
              </w:rPr>
            </w:r>
            <w:r w:rsidR="00930313">
              <w:rPr>
                <w:noProof/>
                <w:webHidden/>
              </w:rPr>
              <w:fldChar w:fldCharType="separate"/>
            </w:r>
            <w:r w:rsidR="00930313">
              <w:rPr>
                <w:noProof/>
                <w:webHidden/>
              </w:rPr>
              <w:t>176</w:t>
            </w:r>
            <w:r w:rsidR="00930313">
              <w:rPr>
                <w:noProof/>
                <w:webHidden/>
              </w:rPr>
              <w:fldChar w:fldCharType="end"/>
            </w:r>
          </w:hyperlink>
        </w:p>
        <w:p w14:paraId="16F0A7E7" w14:textId="436BEBAA"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1" w:history="1">
            <w:r w:rsidR="00930313" w:rsidRPr="00B51E28">
              <w:rPr>
                <w:rStyle w:val="Hyperlink"/>
                <w:noProof/>
                <w:lang w:val="en-GB"/>
              </w:rPr>
              <w:t>8.6.</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Wholesale fixed access: Overview of the proposed regulatory remedies for Clusters I, II and III</w:t>
            </w:r>
            <w:r w:rsidR="00930313">
              <w:rPr>
                <w:noProof/>
                <w:webHidden/>
              </w:rPr>
              <w:tab/>
            </w:r>
            <w:r w:rsidR="00930313">
              <w:rPr>
                <w:noProof/>
                <w:webHidden/>
              </w:rPr>
              <w:fldChar w:fldCharType="begin"/>
            </w:r>
            <w:r w:rsidR="00930313">
              <w:rPr>
                <w:noProof/>
                <w:webHidden/>
              </w:rPr>
              <w:instrText xml:space="preserve"> PAGEREF _Toc169259011 \h </w:instrText>
            </w:r>
            <w:r w:rsidR="00930313">
              <w:rPr>
                <w:noProof/>
                <w:webHidden/>
              </w:rPr>
            </w:r>
            <w:r w:rsidR="00930313">
              <w:rPr>
                <w:noProof/>
                <w:webHidden/>
              </w:rPr>
              <w:fldChar w:fldCharType="separate"/>
            </w:r>
            <w:r w:rsidR="00930313">
              <w:rPr>
                <w:noProof/>
                <w:webHidden/>
              </w:rPr>
              <w:t>178</w:t>
            </w:r>
            <w:r w:rsidR="00930313">
              <w:rPr>
                <w:noProof/>
                <w:webHidden/>
              </w:rPr>
              <w:fldChar w:fldCharType="end"/>
            </w:r>
          </w:hyperlink>
        </w:p>
        <w:p w14:paraId="29661186" w14:textId="459A9212"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2" w:history="1">
            <w:r w:rsidR="00930313" w:rsidRPr="00B51E28">
              <w:rPr>
                <w:rStyle w:val="Hyperlink"/>
                <w:noProof/>
                <w:lang w:val="en-GB"/>
              </w:rPr>
              <w:t>8.7.</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lang w:val="en-GB"/>
              </w:rPr>
              <w:t>How the regulatory remedies address the competition concerns</w:t>
            </w:r>
            <w:r w:rsidR="00930313">
              <w:rPr>
                <w:noProof/>
                <w:webHidden/>
              </w:rPr>
              <w:tab/>
            </w:r>
            <w:r w:rsidR="00930313">
              <w:rPr>
                <w:noProof/>
                <w:webHidden/>
              </w:rPr>
              <w:fldChar w:fldCharType="begin"/>
            </w:r>
            <w:r w:rsidR="00930313">
              <w:rPr>
                <w:noProof/>
                <w:webHidden/>
              </w:rPr>
              <w:instrText xml:space="preserve"> PAGEREF _Toc169259012 \h </w:instrText>
            </w:r>
            <w:r w:rsidR="00930313">
              <w:rPr>
                <w:noProof/>
                <w:webHidden/>
              </w:rPr>
            </w:r>
            <w:r w:rsidR="00930313">
              <w:rPr>
                <w:noProof/>
                <w:webHidden/>
              </w:rPr>
              <w:fldChar w:fldCharType="separate"/>
            </w:r>
            <w:r w:rsidR="00930313">
              <w:rPr>
                <w:noProof/>
                <w:webHidden/>
              </w:rPr>
              <w:t>180</w:t>
            </w:r>
            <w:r w:rsidR="00930313">
              <w:rPr>
                <w:noProof/>
                <w:webHidden/>
              </w:rPr>
              <w:fldChar w:fldCharType="end"/>
            </w:r>
          </w:hyperlink>
        </w:p>
        <w:p w14:paraId="4BBB1BE5" w14:textId="0D36854F"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3" w:history="1">
            <w:r w:rsidR="00930313" w:rsidRPr="00B51E28">
              <w:rPr>
                <w:rStyle w:val="Hyperlink"/>
                <w:rFonts w:eastAsia="Times New Roman"/>
                <w:b/>
                <w:bCs/>
                <w:noProof/>
                <w:highlight w:val="yellow"/>
                <w:lang w:val="en-GB"/>
              </w:rPr>
              <w:t>8.8.</w:t>
            </w:r>
            <w:r w:rsidR="00930313">
              <w:rPr>
                <w:rFonts w:asciiTheme="minorHAnsi" w:eastAsiaTheme="minorEastAsia" w:hAnsiTheme="minorHAnsi" w:cstheme="minorBidi"/>
                <w:noProof/>
                <w:kern w:val="2"/>
                <w:sz w:val="24"/>
                <w:szCs w:val="24"/>
                <w:lang w:val="en-US"/>
                <w14:ligatures w14:val="standardContextual"/>
              </w:rPr>
              <w:tab/>
            </w:r>
            <w:r w:rsidR="00930313" w:rsidRPr="00B51E28">
              <w:rPr>
                <w:rStyle w:val="Hyperlink"/>
                <w:noProof/>
                <w:highlight w:val="yellow"/>
                <w:lang w:val="en-GB"/>
              </w:rPr>
              <w:t>Illustrative expected market impact of the regulatory measures on both Wholesale market of local and central access at a fixed location and Wholesale mobile access market</w:t>
            </w:r>
            <w:r w:rsidR="00930313">
              <w:rPr>
                <w:noProof/>
                <w:webHidden/>
              </w:rPr>
              <w:tab/>
            </w:r>
            <w:r w:rsidR="00930313">
              <w:rPr>
                <w:noProof/>
                <w:webHidden/>
              </w:rPr>
              <w:fldChar w:fldCharType="begin"/>
            </w:r>
            <w:r w:rsidR="00930313">
              <w:rPr>
                <w:noProof/>
                <w:webHidden/>
              </w:rPr>
              <w:instrText xml:space="preserve"> PAGEREF _Toc169259013 \h </w:instrText>
            </w:r>
            <w:r w:rsidR="00930313">
              <w:rPr>
                <w:noProof/>
                <w:webHidden/>
              </w:rPr>
            </w:r>
            <w:r w:rsidR="00930313">
              <w:rPr>
                <w:noProof/>
                <w:webHidden/>
              </w:rPr>
              <w:fldChar w:fldCharType="separate"/>
            </w:r>
            <w:r w:rsidR="00930313">
              <w:rPr>
                <w:noProof/>
                <w:webHidden/>
              </w:rPr>
              <w:t>182</w:t>
            </w:r>
            <w:r w:rsidR="00930313">
              <w:rPr>
                <w:noProof/>
                <w:webHidden/>
              </w:rPr>
              <w:fldChar w:fldCharType="end"/>
            </w:r>
          </w:hyperlink>
        </w:p>
        <w:p w14:paraId="6429EE57" w14:textId="3F29396C" w:rsidR="00930313" w:rsidRDefault="004B7613">
          <w:pPr>
            <w:pStyle w:val="TOC1"/>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9014" w:history="1">
            <w:r w:rsidR="00930313" w:rsidRPr="00B51E28">
              <w:rPr>
                <w:rStyle w:val="Hyperlink"/>
                <w:noProof/>
                <w:lang w:val="en-GB"/>
              </w:rPr>
              <w:t>Annex 1: The geographical coverage and take-up of fibre networks</w:t>
            </w:r>
            <w:r w:rsidR="00930313">
              <w:rPr>
                <w:noProof/>
                <w:webHidden/>
              </w:rPr>
              <w:tab/>
            </w:r>
            <w:r w:rsidR="00930313">
              <w:rPr>
                <w:noProof/>
                <w:webHidden/>
              </w:rPr>
              <w:fldChar w:fldCharType="begin"/>
            </w:r>
            <w:r w:rsidR="00930313">
              <w:rPr>
                <w:noProof/>
                <w:webHidden/>
              </w:rPr>
              <w:instrText xml:space="preserve"> PAGEREF _Toc169259014 \h </w:instrText>
            </w:r>
            <w:r w:rsidR="00930313">
              <w:rPr>
                <w:noProof/>
                <w:webHidden/>
              </w:rPr>
            </w:r>
            <w:r w:rsidR="00930313">
              <w:rPr>
                <w:noProof/>
                <w:webHidden/>
              </w:rPr>
              <w:fldChar w:fldCharType="separate"/>
            </w:r>
            <w:r w:rsidR="00930313">
              <w:rPr>
                <w:noProof/>
                <w:webHidden/>
              </w:rPr>
              <w:t>187</w:t>
            </w:r>
            <w:r w:rsidR="00930313">
              <w:rPr>
                <w:noProof/>
                <w:webHidden/>
              </w:rPr>
              <w:fldChar w:fldCharType="end"/>
            </w:r>
          </w:hyperlink>
        </w:p>
        <w:p w14:paraId="37A96AC1" w14:textId="3C57169B"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5" w:history="1">
            <w:r w:rsidR="00930313" w:rsidRPr="00B51E28">
              <w:rPr>
                <w:rStyle w:val="Hyperlink"/>
                <w:noProof/>
                <w:lang w:val="en-GB"/>
              </w:rPr>
              <w:t>Coverage and take-up map of Magticom</w:t>
            </w:r>
            <w:r w:rsidR="00930313">
              <w:rPr>
                <w:noProof/>
                <w:webHidden/>
              </w:rPr>
              <w:tab/>
            </w:r>
            <w:r w:rsidR="00930313">
              <w:rPr>
                <w:noProof/>
                <w:webHidden/>
              </w:rPr>
              <w:fldChar w:fldCharType="begin"/>
            </w:r>
            <w:r w:rsidR="00930313">
              <w:rPr>
                <w:noProof/>
                <w:webHidden/>
              </w:rPr>
              <w:instrText xml:space="preserve"> PAGEREF _Toc169259015 \h </w:instrText>
            </w:r>
            <w:r w:rsidR="00930313">
              <w:rPr>
                <w:noProof/>
                <w:webHidden/>
              </w:rPr>
            </w:r>
            <w:r w:rsidR="00930313">
              <w:rPr>
                <w:noProof/>
                <w:webHidden/>
              </w:rPr>
              <w:fldChar w:fldCharType="separate"/>
            </w:r>
            <w:r w:rsidR="00930313">
              <w:rPr>
                <w:noProof/>
                <w:webHidden/>
              </w:rPr>
              <w:t>187</w:t>
            </w:r>
            <w:r w:rsidR="00930313">
              <w:rPr>
                <w:noProof/>
                <w:webHidden/>
              </w:rPr>
              <w:fldChar w:fldCharType="end"/>
            </w:r>
          </w:hyperlink>
        </w:p>
        <w:p w14:paraId="79713E35" w14:textId="36251ACD"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6" w:history="1">
            <w:r w:rsidR="00930313" w:rsidRPr="00B51E28">
              <w:rPr>
                <w:rStyle w:val="Hyperlink"/>
                <w:noProof/>
                <w:lang w:val="en-GB"/>
              </w:rPr>
              <w:t>Coverage and take-up map of Silknet,</w:t>
            </w:r>
            <w:r w:rsidR="00930313">
              <w:rPr>
                <w:noProof/>
                <w:webHidden/>
              </w:rPr>
              <w:tab/>
            </w:r>
            <w:r w:rsidR="00930313">
              <w:rPr>
                <w:noProof/>
                <w:webHidden/>
              </w:rPr>
              <w:fldChar w:fldCharType="begin"/>
            </w:r>
            <w:r w:rsidR="00930313">
              <w:rPr>
                <w:noProof/>
                <w:webHidden/>
              </w:rPr>
              <w:instrText xml:space="preserve"> PAGEREF _Toc169259016 \h </w:instrText>
            </w:r>
            <w:r w:rsidR="00930313">
              <w:rPr>
                <w:noProof/>
                <w:webHidden/>
              </w:rPr>
            </w:r>
            <w:r w:rsidR="00930313">
              <w:rPr>
                <w:noProof/>
                <w:webHidden/>
              </w:rPr>
              <w:fldChar w:fldCharType="separate"/>
            </w:r>
            <w:r w:rsidR="00930313">
              <w:rPr>
                <w:noProof/>
                <w:webHidden/>
              </w:rPr>
              <w:t>189</w:t>
            </w:r>
            <w:r w:rsidR="00930313">
              <w:rPr>
                <w:noProof/>
                <w:webHidden/>
              </w:rPr>
              <w:fldChar w:fldCharType="end"/>
            </w:r>
          </w:hyperlink>
        </w:p>
        <w:p w14:paraId="086C7E21" w14:textId="5E179A88"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7" w:history="1">
            <w:r w:rsidR="00930313" w:rsidRPr="00B51E28">
              <w:rPr>
                <w:rStyle w:val="Hyperlink"/>
                <w:noProof/>
                <w:lang w:val="en-GB"/>
              </w:rPr>
              <w:t>Coverage and take-up map of Ahkali Kselebi</w:t>
            </w:r>
            <w:r w:rsidR="00930313">
              <w:rPr>
                <w:noProof/>
                <w:webHidden/>
              </w:rPr>
              <w:tab/>
            </w:r>
            <w:r w:rsidR="00930313">
              <w:rPr>
                <w:noProof/>
                <w:webHidden/>
              </w:rPr>
              <w:fldChar w:fldCharType="begin"/>
            </w:r>
            <w:r w:rsidR="00930313">
              <w:rPr>
                <w:noProof/>
                <w:webHidden/>
              </w:rPr>
              <w:instrText xml:space="preserve"> PAGEREF _Toc169259017 \h </w:instrText>
            </w:r>
            <w:r w:rsidR="00930313">
              <w:rPr>
                <w:noProof/>
                <w:webHidden/>
              </w:rPr>
            </w:r>
            <w:r w:rsidR="00930313">
              <w:rPr>
                <w:noProof/>
                <w:webHidden/>
              </w:rPr>
              <w:fldChar w:fldCharType="separate"/>
            </w:r>
            <w:r w:rsidR="00930313">
              <w:rPr>
                <w:noProof/>
                <w:webHidden/>
              </w:rPr>
              <w:t>191</w:t>
            </w:r>
            <w:r w:rsidR="00930313">
              <w:rPr>
                <w:noProof/>
                <w:webHidden/>
              </w:rPr>
              <w:fldChar w:fldCharType="end"/>
            </w:r>
          </w:hyperlink>
        </w:p>
        <w:p w14:paraId="452F69AA" w14:textId="68A69F98"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8" w:history="1">
            <w:r w:rsidR="00930313" w:rsidRPr="00B51E28">
              <w:rPr>
                <w:rStyle w:val="Hyperlink"/>
                <w:noProof/>
                <w:lang w:val="en-GB"/>
              </w:rPr>
              <w:t>Coverage and take-up map of Skytel</w:t>
            </w:r>
            <w:r w:rsidR="00930313">
              <w:rPr>
                <w:noProof/>
                <w:webHidden/>
              </w:rPr>
              <w:tab/>
            </w:r>
            <w:r w:rsidR="00930313">
              <w:rPr>
                <w:noProof/>
                <w:webHidden/>
              </w:rPr>
              <w:fldChar w:fldCharType="begin"/>
            </w:r>
            <w:r w:rsidR="00930313">
              <w:rPr>
                <w:noProof/>
                <w:webHidden/>
              </w:rPr>
              <w:instrText xml:space="preserve"> PAGEREF _Toc169259018 \h </w:instrText>
            </w:r>
            <w:r w:rsidR="00930313">
              <w:rPr>
                <w:noProof/>
                <w:webHidden/>
              </w:rPr>
            </w:r>
            <w:r w:rsidR="00930313">
              <w:rPr>
                <w:noProof/>
                <w:webHidden/>
              </w:rPr>
              <w:fldChar w:fldCharType="separate"/>
            </w:r>
            <w:r w:rsidR="00930313">
              <w:rPr>
                <w:noProof/>
                <w:webHidden/>
              </w:rPr>
              <w:t>193</w:t>
            </w:r>
            <w:r w:rsidR="00930313">
              <w:rPr>
                <w:noProof/>
                <w:webHidden/>
              </w:rPr>
              <w:fldChar w:fldCharType="end"/>
            </w:r>
          </w:hyperlink>
        </w:p>
        <w:p w14:paraId="46F58902" w14:textId="58F878DE"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19" w:history="1">
            <w:r w:rsidR="00930313" w:rsidRPr="00B51E28">
              <w:rPr>
                <w:rStyle w:val="Hyperlink"/>
                <w:noProof/>
                <w:lang w:val="en-GB"/>
              </w:rPr>
              <w:t>Coverage and take-up map of the other operators together</w:t>
            </w:r>
            <w:r w:rsidR="00930313">
              <w:rPr>
                <w:noProof/>
                <w:webHidden/>
              </w:rPr>
              <w:tab/>
            </w:r>
            <w:r w:rsidR="00930313">
              <w:rPr>
                <w:noProof/>
                <w:webHidden/>
              </w:rPr>
              <w:fldChar w:fldCharType="begin"/>
            </w:r>
            <w:r w:rsidR="00930313">
              <w:rPr>
                <w:noProof/>
                <w:webHidden/>
              </w:rPr>
              <w:instrText xml:space="preserve"> PAGEREF _Toc169259019 \h </w:instrText>
            </w:r>
            <w:r w:rsidR="00930313">
              <w:rPr>
                <w:noProof/>
                <w:webHidden/>
              </w:rPr>
            </w:r>
            <w:r w:rsidR="00930313">
              <w:rPr>
                <w:noProof/>
                <w:webHidden/>
              </w:rPr>
              <w:fldChar w:fldCharType="separate"/>
            </w:r>
            <w:r w:rsidR="00930313">
              <w:rPr>
                <w:noProof/>
                <w:webHidden/>
              </w:rPr>
              <w:t>195</w:t>
            </w:r>
            <w:r w:rsidR="00930313">
              <w:rPr>
                <w:noProof/>
                <w:webHidden/>
              </w:rPr>
              <w:fldChar w:fldCharType="end"/>
            </w:r>
          </w:hyperlink>
        </w:p>
        <w:p w14:paraId="5495DAEE" w14:textId="204616FF" w:rsidR="00930313" w:rsidRDefault="004B7613">
          <w:pPr>
            <w:pStyle w:val="TOC2"/>
            <w:rPr>
              <w:rFonts w:asciiTheme="minorHAnsi" w:eastAsiaTheme="minorEastAsia" w:hAnsiTheme="minorHAnsi" w:cstheme="minorBidi"/>
              <w:noProof/>
              <w:kern w:val="2"/>
              <w:sz w:val="24"/>
              <w:szCs w:val="24"/>
              <w:lang w:val="en-US"/>
              <w14:ligatures w14:val="standardContextual"/>
            </w:rPr>
          </w:pPr>
          <w:hyperlink w:anchor="_Toc169259020" w:history="1">
            <w:r w:rsidR="00930313" w:rsidRPr="00B51E28">
              <w:rPr>
                <w:rStyle w:val="Hyperlink"/>
                <w:noProof/>
                <w:lang w:val="en-GB"/>
              </w:rPr>
              <w:t>Conclusion</w:t>
            </w:r>
            <w:r w:rsidR="00930313">
              <w:rPr>
                <w:noProof/>
                <w:webHidden/>
              </w:rPr>
              <w:tab/>
            </w:r>
            <w:r w:rsidR="00930313">
              <w:rPr>
                <w:noProof/>
                <w:webHidden/>
              </w:rPr>
              <w:fldChar w:fldCharType="begin"/>
            </w:r>
            <w:r w:rsidR="00930313">
              <w:rPr>
                <w:noProof/>
                <w:webHidden/>
              </w:rPr>
              <w:instrText xml:space="preserve"> PAGEREF _Toc169259020 \h </w:instrText>
            </w:r>
            <w:r w:rsidR="00930313">
              <w:rPr>
                <w:noProof/>
                <w:webHidden/>
              </w:rPr>
            </w:r>
            <w:r w:rsidR="00930313">
              <w:rPr>
                <w:noProof/>
                <w:webHidden/>
              </w:rPr>
              <w:fldChar w:fldCharType="separate"/>
            </w:r>
            <w:r w:rsidR="00930313">
              <w:rPr>
                <w:noProof/>
                <w:webHidden/>
              </w:rPr>
              <w:t>197</w:t>
            </w:r>
            <w:r w:rsidR="00930313">
              <w:rPr>
                <w:noProof/>
                <w:webHidden/>
              </w:rPr>
              <w:fldChar w:fldCharType="end"/>
            </w:r>
          </w:hyperlink>
        </w:p>
        <w:p w14:paraId="13FCC810" w14:textId="7AAD2C72" w:rsidR="00930313" w:rsidRDefault="004B7613">
          <w:pPr>
            <w:pStyle w:val="TOC1"/>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59021" w:history="1">
            <w:r w:rsidR="00930313" w:rsidRPr="00B51E28">
              <w:rPr>
                <w:rStyle w:val="Hyperlink"/>
                <w:noProof/>
                <w:lang w:val="en-GB"/>
              </w:rPr>
              <w:t>Annex 2: List of abbreviations</w:t>
            </w:r>
            <w:r w:rsidR="00930313">
              <w:rPr>
                <w:noProof/>
                <w:webHidden/>
              </w:rPr>
              <w:tab/>
            </w:r>
            <w:r w:rsidR="00930313">
              <w:rPr>
                <w:noProof/>
                <w:webHidden/>
              </w:rPr>
              <w:fldChar w:fldCharType="begin"/>
            </w:r>
            <w:r w:rsidR="00930313">
              <w:rPr>
                <w:noProof/>
                <w:webHidden/>
              </w:rPr>
              <w:instrText xml:space="preserve"> PAGEREF _Toc169259021 \h </w:instrText>
            </w:r>
            <w:r w:rsidR="00930313">
              <w:rPr>
                <w:noProof/>
                <w:webHidden/>
              </w:rPr>
            </w:r>
            <w:r w:rsidR="00930313">
              <w:rPr>
                <w:noProof/>
                <w:webHidden/>
              </w:rPr>
              <w:fldChar w:fldCharType="separate"/>
            </w:r>
            <w:r w:rsidR="00930313">
              <w:rPr>
                <w:noProof/>
                <w:webHidden/>
              </w:rPr>
              <w:t>198</w:t>
            </w:r>
            <w:r w:rsidR="00930313">
              <w:rPr>
                <w:noProof/>
                <w:webHidden/>
              </w:rPr>
              <w:fldChar w:fldCharType="end"/>
            </w:r>
          </w:hyperlink>
        </w:p>
        <w:p w14:paraId="0285077F" w14:textId="6393BAFE" w:rsidR="00076417" w:rsidRDefault="00076417">
          <w:r>
            <w:rPr>
              <w:b/>
              <w:bCs/>
              <w:noProof/>
            </w:rPr>
            <w:fldChar w:fldCharType="end"/>
          </w:r>
        </w:p>
      </w:sdtContent>
    </w:sdt>
    <w:p w14:paraId="447D3A53" w14:textId="77777777" w:rsidR="00076417" w:rsidRDefault="00076417" w:rsidP="008A38A3">
      <w:pPr>
        <w:spacing w:after="0" w:line="240" w:lineRule="auto"/>
        <w:jc w:val="center"/>
        <w:rPr>
          <w:b/>
          <w:bCs/>
          <w:sz w:val="24"/>
          <w:szCs w:val="24"/>
          <w:lang w:val="en-GB"/>
        </w:rPr>
      </w:pPr>
    </w:p>
    <w:p w14:paraId="13335BEC" w14:textId="77777777" w:rsidR="008A38A3" w:rsidRDefault="008A38A3" w:rsidP="008A38A3">
      <w:pPr>
        <w:spacing w:after="0" w:line="240" w:lineRule="auto"/>
        <w:jc w:val="center"/>
        <w:rPr>
          <w:b/>
          <w:bCs/>
          <w:sz w:val="24"/>
          <w:szCs w:val="24"/>
          <w:lang w:val="en-GB"/>
        </w:rPr>
      </w:pPr>
    </w:p>
    <w:p w14:paraId="1774C6FF" w14:textId="77777777" w:rsidR="00F225CF" w:rsidRDefault="00F225CF" w:rsidP="008A38A3">
      <w:pPr>
        <w:spacing w:after="0" w:line="240" w:lineRule="auto"/>
        <w:jc w:val="center"/>
        <w:rPr>
          <w:b/>
          <w:bCs/>
          <w:sz w:val="24"/>
          <w:szCs w:val="24"/>
          <w:lang w:val="en-GB"/>
        </w:rPr>
      </w:pPr>
    </w:p>
    <w:p w14:paraId="6AA99C5F" w14:textId="77777777" w:rsidR="00F225CF" w:rsidRDefault="00F225CF" w:rsidP="008A38A3">
      <w:pPr>
        <w:spacing w:after="0" w:line="240" w:lineRule="auto"/>
        <w:jc w:val="center"/>
        <w:rPr>
          <w:b/>
          <w:bCs/>
          <w:sz w:val="24"/>
          <w:szCs w:val="24"/>
          <w:lang w:val="en-GB"/>
        </w:rPr>
      </w:pPr>
    </w:p>
    <w:p w14:paraId="6F7BC5EB" w14:textId="77777777" w:rsidR="00F225CF" w:rsidRDefault="00F225CF" w:rsidP="008A38A3">
      <w:pPr>
        <w:spacing w:after="0" w:line="240" w:lineRule="auto"/>
        <w:jc w:val="center"/>
        <w:rPr>
          <w:b/>
          <w:bCs/>
          <w:sz w:val="24"/>
          <w:szCs w:val="24"/>
          <w:lang w:val="en-GB"/>
        </w:rPr>
      </w:pPr>
    </w:p>
    <w:p w14:paraId="5372759F" w14:textId="77777777" w:rsidR="00F225CF" w:rsidRDefault="00F225CF" w:rsidP="008A38A3">
      <w:pPr>
        <w:spacing w:after="0" w:line="240" w:lineRule="auto"/>
        <w:jc w:val="center"/>
        <w:rPr>
          <w:b/>
          <w:bCs/>
          <w:sz w:val="24"/>
          <w:szCs w:val="24"/>
          <w:lang w:val="en-GB"/>
        </w:rPr>
      </w:pPr>
    </w:p>
    <w:p w14:paraId="0154D8FC" w14:textId="77777777" w:rsidR="00F225CF" w:rsidRDefault="00F225CF" w:rsidP="008A38A3">
      <w:pPr>
        <w:spacing w:after="0" w:line="240" w:lineRule="auto"/>
        <w:jc w:val="center"/>
        <w:rPr>
          <w:b/>
          <w:bCs/>
          <w:sz w:val="24"/>
          <w:szCs w:val="24"/>
          <w:lang w:val="en-GB"/>
        </w:rPr>
      </w:pPr>
    </w:p>
    <w:p w14:paraId="35EA62AA" w14:textId="77777777" w:rsidR="00F225CF" w:rsidRDefault="00F225CF" w:rsidP="008A38A3">
      <w:pPr>
        <w:spacing w:after="0" w:line="240" w:lineRule="auto"/>
        <w:jc w:val="center"/>
        <w:rPr>
          <w:b/>
          <w:bCs/>
          <w:sz w:val="24"/>
          <w:szCs w:val="24"/>
          <w:lang w:val="en-GB"/>
        </w:rPr>
      </w:pPr>
    </w:p>
    <w:p w14:paraId="527A0AA3" w14:textId="77777777" w:rsidR="00F225CF" w:rsidRDefault="00F225CF" w:rsidP="008A38A3">
      <w:pPr>
        <w:spacing w:after="0" w:line="240" w:lineRule="auto"/>
        <w:jc w:val="center"/>
        <w:rPr>
          <w:b/>
          <w:bCs/>
          <w:sz w:val="24"/>
          <w:szCs w:val="24"/>
          <w:lang w:val="en-GB"/>
        </w:rPr>
      </w:pPr>
    </w:p>
    <w:p w14:paraId="651AAED5" w14:textId="77777777" w:rsidR="00F225CF" w:rsidRDefault="00F225CF" w:rsidP="008A38A3">
      <w:pPr>
        <w:spacing w:after="0" w:line="240" w:lineRule="auto"/>
        <w:jc w:val="center"/>
        <w:rPr>
          <w:b/>
          <w:bCs/>
          <w:sz w:val="24"/>
          <w:szCs w:val="24"/>
          <w:lang w:val="en-GB"/>
        </w:rPr>
      </w:pPr>
    </w:p>
    <w:p w14:paraId="4B842FB0" w14:textId="77777777" w:rsidR="00F225CF" w:rsidRDefault="00F225CF" w:rsidP="008A38A3">
      <w:pPr>
        <w:spacing w:after="0" w:line="240" w:lineRule="auto"/>
        <w:jc w:val="center"/>
        <w:rPr>
          <w:b/>
          <w:bCs/>
          <w:sz w:val="24"/>
          <w:szCs w:val="24"/>
          <w:lang w:val="en-GB"/>
        </w:rPr>
      </w:pPr>
    </w:p>
    <w:p w14:paraId="2BD44323" w14:textId="77777777" w:rsidR="00F225CF" w:rsidRDefault="00F225CF" w:rsidP="008A38A3">
      <w:pPr>
        <w:spacing w:after="0" w:line="240" w:lineRule="auto"/>
        <w:jc w:val="center"/>
        <w:rPr>
          <w:b/>
          <w:bCs/>
          <w:sz w:val="24"/>
          <w:szCs w:val="24"/>
          <w:lang w:val="en-GB"/>
        </w:rPr>
      </w:pPr>
    </w:p>
    <w:p w14:paraId="00F47B4C" w14:textId="77777777" w:rsidR="00F225CF" w:rsidRDefault="00F225CF" w:rsidP="008A38A3">
      <w:pPr>
        <w:spacing w:after="0" w:line="240" w:lineRule="auto"/>
        <w:jc w:val="center"/>
        <w:rPr>
          <w:b/>
          <w:bCs/>
          <w:sz w:val="24"/>
          <w:szCs w:val="24"/>
          <w:lang w:val="en-GB"/>
        </w:rPr>
      </w:pPr>
    </w:p>
    <w:p w14:paraId="2F855B05" w14:textId="77777777" w:rsidR="00F225CF" w:rsidRDefault="00F225CF" w:rsidP="008A38A3">
      <w:pPr>
        <w:spacing w:after="0" w:line="240" w:lineRule="auto"/>
        <w:jc w:val="center"/>
        <w:rPr>
          <w:b/>
          <w:bCs/>
          <w:sz w:val="24"/>
          <w:szCs w:val="24"/>
          <w:lang w:val="en-GB"/>
        </w:rPr>
      </w:pPr>
    </w:p>
    <w:p w14:paraId="6B3BED5C" w14:textId="77777777" w:rsidR="00F225CF" w:rsidRDefault="00F225CF" w:rsidP="008A38A3">
      <w:pPr>
        <w:spacing w:after="0" w:line="240" w:lineRule="auto"/>
        <w:jc w:val="center"/>
        <w:rPr>
          <w:b/>
          <w:bCs/>
          <w:sz w:val="24"/>
          <w:szCs w:val="24"/>
          <w:lang w:val="en-GB"/>
        </w:rPr>
      </w:pPr>
    </w:p>
    <w:p w14:paraId="49E73870" w14:textId="77777777" w:rsidR="00F225CF" w:rsidRDefault="00F225CF" w:rsidP="008A38A3">
      <w:pPr>
        <w:spacing w:after="0" w:line="240" w:lineRule="auto"/>
        <w:jc w:val="center"/>
        <w:rPr>
          <w:b/>
          <w:bCs/>
          <w:sz w:val="24"/>
          <w:szCs w:val="24"/>
          <w:lang w:val="en-GB"/>
        </w:rPr>
      </w:pPr>
    </w:p>
    <w:p w14:paraId="2F583F7A" w14:textId="77777777" w:rsidR="00F225CF" w:rsidRDefault="00F225CF" w:rsidP="008A38A3">
      <w:pPr>
        <w:spacing w:after="0" w:line="240" w:lineRule="auto"/>
        <w:jc w:val="center"/>
        <w:rPr>
          <w:b/>
          <w:bCs/>
          <w:sz w:val="24"/>
          <w:szCs w:val="24"/>
          <w:lang w:val="en-GB"/>
        </w:rPr>
      </w:pPr>
    </w:p>
    <w:p w14:paraId="64D9F49E" w14:textId="77777777" w:rsidR="00982B0F" w:rsidRDefault="00982B0F" w:rsidP="00805729">
      <w:pPr>
        <w:spacing w:after="0" w:line="240" w:lineRule="auto"/>
        <w:rPr>
          <w:b/>
          <w:bCs/>
          <w:sz w:val="24"/>
          <w:szCs w:val="24"/>
          <w:lang w:val="en-GB"/>
        </w:rPr>
      </w:pPr>
    </w:p>
    <w:p w14:paraId="66C4A82B" w14:textId="77777777" w:rsidR="009042E4" w:rsidRDefault="009042E4" w:rsidP="00B52ADF">
      <w:pPr>
        <w:spacing w:after="0" w:line="240" w:lineRule="auto"/>
        <w:rPr>
          <w:b/>
          <w:bCs/>
          <w:sz w:val="24"/>
          <w:szCs w:val="24"/>
          <w:lang w:val="en-GB"/>
        </w:rPr>
      </w:pPr>
    </w:p>
    <w:p w14:paraId="0F01F3EB" w14:textId="77777777" w:rsidR="002167F6" w:rsidRDefault="002167F6" w:rsidP="00B52ADF">
      <w:pPr>
        <w:spacing w:after="0" w:line="240" w:lineRule="auto"/>
        <w:rPr>
          <w:b/>
          <w:bCs/>
          <w:sz w:val="24"/>
          <w:szCs w:val="24"/>
          <w:lang w:val="en-GB"/>
        </w:rPr>
      </w:pPr>
    </w:p>
    <w:p w14:paraId="20036F34" w14:textId="77777777" w:rsidR="002167F6" w:rsidRDefault="002167F6" w:rsidP="00B52ADF">
      <w:pPr>
        <w:spacing w:after="0" w:line="240" w:lineRule="auto"/>
        <w:rPr>
          <w:b/>
          <w:bCs/>
          <w:sz w:val="24"/>
          <w:szCs w:val="24"/>
          <w:lang w:val="en-GB"/>
        </w:rPr>
      </w:pPr>
    </w:p>
    <w:p w14:paraId="799AECAB" w14:textId="77777777" w:rsidR="002167F6" w:rsidRDefault="002167F6" w:rsidP="00B52ADF">
      <w:pPr>
        <w:spacing w:after="0" w:line="240" w:lineRule="auto"/>
        <w:rPr>
          <w:b/>
          <w:bCs/>
          <w:sz w:val="24"/>
          <w:szCs w:val="24"/>
          <w:lang w:val="en-GB"/>
        </w:rPr>
      </w:pPr>
    </w:p>
    <w:p w14:paraId="24057F36" w14:textId="77777777" w:rsidR="002167F6" w:rsidRDefault="002167F6" w:rsidP="00B52ADF">
      <w:pPr>
        <w:spacing w:after="0" w:line="240" w:lineRule="auto"/>
        <w:rPr>
          <w:b/>
          <w:bCs/>
          <w:sz w:val="24"/>
          <w:szCs w:val="24"/>
          <w:lang w:val="en-GB"/>
        </w:rPr>
      </w:pPr>
    </w:p>
    <w:p w14:paraId="24B64823" w14:textId="77777777" w:rsidR="002167F6" w:rsidRDefault="002167F6" w:rsidP="00B52ADF">
      <w:pPr>
        <w:spacing w:after="0" w:line="240" w:lineRule="auto"/>
        <w:rPr>
          <w:b/>
          <w:bCs/>
          <w:sz w:val="24"/>
          <w:szCs w:val="24"/>
          <w:lang w:val="en-GB"/>
        </w:rPr>
      </w:pPr>
    </w:p>
    <w:p w14:paraId="0D11B724" w14:textId="05716806" w:rsidR="009042E4" w:rsidRPr="009042E4" w:rsidRDefault="001E6796" w:rsidP="001E6796">
      <w:pPr>
        <w:spacing w:after="0" w:line="240" w:lineRule="auto"/>
        <w:jc w:val="center"/>
        <w:rPr>
          <w:sz w:val="24"/>
          <w:szCs w:val="24"/>
          <w:lang w:val="en-GB"/>
        </w:rPr>
      </w:pPr>
      <w:r w:rsidRPr="001E6796">
        <w:rPr>
          <w:sz w:val="24"/>
          <w:szCs w:val="24"/>
          <w:lang w:val="en-GB"/>
        </w:rPr>
        <w:t>List of</w:t>
      </w:r>
      <w:r w:rsidR="00EE2FDA">
        <w:rPr>
          <w:sz w:val="24"/>
          <w:szCs w:val="24"/>
          <w:lang w:val="en-GB"/>
        </w:rPr>
        <w:t xml:space="preserve"> </w:t>
      </w:r>
      <w:r w:rsidR="00FF71C8">
        <w:rPr>
          <w:sz w:val="24"/>
          <w:szCs w:val="24"/>
          <w:lang w:val="en-GB"/>
        </w:rPr>
        <w:t>F</w:t>
      </w:r>
      <w:r w:rsidR="00051A42">
        <w:rPr>
          <w:sz w:val="24"/>
          <w:szCs w:val="24"/>
          <w:lang w:val="en-GB"/>
        </w:rPr>
        <w:t>igures</w:t>
      </w:r>
    </w:p>
    <w:p w14:paraId="3982AA65" w14:textId="77777777" w:rsidR="007C6D4D" w:rsidRDefault="007C6D4D" w:rsidP="00B52ADF">
      <w:pPr>
        <w:spacing w:after="0" w:line="240" w:lineRule="auto"/>
        <w:rPr>
          <w:b/>
          <w:bCs/>
          <w:sz w:val="24"/>
          <w:szCs w:val="24"/>
          <w:lang w:val="en-GB"/>
        </w:rPr>
      </w:pPr>
    </w:p>
    <w:p w14:paraId="3AEC0FDA" w14:textId="6678366D" w:rsidR="00545038" w:rsidRDefault="009042E4">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r>
        <w:rPr>
          <w:b/>
          <w:bCs/>
          <w:sz w:val="24"/>
          <w:szCs w:val="24"/>
          <w:lang w:val="en-GB"/>
        </w:rPr>
        <w:fldChar w:fldCharType="begin"/>
      </w:r>
      <w:r>
        <w:rPr>
          <w:b/>
          <w:bCs/>
          <w:sz w:val="24"/>
          <w:szCs w:val="24"/>
          <w:lang w:val="en-GB"/>
        </w:rPr>
        <w:instrText xml:space="preserve"> TOC \h \z \c "Figure" </w:instrText>
      </w:r>
      <w:r>
        <w:rPr>
          <w:b/>
          <w:bCs/>
          <w:sz w:val="24"/>
          <w:szCs w:val="24"/>
          <w:lang w:val="en-GB"/>
        </w:rPr>
        <w:fldChar w:fldCharType="separate"/>
      </w:r>
      <w:hyperlink w:anchor="_Toc152931352" w:history="1">
        <w:r w:rsidR="00545038" w:rsidRPr="00051984">
          <w:rPr>
            <w:rStyle w:val="Hyperlink"/>
            <w:i/>
            <w:iCs/>
            <w:noProof/>
            <w:lang w:val="en-GB"/>
          </w:rPr>
          <w:t xml:space="preserve">Figure 1 Population density </w:t>
        </w:r>
        <w:r w:rsidR="00545038" w:rsidRPr="00051984">
          <w:rPr>
            <w:rStyle w:val="Hyperlink"/>
            <w:noProof/>
          </w:rPr>
          <w:t>map</w:t>
        </w:r>
        <w:r w:rsidR="00545038" w:rsidRPr="00051984">
          <w:rPr>
            <w:rStyle w:val="Hyperlink"/>
            <w:i/>
            <w:iCs/>
            <w:noProof/>
            <w:lang w:val="en-GB"/>
          </w:rPr>
          <w:t xml:space="preserve"> from 2014 census</w:t>
        </w:r>
        <w:r w:rsidR="00545038">
          <w:rPr>
            <w:noProof/>
            <w:webHidden/>
          </w:rPr>
          <w:tab/>
        </w:r>
        <w:r w:rsidR="00545038">
          <w:rPr>
            <w:noProof/>
            <w:webHidden/>
          </w:rPr>
          <w:fldChar w:fldCharType="begin"/>
        </w:r>
        <w:r w:rsidR="00545038">
          <w:rPr>
            <w:noProof/>
            <w:webHidden/>
          </w:rPr>
          <w:instrText xml:space="preserve"> PAGEREF _Toc152931352 \h </w:instrText>
        </w:r>
        <w:r w:rsidR="00545038">
          <w:rPr>
            <w:noProof/>
            <w:webHidden/>
          </w:rPr>
        </w:r>
        <w:r w:rsidR="00545038">
          <w:rPr>
            <w:noProof/>
            <w:webHidden/>
          </w:rPr>
          <w:fldChar w:fldCharType="separate"/>
        </w:r>
        <w:r w:rsidR="00545038">
          <w:rPr>
            <w:noProof/>
            <w:webHidden/>
          </w:rPr>
          <w:t>37</w:t>
        </w:r>
        <w:r w:rsidR="00545038">
          <w:rPr>
            <w:noProof/>
            <w:webHidden/>
          </w:rPr>
          <w:fldChar w:fldCharType="end"/>
        </w:r>
      </w:hyperlink>
    </w:p>
    <w:p w14:paraId="0D28E0A9" w14:textId="341BC2BF"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3" w:history="1">
        <w:r w:rsidR="00545038" w:rsidRPr="00051984">
          <w:rPr>
            <w:rStyle w:val="Hyperlink"/>
            <w:i/>
            <w:iCs/>
            <w:noProof/>
            <w:lang w:val="en-GB"/>
          </w:rPr>
          <w:t>Figure 2</w:t>
        </w:r>
        <w:r w:rsidR="00545038" w:rsidRPr="00051984">
          <w:rPr>
            <w:rStyle w:val="Hyperlink"/>
            <w:noProof/>
            <w:lang w:val="en-GB"/>
          </w:rPr>
          <w:t xml:space="preserve"> </w:t>
        </w:r>
        <w:r w:rsidR="00545038" w:rsidRPr="00051984">
          <w:rPr>
            <w:rStyle w:val="Hyperlink"/>
            <w:i/>
            <w:iCs/>
            <w:noProof/>
            <w:lang w:val="en-GB"/>
          </w:rPr>
          <w:t>Active operators in settlements</w:t>
        </w:r>
        <w:r w:rsidR="00545038">
          <w:rPr>
            <w:noProof/>
            <w:webHidden/>
          </w:rPr>
          <w:tab/>
        </w:r>
        <w:r w:rsidR="00545038">
          <w:rPr>
            <w:noProof/>
            <w:webHidden/>
          </w:rPr>
          <w:fldChar w:fldCharType="begin"/>
        </w:r>
        <w:r w:rsidR="00545038">
          <w:rPr>
            <w:noProof/>
            <w:webHidden/>
          </w:rPr>
          <w:instrText xml:space="preserve"> PAGEREF _Toc152931353 \h </w:instrText>
        </w:r>
        <w:r w:rsidR="00545038">
          <w:rPr>
            <w:noProof/>
            <w:webHidden/>
          </w:rPr>
        </w:r>
        <w:r w:rsidR="00545038">
          <w:rPr>
            <w:noProof/>
            <w:webHidden/>
          </w:rPr>
          <w:fldChar w:fldCharType="separate"/>
        </w:r>
        <w:r w:rsidR="00545038">
          <w:rPr>
            <w:noProof/>
            <w:webHidden/>
          </w:rPr>
          <w:t>38</w:t>
        </w:r>
        <w:r w:rsidR="00545038">
          <w:rPr>
            <w:noProof/>
            <w:webHidden/>
          </w:rPr>
          <w:fldChar w:fldCharType="end"/>
        </w:r>
      </w:hyperlink>
    </w:p>
    <w:p w14:paraId="743F6B4A" w14:textId="2F5EFEF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4" w:history="1">
        <w:r w:rsidR="00545038" w:rsidRPr="00051984">
          <w:rPr>
            <w:rStyle w:val="Hyperlink"/>
            <w:i/>
            <w:iCs/>
            <w:noProof/>
            <w:lang w:val="en-GB"/>
          </w:rPr>
          <w:t>Figure 3</w:t>
        </w:r>
        <w:r w:rsidR="00545038" w:rsidRPr="00051984">
          <w:rPr>
            <w:rStyle w:val="Hyperlink"/>
            <w:noProof/>
            <w:lang w:val="en-GB"/>
          </w:rPr>
          <w:t xml:space="preserve"> Fixed broadband </w:t>
        </w:r>
        <w:r w:rsidR="00545038" w:rsidRPr="00051984">
          <w:rPr>
            <w:rStyle w:val="Hyperlink"/>
            <w:i/>
            <w:iCs/>
            <w:noProof/>
            <w:lang w:val="en-GB"/>
          </w:rPr>
          <w:t>penetration and coverage</w:t>
        </w:r>
        <w:r w:rsidR="00545038">
          <w:rPr>
            <w:noProof/>
            <w:webHidden/>
          </w:rPr>
          <w:tab/>
        </w:r>
        <w:r w:rsidR="00545038">
          <w:rPr>
            <w:noProof/>
            <w:webHidden/>
          </w:rPr>
          <w:fldChar w:fldCharType="begin"/>
        </w:r>
        <w:r w:rsidR="00545038">
          <w:rPr>
            <w:noProof/>
            <w:webHidden/>
          </w:rPr>
          <w:instrText xml:space="preserve"> PAGEREF _Toc152931354 \h </w:instrText>
        </w:r>
        <w:r w:rsidR="00545038">
          <w:rPr>
            <w:noProof/>
            <w:webHidden/>
          </w:rPr>
        </w:r>
        <w:r w:rsidR="00545038">
          <w:rPr>
            <w:noProof/>
            <w:webHidden/>
          </w:rPr>
          <w:fldChar w:fldCharType="separate"/>
        </w:r>
        <w:r w:rsidR="00545038">
          <w:rPr>
            <w:noProof/>
            <w:webHidden/>
          </w:rPr>
          <w:t>39</w:t>
        </w:r>
        <w:r w:rsidR="00545038">
          <w:rPr>
            <w:noProof/>
            <w:webHidden/>
          </w:rPr>
          <w:fldChar w:fldCharType="end"/>
        </w:r>
      </w:hyperlink>
    </w:p>
    <w:p w14:paraId="4003E30E" w14:textId="2722C554"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5" w:history="1">
        <w:r w:rsidR="00545038" w:rsidRPr="00051984">
          <w:rPr>
            <w:rStyle w:val="Hyperlink"/>
            <w:i/>
            <w:iCs/>
            <w:noProof/>
            <w:lang w:val="en-GB"/>
          </w:rPr>
          <w:t>Figure 4</w:t>
        </w:r>
        <w:r w:rsidR="00545038" w:rsidRPr="00051984">
          <w:rPr>
            <w:rStyle w:val="Hyperlink"/>
            <w:noProof/>
            <w:lang w:val="en-GB"/>
          </w:rPr>
          <w:t xml:space="preserve"> </w:t>
        </w:r>
        <w:r w:rsidR="00545038" w:rsidRPr="00051984">
          <w:rPr>
            <w:rStyle w:val="Hyperlink"/>
            <w:i/>
            <w:iCs/>
            <w:noProof/>
            <w:lang w:val="en-GB"/>
          </w:rPr>
          <w:t>Active FTTx operators in settlements</w:t>
        </w:r>
        <w:r w:rsidR="00545038">
          <w:rPr>
            <w:noProof/>
            <w:webHidden/>
          </w:rPr>
          <w:tab/>
        </w:r>
        <w:r w:rsidR="00545038">
          <w:rPr>
            <w:noProof/>
            <w:webHidden/>
          </w:rPr>
          <w:fldChar w:fldCharType="begin"/>
        </w:r>
        <w:r w:rsidR="00545038">
          <w:rPr>
            <w:noProof/>
            <w:webHidden/>
          </w:rPr>
          <w:instrText xml:space="preserve"> PAGEREF _Toc152931355 \h </w:instrText>
        </w:r>
        <w:r w:rsidR="00545038">
          <w:rPr>
            <w:noProof/>
            <w:webHidden/>
          </w:rPr>
        </w:r>
        <w:r w:rsidR="00545038">
          <w:rPr>
            <w:noProof/>
            <w:webHidden/>
          </w:rPr>
          <w:fldChar w:fldCharType="separate"/>
        </w:r>
        <w:r w:rsidR="00545038">
          <w:rPr>
            <w:noProof/>
            <w:webHidden/>
          </w:rPr>
          <w:t>40</w:t>
        </w:r>
        <w:r w:rsidR="00545038">
          <w:rPr>
            <w:noProof/>
            <w:webHidden/>
          </w:rPr>
          <w:fldChar w:fldCharType="end"/>
        </w:r>
      </w:hyperlink>
    </w:p>
    <w:p w14:paraId="702A5C96" w14:textId="50C4431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6" w:history="1">
        <w:r w:rsidR="00545038" w:rsidRPr="00051984">
          <w:rPr>
            <w:rStyle w:val="Hyperlink"/>
            <w:i/>
            <w:iCs/>
            <w:noProof/>
            <w:lang w:val="en-GB"/>
          </w:rPr>
          <w:t>Figure 5</w:t>
        </w:r>
        <w:r w:rsidR="00545038" w:rsidRPr="00051984">
          <w:rPr>
            <w:rStyle w:val="Hyperlink"/>
            <w:noProof/>
            <w:lang w:val="en-GB"/>
          </w:rPr>
          <w:t xml:space="preserve"> </w:t>
        </w:r>
        <w:r w:rsidR="00545038" w:rsidRPr="00051984">
          <w:rPr>
            <w:rStyle w:val="Hyperlink"/>
            <w:i/>
            <w:iCs/>
            <w:noProof/>
            <w:lang w:val="en-GB"/>
          </w:rPr>
          <w:t>Active FTTx operators in settlements</w:t>
        </w:r>
        <w:r w:rsidR="00545038">
          <w:rPr>
            <w:noProof/>
            <w:webHidden/>
          </w:rPr>
          <w:tab/>
        </w:r>
        <w:r w:rsidR="00545038">
          <w:rPr>
            <w:noProof/>
            <w:webHidden/>
          </w:rPr>
          <w:fldChar w:fldCharType="begin"/>
        </w:r>
        <w:r w:rsidR="00545038">
          <w:rPr>
            <w:noProof/>
            <w:webHidden/>
          </w:rPr>
          <w:instrText xml:space="preserve"> PAGEREF _Toc152931356 \h </w:instrText>
        </w:r>
        <w:r w:rsidR="00545038">
          <w:rPr>
            <w:noProof/>
            <w:webHidden/>
          </w:rPr>
        </w:r>
        <w:r w:rsidR="00545038">
          <w:rPr>
            <w:noProof/>
            <w:webHidden/>
          </w:rPr>
          <w:fldChar w:fldCharType="separate"/>
        </w:r>
        <w:r w:rsidR="00545038">
          <w:rPr>
            <w:noProof/>
            <w:webHidden/>
          </w:rPr>
          <w:t>40</w:t>
        </w:r>
        <w:r w:rsidR="00545038">
          <w:rPr>
            <w:noProof/>
            <w:webHidden/>
          </w:rPr>
          <w:fldChar w:fldCharType="end"/>
        </w:r>
      </w:hyperlink>
    </w:p>
    <w:p w14:paraId="242ED1CB" w14:textId="17B3EE01"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7" w:history="1">
        <w:r w:rsidR="00545038" w:rsidRPr="00051984">
          <w:rPr>
            <w:rStyle w:val="Hyperlink"/>
            <w:i/>
            <w:iCs/>
            <w:noProof/>
            <w:lang w:val="en-GB"/>
          </w:rPr>
          <w:t>Figure 6</w:t>
        </w:r>
        <w:r w:rsidR="00545038" w:rsidRPr="00051984">
          <w:rPr>
            <w:rStyle w:val="Hyperlink"/>
            <w:noProof/>
            <w:lang w:val="en-GB"/>
          </w:rPr>
          <w:t xml:space="preserve"> </w:t>
        </w:r>
        <w:r w:rsidR="00545038" w:rsidRPr="00051984">
          <w:rPr>
            <w:rStyle w:val="Hyperlink"/>
            <w:i/>
            <w:iCs/>
            <w:noProof/>
            <w:lang w:val="en-GB"/>
          </w:rPr>
          <w:t>Overlap of FTTx networks with other technologies (FWA, copper)</w:t>
        </w:r>
        <w:r w:rsidR="00545038">
          <w:rPr>
            <w:noProof/>
            <w:webHidden/>
          </w:rPr>
          <w:tab/>
        </w:r>
        <w:r w:rsidR="00545038">
          <w:rPr>
            <w:noProof/>
            <w:webHidden/>
          </w:rPr>
          <w:fldChar w:fldCharType="begin"/>
        </w:r>
        <w:r w:rsidR="00545038">
          <w:rPr>
            <w:noProof/>
            <w:webHidden/>
          </w:rPr>
          <w:instrText xml:space="preserve"> PAGEREF _Toc152931357 \h </w:instrText>
        </w:r>
        <w:r w:rsidR="00545038">
          <w:rPr>
            <w:noProof/>
            <w:webHidden/>
          </w:rPr>
        </w:r>
        <w:r w:rsidR="00545038">
          <w:rPr>
            <w:noProof/>
            <w:webHidden/>
          </w:rPr>
          <w:fldChar w:fldCharType="separate"/>
        </w:r>
        <w:r w:rsidR="00545038">
          <w:rPr>
            <w:noProof/>
            <w:webHidden/>
          </w:rPr>
          <w:t>41</w:t>
        </w:r>
        <w:r w:rsidR="00545038">
          <w:rPr>
            <w:noProof/>
            <w:webHidden/>
          </w:rPr>
          <w:fldChar w:fldCharType="end"/>
        </w:r>
      </w:hyperlink>
    </w:p>
    <w:p w14:paraId="3333106B" w14:textId="3906F319"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8" w:history="1">
        <w:r w:rsidR="00545038" w:rsidRPr="00051984">
          <w:rPr>
            <w:rStyle w:val="Hyperlink"/>
            <w:i/>
            <w:iCs/>
            <w:noProof/>
            <w:lang w:val="en-GB"/>
          </w:rPr>
          <w:t>Figure 7 Technology overlap – FTTx vs other technologies</w:t>
        </w:r>
        <w:r w:rsidR="00545038">
          <w:rPr>
            <w:noProof/>
            <w:webHidden/>
          </w:rPr>
          <w:tab/>
        </w:r>
        <w:r w:rsidR="00545038">
          <w:rPr>
            <w:noProof/>
            <w:webHidden/>
          </w:rPr>
          <w:fldChar w:fldCharType="begin"/>
        </w:r>
        <w:r w:rsidR="00545038">
          <w:rPr>
            <w:noProof/>
            <w:webHidden/>
          </w:rPr>
          <w:instrText xml:space="preserve"> PAGEREF _Toc152931358 \h </w:instrText>
        </w:r>
        <w:r w:rsidR="00545038">
          <w:rPr>
            <w:noProof/>
            <w:webHidden/>
          </w:rPr>
        </w:r>
        <w:r w:rsidR="00545038">
          <w:rPr>
            <w:noProof/>
            <w:webHidden/>
          </w:rPr>
          <w:fldChar w:fldCharType="separate"/>
        </w:r>
        <w:r w:rsidR="00545038">
          <w:rPr>
            <w:noProof/>
            <w:webHidden/>
          </w:rPr>
          <w:t>41</w:t>
        </w:r>
        <w:r w:rsidR="00545038">
          <w:rPr>
            <w:noProof/>
            <w:webHidden/>
          </w:rPr>
          <w:fldChar w:fldCharType="end"/>
        </w:r>
      </w:hyperlink>
    </w:p>
    <w:p w14:paraId="4909B123" w14:textId="3420340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59" w:history="1">
        <w:r w:rsidR="00545038" w:rsidRPr="00051984">
          <w:rPr>
            <w:rStyle w:val="Hyperlink"/>
            <w:i/>
            <w:iCs/>
            <w:noProof/>
            <w:lang w:val="en-GB"/>
          </w:rPr>
          <w:t>Figure 8</w:t>
        </w:r>
        <w:r w:rsidR="00545038" w:rsidRPr="00051984">
          <w:rPr>
            <w:rStyle w:val="Hyperlink"/>
            <w:noProof/>
            <w:lang w:val="en-GB"/>
          </w:rPr>
          <w:t xml:space="preserve"> Overlap of xDSL networks with other technologies (FWA, FTTx)</w:t>
        </w:r>
        <w:r w:rsidR="00545038">
          <w:rPr>
            <w:noProof/>
            <w:webHidden/>
          </w:rPr>
          <w:tab/>
        </w:r>
        <w:r w:rsidR="00545038">
          <w:rPr>
            <w:noProof/>
            <w:webHidden/>
          </w:rPr>
          <w:fldChar w:fldCharType="begin"/>
        </w:r>
        <w:r w:rsidR="00545038">
          <w:rPr>
            <w:noProof/>
            <w:webHidden/>
          </w:rPr>
          <w:instrText xml:space="preserve"> PAGEREF _Toc152931359 \h </w:instrText>
        </w:r>
        <w:r w:rsidR="00545038">
          <w:rPr>
            <w:noProof/>
            <w:webHidden/>
          </w:rPr>
        </w:r>
        <w:r w:rsidR="00545038">
          <w:rPr>
            <w:noProof/>
            <w:webHidden/>
          </w:rPr>
          <w:fldChar w:fldCharType="separate"/>
        </w:r>
        <w:r w:rsidR="00545038">
          <w:rPr>
            <w:noProof/>
            <w:webHidden/>
          </w:rPr>
          <w:t>42</w:t>
        </w:r>
        <w:r w:rsidR="00545038">
          <w:rPr>
            <w:noProof/>
            <w:webHidden/>
          </w:rPr>
          <w:fldChar w:fldCharType="end"/>
        </w:r>
      </w:hyperlink>
    </w:p>
    <w:p w14:paraId="13DD6482" w14:textId="1FEE7F0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0" w:history="1">
        <w:r w:rsidR="00545038" w:rsidRPr="00051984">
          <w:rPr>
            <w:rStyle w:val="Hyperlink"/>
            <w:i/>
            <w:iCs/>
            <w:noProof/>
            <w:lang w:val="en-GB"/>
          </w:rPr>
          <w:t>Figure 9 Technology overlap: xDSL vs other technologies</w:t>
        </w:r>
        <w:r w:rsidR="00545038">
          <w:rPr>
            <w:noProof/>
            <w:webHidden/>
          </w:rPr>
          <w:tab/>
        </w:r>
        <w:r w:rsidR="00545038">
          <w:rPr>
            <w:noProof/>
            <w:webHidden/>
          </w:rPr>
          <w:fldChar w:fldCharType="begin"/>
        </w:r>
        <w:r w:rsidR="00545038">
          <w:rPr>
            <w:noProof/>
            <w:webHidden/>
          </w:rPr>
          <w:instrText xml:space="preserve"> PAGEREF _Toc152931360 \h </w:instrText>
        </w:r>
        <w:r w:rsidR="00545038">
          <w:rPr>
            <w:noProof/>
            <w:webHidden/>
          </w:rPr>
        </w:r>
        <w:r w:rsidR="00545038">
          <w:rPr>
            <w:noProof/>
            <w:webHidden/>
          </w:rPr>
          <w:fldChar w:fldCharType="separate"/>
        </w:r>
        <w:r w:rsidR="00545038">
          <w:rPr>
            <w:noProof/>
            <w:webHidden/>
          </w:rPr>
          <w:t>42</w:t>
        </w:r>
        <w:r w:rsidR="00545038">
          <w:rPr>
            <w:noProof/>
            <w:webHidden/>
          </w:rPr>
          <w:fldChar w:fldCharType="end"/>
        </w:r>
      </w:hyperlink>
    </w:p>
    <w:p w14:paraId="2F658C12" w14:textId="38369FDF"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1" w:history="1">
        <w:r w:rsidR="00545038" w:rsidRPr="00051984">
          <w:rPr>
            <w:rStyle w:val="Hyperlink"/>
            <w:i/>
            <w:iCs/>
            <w:noProof/>
            <w:lang w:val="en-GB"/>
          </w:rPr>
          <w:t>Figure 10 Overlap of FWA networks with other technologies (fibre, copper)</w:t>
        </w:r>
        <w:r w:rsidR="00545038">
          <w:rPr>
            <w:noProof/>
            <w:webHidden/>
          </w:rPr>
          <w:tab/>
        </w:r>
        <w:r w:rsidR="00545038">
          <w:rPr>
            <w:noProof/>
            <w:webHidden/>
          </w:rPr>
          <w:fldChar w:fldCharType="begin"/>
        </w:r>
        <w:r w:rsidR="00545038">
          <w:rPr>
            <w:noProof/>
            <w:webHidden/>
          </w:rPr>
          <w:instrText xml:space="preserve"> PAGEREF _Toc152931361 \h </w:instrText>
        </w:r>
        <w:r w:rsidR="00545038">
          <w:rPr>
            <w:noProof/>
            <w:webHidden/>
          </w:rPr>
        </w:r>
        <w:r w:rsidR="00545038">
          <w:rPr>
            <w:noProof/>
            <w:webHidden/>
          </w:rPr>
          <w:fldChar w:fldCharType="separate"/>
        </w:r>
        <w:r w:rsidR="00545038">
          <w:rPr>
            <w:noProof/>
            <w:webHidden/>
          </w:rPr>
          <w:t>43</w:t>
        </w:r>
        <w:r w:rsidR="00545038">
          <w:rPr>
            <w:noProof/>
            <w:webHidden/>
          </w:rPr>
          <w:fldChar w:fldCharType="end"/>
        </w:r>
      </w:hyperlink>
    </w:p>
    <w:p w14:paraId="65BB54E5" w14:textId="5754EB72"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2" w:history="1">
        <w:r w:rsidR="00545038" w:rsidRPr="00051984">
          <w:rPr>
            <w:rStyle w:val="Hyperlink"/>
            <w:i/>
            <w:iCs/>
            <w:noProof/>
            <w:lang w:val="en-GB"/>
          </w:rPr>
          <w:t>Figure 11 Technology overlap: FWA vs other technologies5</w:t>
        </w:r>
        <w:r w:rsidR="00545038">
          <w:rPr>
            <w:noProof/>
            <w:webHidden/>
          </w:rPr>
          <w:tab/>
        </w:r>
        <w:r w:rsidR="00545038">
          <w:rPr>
            <w:noProof/>
            <w:webHidden/>
          </w:rPr>
          <w:fldChar w:fldCharType="begin"/>
        </w:r>
        <w:r w:rsidR="00545038">
          <w:rPr>
            <w:noProof/>
            <w:webHidden/>
          </w:rPr>
          <w:instrText xml:space="preserve"> PAGEREF _Toc152931362 \h </w:instrText>
        </w:r>
        <w:r w:rsidR="00545038">
          <w:rPr>
            <w:noProof/>
            <w:webHidden/>
          </w:rPr>
        </w:r>
        <w:r w:rsidR="00545038">
          <w:rPr>
            <w:noProof/>
            <w:webHidden/>
          </w:rPr>
          <w:fldChar w:fldCharType="separate"/>
        </w:r>
        <w:r w:rsidR="00545038">
          <w:rPr>
            <w:noProof/>
            <w:webHidden/>
          </w:rPr>
          <w:t>43</w:t>
        </w:r>
        <w:r w:rsidR="00545038">
          <w:rPr>
            <w:noProof/>
            <w:webHidden/>
          </w:rPr>
          <w:fldChar w:fldCharType="end"/>
        </w:r>
      </w:hyperlink>
    </w:p>
    <w:p w14:paraId="5EB4C489" w14:textId="746E4A21"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3" w:history="1">
        <w:r w:rsidR="00545038" w:rsidRPr="00051984">
          <w:rPr>
            <w:rStyle w:val="Hyperlink"/>
            <w:i/>
            <w:iCs/>
            <w:noProof/>
            <w:lang w:val="en-GB"/>
          </w:rPr>
          <w:t>Figure 12</w:t>
        </w:r>
        <w:r w:rsidR="00545038" w:rsidRPr="00051984">
          <w:rPr>
            <w:rStyle w:val="Hyperlink"/>
            <w:rFonts w:cs="Calibri"/>
            <w:bCs/>
            <w:i/>
            <w:iCs/>
            <w:noProof/>
            <w:lang w:val="en-GB"/>
          </w:rPr>
          <w:t xml:space="preserve"> FTTx c</w:t>
        </w:r>
        <w:r w:rsidR="00545038" w:rsidRPr="00051984">
          <w:rPr>
            <w:rStyle w:val="Hyperlink"/>
            <w:i/>
            <w:iCs/>
            <w:noProof/>
            <w:lang w:val="en-GB"/>
          </w:rPr>
          <w:t>overage indicators depending on the size of settlement</w:t>
        </w:r>
        <w:r w:rsidR="00545038">
          <w:rPr>
            <w:noProof/>
            <w:webHidden/>
          </w:rPr>
          <w:tab/>
        </w:r>
        <w:r w:rsidR="00545038">
          <w:rPr>
            <w:noProof/>
            <w:webHidden/>
          </w:rPr>
          <w:fldChar w:fldCharType="begin"/>
        </w:r>
        <w:r w:rsidR="00545038">
          <w:rPr>
            <w:noProof/>
            <w:webHidden/>
          </w:rPr>
          <w:instrText xml:space="preserve"> PAGEREF _Toc152931363 \h </w:instrText>
        </w:r>
        <w:r w:rsidR="00545038">
          <w:rPr>
            <w:noProof/>
            <w:webHidden/>
          </w:rPr>
        </w:r>
        <w:r w:rsidR="00545038">
          <w:rPr>
            <w:noProof/>
            <w:webHidden/>
          </w:rPr>
          <w:fldChar w:fldCharType="separate"/>
        </w:r>
        <w:r w:rsidR="00545038">
          <w:rPr>
            <w:noProof/>
            <w:webHidden/>
          </w:rPr>
          <w:t>45</w:t>
        </w:r>
        <w:r w:rsidR="00545038">
          <w:rPr>
            <w:noProof/>
            <w:webHidden/>
          </w:rPr>
          <w:fldChar w:fldCharType="end"/>
        </w:r>
      </w:hyperlink>
    </w:p>
    <w:p w14:paraId="57E49276" w14:textId="3396065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4" w:history="1">
        <w:r w:rsidR="00545038" w:rsidRPr="00051984">
          <w:rPr>
            <w:rStyle w:val="Hyperlink"/>
            <w:i/>
            <w:iCs/>
            <w:noProof/>
            <w:lang w:val="en-GB"/>
          </w:rPr>
          <w:t>Figure 13 Bundled services vs Standalone services (2022)</w:t>
        </w:r>
        <w:r w:rsidR="00545038">
          <w:rPr>
            <w:noProof/>
            <w:webHidden/>
          </w:rPr>
          <w:tab/>
        </w:r>
        <w:r w:rsidR="00545038">
          <w:rPr>
            <w:noProof/>
            <w:webHidden/>
          </w:rPr>
          <w:fldChar w:fldCharType="begin"/>
        </w:r>
        <w:r w:rsidR="00545038">
          <w:rPr>
            <w:noProof/>
            <w:webHidden/>
          </w:rPr>
          <w:instrText xml:space="preserve"> PAGEREF _Toc152931364 \h </w:instrText>
        </w:r>
        <w:r w:rsidR="00545038">
          <w:rPr>
            <w:noProof/>
            <w:webHidden/>
          </w:rPr>
        </w:r>
        <w:r w:rsidR="00545038">
          <w:rPr>
            <w:noProof/>
            <w:webHidden/>
          </w:rPr>
          <w:fldChar w:fldCharType="separate"/>
        </w:r>
        <w:r w:rsidR="00545038">
          <w:rPr>
            <w:noProof/>
            <w:webHidden/>
          </w:rPr>
          <w:t>49</w:t>
        </w:r>
        <w:r w:rsidR="00545038">
          <w:rPr>
            <w:noProof/>
            <w:webHidden/>
          </w:rPr>
          <w:fldChar w:fldCharType="end"/>
        </w:r>
      </w:hyperlink>
    </w:p>
    <w:p w14:paraId="76D398C6" w14:textId="58FC8C5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5" w:history="1">
        <w:r w:rsidR="00545038" w:rsidRPr="00051984">
          <w:rPr>
            <w:rStyle w:val="Hyperlink"/>
            <w:i/>
            <w:iCs/>
            <w:noProof/>
            <w:lang w:val="en-GB"/>
          </w:rPr>
          <w:t>Figure 14</w:t>
        </w:r>
        <w:r w:rsidR="00545038" w:rsidRPr="00051984">
          <w:rPr>
            <w:rStyle w:val="Hyperlink"/>
            <w:rFonts w:cs="Arial"/>
            <w:i/>
            <w:iCs/>
            <w:noProof/>
            <w:lang w:val="en-GB"/>
          </w:rPr>
          <w:t xml:space="preserve"> Fixed broadband take-up in relation to the number of households</w:t>
        </w:r>
        <w:r w:rsidR="00545038">
          <w:rPr>
            <w:noProof/>
            <w:webHidden/>
          </w:rPr>
          <w:tab/>
        </w:r>
        <w:r w:rsidR="00545038">
          <w:rPr>
            <w:noProof/>
            <w:webHidden/>
          </w:rPr>
          <w:fldChar w:fldCharType="begin"/>
        </w:r>
        <w:r w:rsidR="00545038">
          <w:rPr>
            <w:noProof/>
            <w:webHidden/>
          </w:rPr>
          <w:instrText xml:space="preserve"> PAGEREF _Toc152931365 \h </w:instrText>
        </w:r>
        <w:r w:rsidR="00545038">
          <w:rPr>
            <w:noProof/>
            <w:webHidden/>
          </w:rPr>
        </w:r>
        <w:r w:rsidR="00545038">
          <w:rPr>
            <w:noProof/>
            <w:webHidden/>
          </w:rPr>
          <w:fldChar w:fldCharType="separate"/>
        </w:r>
        <w:r w:rsidR="00545038">
          <w:rPr>
            <w:noProof/>
            <w:webHidden/>
          </w:rPr>
          <w:t>51</w:t>
        </w:r>
        <w:r w:rsidR="00545038">
          <w:rPr>
            <w:noProof/>
            <w:webHidden/>
          </w:rPr>
          <w:fldChar w:fldCharType="end"/>
        </w:r>
      </w:hyperlink>
    </w:p>
    <w:p w14:paraId="2E98D0F4" w14:textId="297AF14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6" w:history="1">
        <w:r w:rsidR="00545038" w:rsidRPr="00051984">
          <w:rPr>
            <w:rStyle w:val="Hyperlink"/>
            <w:i/>
            <w:iCs/>
            <w:noProof/>
            <w:lang w:val="en-GB"/>
          </w:rPr>
          <w:t>Figure 15</w:t>
        </w:r>
        <w:r w:rsidR="00545038" w:rsidRPr="00051984">
          <w:rPr>
            <w:rStyle w:val="Hyperlink"/>
            <w:rFonts w:cs="Arial"/>
            <w:i/>
            <w:iCs/>
            <w:noProof/>
            <w:lang w:val="en-GB"/>
          </w:rPr>
          <w:t xml:space="preserve"> Households with a fixed broadband subscription in the EU (% of households), 2012-2021</w:t>
        </w:r>
        <w:r w:rsidR="00545038">
          <w:rPr>
            <w:noProof/>
            <w:webHidden/>
          </w:rPr>
          <w:tab/>
        </w:r>
        <w:r w:rsidR="00545038">
          <w:rPr>
            <w:noProof/>
            <w:webHidden/>
          </w:rPr>
          <w:fldChar w:fldCharType="begin"/>
        </w:r>
        <w:r w:rsidR="00545038">
          <w:rPr>
            <w:noProof/>
            <w:webHidden/>
          </w:rPr>
          <w:instrText xml:space="preserve"> PAGEREF _Toc152931366 \h </w:instrText>
        </w:r>
        <w:r w:rsidR="00545038">
          <w:rPr>
            <w:noProof/>
            <w:webHidden/>
          </w:rPr>
        </w:r>
        <w:r w:rsidR="00545038">
          <w:rPr>
            <w:noProof/>
            <w:webHidden/>
          </w:rPr>
          <w:fldChar w:fldCharType="separate"/>
        </w:r>
        <w:r w:rsidR="00545038">
          <w:rPr>
            <w:noProof/>
            <w:webHidden/>
          </w:rPr>
          <w:t>51</w:t>
        </w:r>
        <w:r w:rsidR="00545038">
          <w:rPr>
            <w:noProof/>
            <w:webHidden/>
          </w:rPr>
          <w:fldChar w:fldCharType="end"/>
        </w:r>
      </w:hyperlink>
    </w:p>
    <w:p w14:paraId="3794DF35" w14:textId="594F0D9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7" w:history="1">
        <w:r w:rsidR="00545038" w:rsidRPr="00051984">
          <w:rPr>
            <w:rStyle w:val="Hyperlink"/>
            <w:i/>
            <w:iCs/>
            <w:noProof/>
            <w:lang w:val="en-GB"/>
          </w:rPr>
          <w:t>Figure 16</w:t>
        </w:r>
        <w:r w:rsidR="00545038" w:rsidRPr="00051984">
          <w:rPr>
            <w:rStyle w:val="Hyperlink"/>
            <w:rFonts w:cs="Arial"/>
            <w:i/>
            <w:iCs/>
            <w:noProof/>
            <w:lang w:val="en-GB"/>
          </w:rPr>
          <w:t xml:space="preserve"> Households with a fixed broadband subscription (% of households), per country, 2021</w:t>
        </w:r>
        <w:r w:rsidR="00545038">
          <w:rPr>
            <w:noProof/>
            <w:webHidden/>
          </w:rPr>
          <w:tab/>
        </w:r>
        <w:r w:rsidR="00545038">
          <w:rPr>
            <w:noProof/>
            <w:webHidden/>
          </w:rPr>
          <w:fldChar w:fldCharType="begin"/>
        </w:r>
        <w:r w:rsidR="00545038">
          <w:rPr>
            <w:noProof/>
            <w:webHidden/>
          </w:rPr>
          <w:instrText xml:space="preserve"> PAGEREF _Toc152931367 \h </w:instrText>
        </w:r>
        <w:r w:rsidR="00545038">
          <w:rPr>
            <w:noProof/>
            <w:webHidden/>
          </w:rPr>
        </w:r>
        <w:r w:rsidR="00545038">
          <w:rPr>
            <w:noProof/>
            <w:webHidden/>
          </w:rPr>
          <w:fldChar w:fldCharType="separate"/>
        </w:r>
        <w:r w:rsidR="00545038">
          <w:rPr>
            <w:noProof/>
            <w:webHidden/>
          </w:rPr>
          <w:t>52</w:t>
        </w:r>
        <w:r w:rsidR="00545038">
          <w:rPr>
            <w:noProof/>
            <w:webHidden/>
          </w:rPr>
          <w:fldChar w:fldCharType="end"/>
        </w:r>
      </w:hyperlink>
    </w:p>
    <w:p w14:paraId="6543C16E" w14:textId="1E3E02DC"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8" w:history="1">
        <w:r w:rsidR="00545038" w:rsidRPr="00051984">
          <w:rPr>
            <w:rStyle w:val="Hyperlink"/>
            <w:i/>
            <w:iCs/>
            <w:noProof/>
            <w:lang w:val="en-GB"/>
          </w:rPr>
          <w:t>Figure 17</w:t>
        </w:r>
        <w:r w:rsidR="00545038" w:rsidRPr="00051984">
          <w:rPr>
            <w:rStyle w:val="Hyperlink"/>
            <w:rFonts w:cs="Arial"/>
            <w:i/>
            <w:iCs/>
            <w:noProof/>
            <w:lang w:val="en-GB"/>
          </w:rPr>
          <w:t xml:space="preserve"> Mobile broadband take-up in relation to the number of inhabitants (population)</w:t>
        </w:r>
        <w:r w:rsidR="00545038">
          <w:rPr>
            <w:noProof/>
            <w:webHidden/>
          </w:rPr>
          <w:tab/>
        </w:r>
        <w:r w:rsidR="00545038">
          <w:rPr>
            <w:noProof/>
            <w:webHidden/>
          </w:rPr>
          <w:fldChar w:fldCharType="begin"/>
        </w:r>
        <w:r w:rsidR="00545038">
          <w:rPr>
            <w:noProof/>
            <w:webHidden/>
          </w:rPr>
          <w:instrText xml:space="preserve"> PAGEREF _Toc152931368 \h </w:instrText>
        </w:r>
        <w:r w:rsidR="00545038">
          <w:rPr>
            <w:noProof/>
            <w:webHidden/>
          </w:rPr>
        </w:r>
        <w:r w:rsidR="00545038">
          <w:rPr>
            <w:noProof/>
            <w:webHidden/>
          </w:rPr>
          <w:fldChar w:fldCharType="separate"/>
        </w:r>
        <w:r w:rsidR="00545038">
          <w:rPr>
            <w:noProof/>
            <w:webHidden/>
          </w:rPr>
          <w:t>52</w:t>
        </w:r>
        <w:r w:rsidR="00545038">
          <w:rPr>
            <w:noProof/>
            <w:webHidden/>
          </w:rPr>
          <w:fldChar w:fldCharType="end"/>
        </w:r>
      </w:hyperlink>
    </w:p>
    <w:p w14:paraId="7360763E" w14:textId="1D868BC2"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69" w:history="1">
        <w:r w:rsidR="00545038" w:rsidRPr="00051984">
          <w:rPr>
            <w:rStyle w:val="Hyperlink"/>
            <w:i/>
            <w:iCs/>
            <w:noProof/>
            <w:lang w:val="en-GB"/>
          </w:rPr>
          <w:t>Figure 18</w:t>
        </w:r>
        <w:r w:rsidR="00545038" w:rsidRPr="00051984">
          <w:rPr>
            <w:rStyle w:val="Hyperlink"/>
            <w:rFonts w:cs="Arial"/>
            <w:i/>
            <w:iCs/>
            <w:noProof/>
            <w:lang w:val="en-GB"/>
          </w:rPr>
          <w:t xml:space="preserve"> Mobile broadband penetration in the EU (% of individuals), 2019-2023</w:t>
        </w:r>
        <w:r w:rsidR="00545038">
          <w:rPr>
            <w:noProof/>
            <w:webHidden/>
          </w:rPr>
          <w:tab/>
        </w:r>
        <w:r w:rsidR="00545038">
          <w:rPr>
            <w:noProof/>
            <w:webHidden/>
          </w:rPr>
          <w:fldChar w:fldCharType="begin"/>
        </w:r>
        <w:r w:rsidR="00545038">
          <w:rPr>
            <w:noProof/>
            <w:webHidden/>
          </w:rPr>
          <w:instrText xml:space="preserve"> PAGEREF _Toc152931369 \h </w:instrText>
        </w:r>
        <w:r w:rsidR="00545038">
          <w:rPr>
            <w:noProof/>
            <w:webHidden/>
          </w:rPr>
        </w:r>
        <w:r w:rsidR="00545038">
          <w:rPr>
            <w:noProof/>
            <w:webHidden/>
          </w:rPr>
          <w:fldChar w:fldCharType="separate"/>
        </w:r>
        <w:r w:rsidR="00545038">
          <w:rPr>
            <w:noProof/>
            <w:webHidden/>
          </w:rPr>
          <w:t>53</w:t>
        </w:r>
        <w:r w:rsidR="00545038">
          <w:rPr>
            <w:noProof/>
            <w:webHidden/>
          </w:rPr>
          <w:fldChar w:fldCharType="end"/>
        </w:r>
      </w:hyperlink>
    </w:p>
    <w:p w14:paraId="56A52E32" w14:textId="5858E264"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0" w:history="1">
        <w:r w:rsidR="00545038" w:rsidRPr="00051984">
          <w:rPr>
            <w:rStyle w:val="Hyperlink"/>
            <w:i/>
            <w:iCs/>
            <w:noProof/>
            <w:lang w:val="en-GB"/>
          </w:rPr>
          <w:t>Figure 19</w:t>
        </w:r>
        <w:r w:rsidR="00545038" w:rsidRPr="00051984">
          <w:rPr>
            <w:rStyle w:val="Hyperlink"/>
            <w:rFonts w:cs="Arial"/>
            <w:i/>
            <w:iCs/>
            <w:noProof/>
            <w:lang w:val="en-GB"/>
          </w:rPr>
          <w:t xml:space="preserve"> Mobile broadband penetration (% of individuals), 2021</w:t>
        </w:r>
        <w:r w:rsidR="00545038">
          <w:rPr>
            <w:noProof/>
            <w:webHidden/>
          </w:rPr>
          <w:tab/>
        </w:r>
        <w:r w:rsidR="00545038">
          <w:rPr>
            <w:noProof/>
            <w:webHidden/>
          </w:rPr>
          <w:fldChar w:fldCharType="begin"/>
        </w:r>
        <w:r w:rsidR="00545038">
          <w:rPr>
            <w:noProof/>
            <w:webHidden/>
          </w:rPr>
          <w:instrText xml:space="preserve"> PAGEREF _Toc152931370 \h </w:instrText>
        </w:r>
        <w:r w:rsidR="00545038">
          <w:rPr>
            <w:noProof/>
            <w:webHidden/>
          </w:rPr>
        </w:r>
        <w:r w:rsidR="00545038">
          <w:rPr>
            <w:noProof/>
            <w:webHidden/>
          </w:rPr>
          <w:fldChar w:fldCharType="separate"/>
        </w:r>
        <w:r w:rsidR="00545038">
          <w:rPr>
            <w:noProof/>
            <w:webHidden/>
          </w:rPr>
          <w:t>53</w:t>
        </w:r>
        <w:r w:rsidR="00545038">
          <w:rPr>
            <w:noProof/>
            <w:webHidden/>
          </w:rPr>
          <w:fldChar w:fldCharType="end"/>
        </w:r>
      </w:hyperlink>
    </w:p>
    <w:p w14:paraId="19EA0FCE" w14:textId="1F13064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1" w:history="1">
        <w:r w:rsidR="00545038" w:rsidRPr="00051984">
          <w:rPr>
            <w:rStyle w:val="Hyperlink"/>
            <w:i/>
            <w:iCs/>
            <w:noProof/>
            <w:lang w:val="en-GB"/>
          </w:rPr>
          <w:t>Figure 20</w:t>
        </w:r>
        <w:r w:rsidR="00545038" w:rsidRPr="00051984">
          <w:rPr>
            <w:rStyle w:val="Hyperlink"/>
            <w:rFonts w:cs="Arial"/>
            <w:i/>
            <w:iCs/>
            <w:noProof/>
            <w:lang w:val="en-GB"/>
          </w:rPr>
          <w:t xml:space="preserve"> Share of the fixed Broadband access by technology (trend)</w:t>
        </w:r>
        <w:r w:rsidR="00545038">
          <w:rPr>
            <w:noProof/>
            <w:webHidden/>
          </w:rPr>
          <w:tab/>
        </w:r>
        <w:r w:rsidR="00545038">
          <w:rPr>
            <w:noProof/>
            <w:webHidden/>
          </w:rPr>
          <w:fldChar w:fldCharType="begin"/>
        </w:r>
        <w:r w:rsidR="00545038">
          <w:rPr>
            <w:noProof/>
            <w:webHidden/>
          </w:rPr>
          <w:instrText xml:space="preserve"> PAGEREF _Toc152931371 \h </w:instrText>
        </w:r>
        <w:r w:rsidR="00545038">
          <w:rPr>
            <w:noProof/>
            <w:webHidden/>
          </w:rPr>
        </w:r>
        <w:r w:rsidR="00545038">
          <w:rPr>
            <w:noProof/>
            <w:webHidden/>
          </w:rPr>
          <w:fldChar w:fldCharType="separate"/>
        </w:r>
        <w:r w:rsidR="00545038">
          <w:rPr>
            <w:noProof/>
            <w:webHidden/>
          </w:rPr>
          <w:t>55</w:t>
        </w:r>
        <w:r w:rsidR="00545038">
          <w:rPr>
            <w:noProof/>
            <w:webHidden/>
          </w:rPr>
          <w:fldChar w:fldCharType="end"/>
        </w:r>
      </w:hyperlink>
    </w:p>
    <w:p w14:paraId="436D0AEE" w14:textId="67C6974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2" w:history="1">
        <w:r w:rsidR="00545038" w:rsidRPr="00051984">
          <w:rPr>
            <w:rStyle w:val="Hyperlink"/>
            <w:i/>
            <w:iCs/>
            <w:noProof/>
            <w:lang w:val="en-GB"/>
          </w:rPr>
          <w:t>Figure 21</w:t>
        </w:r>
        <w:r w:rsidR="00545038" w:rsidRPr="00051984">
          <w:rPr>
            <w:rStyle w:val="Hyperlink"/>
            <w:rFonts w:cs="Arial"/>
            <w:i/>
            <w:iCs/>
            <w:noProof/>
            <w:lang w:val="en-GB"/>
          </w:rPr>
          <w:t xml:space="preserve"> Number of the fixed Broadband Internet access per technology, per year</w:t>
        </w:r>
        <w:r w:rsidR="00545038">
          <w:rPr>
            <w:noProof/>
            <w:webHidden/>
          </w:rPr>
          <w:tab/>
        </w:r>
        <w:r w:rsidR="00545038">
          <w:rPr>
            <w:noProof/>
            <w:webHidden/>
          </w:rPr>
          <w:fldChar w:fldCharType="begin"/>
        </w:r>
        <w:r w:rsidR="00545038">
          <w:rPr>
            <w:noProof/>
            <w:webHidden/>
          </w:rPr>
          <w:instrText xml:space="preserve"> PAGEREF _Toc152931372 \h </w:instrText>
        </w:r>
        <w:r w:rsidR="00545038">
          <w:rPr>
            <w:noProof/>
            <w:webHidden/>
          </w:rPr>
        </w:r>
        <w:r w:rsidR="00545038">
          <w:rPr>
            <w:noProof/>
            <w:webHidden/>
          </w:rPr>
          <w:fldChar w:fldCharType="separate"/>
        </w:r>
        <w:r w:rsidR="00545038">
          <w:rPr>
            <w:noProof/>
            <w:webHidden/>
          </w:rPr>
          <w:t>55</w:t>
        </w:r>
        <w:r w:rsidR="00545038">
          <w:rPr>
            <w:noProof/>
            <w:webHidden/>
          </w:rPr>
          <w:fldChar w:fldCharType="end"/>
        </w:r>
      </w:hyperlink>
    </w:p>
    <w:p w14:paraId="49493609" w14:textId="4777DFCE"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3" w:history="1">
        <w:r w:rsidR="00545038" w:rsidRPr="00051984">
          <w:rPr>
            <w:rStyle w:val="Hyperlink"/>
            <w:i/>
            <w:iCs/>
            <w:noProof/>
            <w:lang w:val="en-GB"/>
          </w:rPr>
          <w:t>Figure 22</w:t>
        </w:r>
        <w:r w:rsidR="00545038" w:rsidRPr="00051984">
          <w:rPr>
            <w:rStyle w:val="Hyperlink"/>
            <w:rFonts w:cs="Arial"/>
            <w:i/>
            <w:iCs/>
            <w:noProof/>
            <w:lang w:val="en-GB"/>
          </w:rPr>
          <w:t xml:space="preserve"> Fixed broadband subscriptions – technology market shares in the EU (% of subscriptions), July 2006-July 2021</w:t>
        </w:r>
        <w:r w:rsidR="00545038">
          <w:rPr>
            <w:noProof/>
            <w:webHidden/>
          </w:rPr>
          <w:tab/>
        </w:r>
        <w:r w:rsidR="00545038">
          <w:rPr>
            <w:noProof/>
            <w:webHidden/>
          </w:rPr>
          <w:fldChar w:fldCharType="begin"/>
        </w:r>
        <w:r w:rsidR="00545038">
          <w:rPr>
            <w:noProof/>
            <w:webHidden/>
          </w:rPr>
          <w:instrText xml:space="preserve"> PAGEREF _Toc152931373 \h </w:instrText>
        </w:r>
        <w:r w:rsidR="00545038">
          <w:rPr>
            <w:noProof/>
            <w:webHidden/>
          </w:rPr>
        </w:r>
        <w:r w:rsidR="00545038">
          <w:rPr>
            <w:noProof/>
            <w:webHidden/>
          </w:rPr>
          <w:fldChar w:fldCharType="separate"/>
        </w:r>
        <w:r w:rsidR="00545038">
          <w:rPr>
            <w:noProof/>
            <w:webHidden/>
          </w:rPr>
          <w:t>56</w:t>
        </w:r>
        <w:r w:rsidR="00545038">
          <w:rPr>
            <w:noProof/>
            <w:webHidden/>
          </w:rPr>
          <w:fldChar w:fldCharType="end"/>
        </w:r>
      </w:hyperlink>
    </w:p>
    <w:p w14:paraId="18AACE7D" w14:textId="30232C5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4" w:history="1">
        <w:r w:rsidR="00545038" w:rsidRPr="00051984">
          <w:rPr>
            <w:rStyle w:val="Hyperlink"/>
            <w:i/>
            <w:iCs/>
            <w:noProof/>
            <w:lang w:val="en-GB"/>
          </w:rPr>
          <w:t>Figure 23</w:t>
        </w:r>
        <w:r w:rsidR="00545038" w:rsidRPr="00051984">
          <w:rPr>
            <w:rStyle w:val="Hyperlink"/>
            <w:rFonts w:cs="Arial"/>
            <w:i/>
            <w:iCs/>
            <w:noProof/>
            <w:lang w:val="en-GB"/>
          </w:rPr>
          <w:t xml:space="preserve"> Fixed broadband subscriptions – technology market shares in the EU and Georgia (% of subscriptions), per country, July 2021 (EU)/Q32022 (Georgia)</w:t>
        </w:r>
        <w:r w:rsidR="00545038">
          <w:rPr>
            <w:noProof/>
            <w:webHidden/>
          </w:rPr>
          <w:tab/>
        </w:r>
        <w:r w:rsidR="00545038">
          <w:rPr>
            <w:noProof/>
            <w:webHidden/>
          </w:rPr>
          <w:fldChar w:fldCharType="begin"/>
        </w:r>
        <w:r w:rsidR="00545038">
          <w:rPr>
            <w:noProof/>
            <w:webHidden/>
          </w:rPr>
          <w:instrText xml:space="preserve"> PAGEREF _Toc152931374 \h </w:instrText>
        </w:r>
        <w:r w:rsidR="00545038">
          <w:rPr>
            <w:noProof/>
            <w:webHidden/>
          </w:rPr>
        </w:r>
        <w:r w:rsidR="00545038">
          <w:rPr>
            <w:noProof/>
            <w:webHidden/>
          </w:rPr>
          <w:fldChar w:fldCharType="separate"/>
        </w:r>
        <w:r w:rsidR="00545038">
          <w:rPr>
            <w:noProof/>
            <w:webHidden/>
          </w:rPr>
          <w:t>56</w:t>
        </w:r>
        <w:r w:rsidR="00545038">
          <w:rPr>
            <w:noProof/>
            <w:webHidden/>
          </w:rPr>
          <w:fldChar w:fldCharType="end"/>
        </w:r>
      </w:hyperlink>
    </w:p>
    <w:p w14:paraId="6BC0555E" w14:textId="0C309E51"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5" w:history="1">
        <w:r w:rsidR="00545038" w:rsidRPr="00051984">
          <w:rPr>
            <w:rStyle w:val="Hyperlink"/>
            <w:i/>
            <w:iCs/>
            <w:noProof/>
            <w:lang w:val="en-GB"/>
          </w:rPr>
          <w:t>Figure 24</w:t>
        </w:r>
        <w:r w:rsidR="00545038" w:rsidRPr="00051984">
          <w:rPr>
            <w:rStyle w:val="Hyperlink"/>
            <w:rFonts w:cs="Arial"/>
            <w:i/>
            <w:iCs/>
            <w:noProof/>
            <w:lang w:val="en-GB"/>
          </w:rPr>
          <w:t xml:space="preserve"> Share of fixed broadband access per each group of speeds (2022)</w:t>
        </w:r>
        <w:r w:rsidR="00545038">
          <w:rPr>
            <w:noProof/>
            <w:webHidden/>
          </w:rPr>
          <w:tab/>
        </w:r>
        <w:r w:rsidR="00545038">
          <w:rPr>
            <w:noProof/>
            <w:webHidden/>
          </w:rPr>
          <w:fldChar w:fldCharType="begin"/>
        </w:r>
        <w:r w:rsidR="00545038">
          <w:rPr>
            <w:noProof/>
            <w:webHidden/>
          </w:rPr>
          <w:instrText xml:space="preserve"> PAGEREF _Toc152931375 \h </w:instrText>
        </w:r>
        <w:r w:rsidR="00545038">
          <w:rPr>
            <w:noProof/>
            <w:webHidden/>
          </w:rPr>
        </w:r>
        <w:r w:rsidR="00545038">
          <w:rPr>
            <w:noProof/>
            <w:webHidden/>
          </w:rPr>
          <w:fldChar w:fldCharType="separate"/>
        </w:r>
        <w:r w:rsidR="00545038">
          <w:rPr>
            <w:noProof/>
            <w:webHidden/>
          </w:rPr>
          <w:t>57</w:t>
        </w:r>
        <w:r w:rsidR="00545038">
          <w:rPr>
            <w:noProof/>
            <w:webHidden/>
          </w:rPr>
          <w:fldChar w:fldCharType="end"/>
        </w:r>
      </w:hyperlink>
    </w:p>
    <w:p w14:paraId="4C97EDAF" w14:textId="0D5AEF0C"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6" w:history="1">
        <w:r w:rsidR="00545038" w:rsidRPr="00051984">
          <w:rPr>
            <w:rStyle w:val="Hyperlink"/>
            <w:i/>
            <w:iCs/>
            <w:noProof/>
            <w:lang w:val="en-GB"/>
          </w:rPr>
          <w:t>Figure 25</w:t>
        </w:r>
        <w:r w:rsidR="00545038" w:rsidRPr="00051984">
          <w:rPr>
            <w:rStyle w:val="Hyperlink"/>
            <w:rFonts w:cs="Arial"/>
            <w:i/>
            <w:iCs/>
            <w:noProof/>
            <w:lang w:val="en-GB"/>
          </w:rPr>
          <w:t xml:space="preserve"> Share of fixed broadband access per each group of speeds, per year (trend)</w:t>
        </w:r>
        <w:r w:rsidR="00545038">
          <w:rPr>
            <w:noProof/>
            <w:webHidden/>
          </w:rPr>
          <w:tab/>
        </w:r>
        <w:r w:rsidR="00545038">
          <w:rPr>
            <w:noProof/>
            <w:webHidden/>
          </w:rPr>
          <w:fldChar w:fldCharType="begin"/>
        </w:r>
        <w:r w:rsidR="00545038">
          <w:rPr>
            <w:noProof/>
            <w:webHidden/>
          </w:rPr>
          <w:instrText xml:space="preserve"> PAGEREF _Toc152931376 \h </w:instrText>
        </w:r>
        <w:r w:rsidR="00545038">
          <w:rPr>
            <w:noProof/>
            <w:webHidden/>
          </w:rPr>
        </w:r>
        <w:r w:rsidR="00545038">
          <w:rPr>
            <w:noProof/>
            <w:webHidden/>
          </w:rPr>
          <w:fldChar w:fldCharType="separate"/>
        </w:r>
        <w:r w:rsidR="00545038">
          <w:rPr>
            <w:noProof/>
            <w:webHidden/>
          </w:rPr>
          <w:t>58</w:t>
        </w:r>
        <w:r w:rsidR="00545038">
          <w:rPr>
            <w:noProof/>
            <w:webHidden/>
          </w:rPr>
          <w:fldChar w:fldCharType="end"/>
        </w:r>
      </w:hyperlink>
    </w:p>
    <w:p w14:paraId="7B863A32" w14:textId="664394FE"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7" w:history="1">
        <w:r w:rsidR="00545038" w:rsidRPr="00051984">
          <w:rPr>
            <w:rStyle w:val="Hyperlink"/>
            <w:i/>
            <w:iCs/>
            <w:noProof/>
            <w:lang w:val="en-GB"/>
          </w:rPr>
          <w:t>Figure 26</w:t>
        </w:r>
        <w:r w:rsidR="00545038" w:rsidRPr="00051984">
          <w:rPr>
            <w:rStyle w:val="Hyperlink"/>
            <w:rFonts w:cs="Arial"/>
            <w:i/>
            <w:iCs/>
            <w:noProof/>
            <w:lang w:val="en-GB"/>
          </w:rPr>
          <w:t xml:space="preserve"> Share of fixed broadband access technology per each group of speeds (trend)</w:t>
        </w:r>
        <w:r w:rsidR="00545038">
          <w:rPr>
            <w:noProof/>
            <w:webHidden/>
          </w:rPr>
          <w:tab/>
        </w:r>
        <w:r w:rsidR="00545038">
          <w:rPr>
            <w:noProof/>
            <w:webHidden/>
          </w:rPr>
          <w:fldChar w:fldCharType="begin"/>
        </w:r>
        <w:r w:rsidR="00545038">
          <w:rPr>
            <w:noProof/>
            <w:webHidden/>
          </w:rPr>
          <w:instrText xml:space="preserve"> PAGEREF _Toc152931377 \h </w:instrText>
        </w:r>
        <w:r w:rsidR="00545038">
          <w:rPr>
            <w:noProof/>
            <w:webHidden/>
          </w:rPr>
        </w:r>
        <w:r w:rsidR="00545038">
          <w:rPr>
            <w:noProof/>
            <w:webHidden/>
          </w:rPr>
          <w:fldChar w:fldCharType="separate"/>
        </w:r>
        <w:r w:rsidR="00545038">
          <w:rPr>
            <w:noProof/>
            <w:webHidden/>
          </w:rPr>
          <w:t>59</w:t>
        </w:r>
        <w:r w:rsidR="00545038">
          <w:rPr>
            <w:noProof/>
            <w:webHidden/>
          </w:rPr>
          <w:fldChar w:fldCharType="end"/>
        </w:r>
      </w:hyperlink>
    </w:p>
    <w:p w14:paraId="67739862" w14:textId="62A8ECF1"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8" w:history="1">
        <w:r w:rsidR="00545038" w:rsidRPr="00051984">
          <w:rPr>
            <w:rStyle w:val="Hyperlink"/>
            <w:i/>
            <w:iCs/>
            <w:noProof/>
            <w:lang w:val="en-GB"/>
          </w:rPr>
          <w:t>Figure 27</w:t>
        </w:r>
        <w:r w:rsidR="00545038" w:rsidRPr="00051984">
          <w:rPr>
            <w:rStyle w:val="Hyperlink"/>
            <w:rFonts w:cs="Arial"/>
            <w:i/>
            <w:iCs/>
            <w:noProof/>
            <w:lang w:val="en-GB"/>
          </w:rPr>
          <w:t xml:space="preserve"> Households with a fixed broadband subscription of at least 100 Mbps (% of households), 2022</w:t>
        </w:r>
        <w:r w:rsidR="00545038">
          <w:rPr>
            <w:noProof/>
            <w:webHidden/>
          </w:rPr>
          <w:tab/>
        </w:r>
        <w:r w:rsidR="00545038">
          <w:rPr>
            <w:noProof/>
            <w:webHidden/>
          </w:rPr>
          <w:fldChar w:fldCharType="begin"/>
        </w:r>
        <w:r w:rsidR="00545038">
          <w:rPr>
            <w:noProof/>
            <w:webHidden/>
          </w:rPr>
          <w:instrText xml:space="preserve"> PAGEREF _Toc152931378 \h </w:instrText>
        </w:r>
        <w:r w:rsidR="00545038">
          <w:rPr>
            <w:noProof/>
            <w:webHidden/>
          </w:rPr>
        </w:r>
        <w:r w:rsidR="00545038">
          <w:rPr>
            <w:noProof/>
            <w:webHidden/>
          </w:rPr>
          <w:fldChar w:fldCharType="separate"/>
        </w:r>
        <w:r w:rsidR="00545038">
          <w:rPr>
            <w:noProof/>
            <w:webHidden/>
          </w:rPr>
          <w:t>59</w:t>
        </w:r>
        <w:r w:rsidR="00545038">
          <w:rPr>
            <w:noProof/>
            <w:webHidden/>
          </w:rPr>
          <w:fldChar w:fldCharType="end"/>
        </w:r>
      </w:hyperlink>
    </w:p>
    <w:p w14:paraId="58A9CA22" w14:textId="77B968D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79" w:history="1">
        <w:r w:rsidR="00545038" w:rsidRPr="00051984">
          <w:rPr>
            <w:rStyle w:val="Hyperlink"/>
            <w:i/>
            <w:iCs/>
            <w:noProof/>
            <w:lang w:val="en-GB"/>
          </w:rPr>
          <w:t>Figure 28</w:t>
        </w:r>
        <w:r w:rsidR="00545038" w:rsidRPr="00051984">
          <w:rPr>
            <w:rStyle w:val="Hyperlink"/>
            <w:rFonts w:cs="Arial"/>
            <w:i/>
            <w:iCs/>
            <w:noProof/>
            <w:lang w:val="en-GB"/>
          </w:rPr>
          <w:t xml:space="preserve"> Advertised speeds and prices (in GEL) for each technology (Tbilisi)</w:t>
        </w:r>
        <w:r w:rsidR="00545038">
          <w:rPr>
            <w:noProof/>
            <w:webHidden/>
          </w:rPr>
          <w:tab/>
        </w:r>
        <w:r w:rsidR="00545038">
          <w:rPr>
            <w:noProof/>
            <w:webHidden/>
          </w:rPr>
          <w:fldChar w:fldCharType="begin"/>
        </w:r>
        <w:r w:rsidR="00545038">
          <w:rPr>
            <w:noProof/>
            <w:webHidden/>
          </w:rPr>
          <w:instrText xml:space="preserve"> PAGEREF _Toc152931379 \h </w:instrText>
        </w:r>
        <w:r w:rsidR="00545038">
          <w:rPr>
            <w:noProof/>
            <w:webHidden/>
          </w:rPr>
        </w:r>
        <w:r w:rsidR="00545038">
          <w:rPr>
            <w:noProof/>
            <w:webHidden/>
          </w:rPr>
          <w:fldChar w:fldCharType="separate"/>
        </w:r>
        <w:r w:rsidR="00545038">
          <w:rPr>
            <w:noProof/>
            <w:webHidden/>
          </w:rPr>
          <w:t>60</w:t>
        </w:r>
        <w:r w:rsidR="00545038">
          <w:rPr>
            <w:noProof/>
            <w:webHidden/>
          </w:rPr>
          <w:fldChar w:fldCharType="end"/>
        </w:r>
      </w:hyperlink>
    </w:p>
    <w:p w14:paraId="04BC4EBA" w14:textId="7F60C90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0" w:history="1">
        <w:r w:rsidR="00545038" w:rsidRPr="00051984">
          <w:rPr>
            <w:rStyle w:val="Hyperlink"/>
            <w:i/>
            <w:iCs/>
            <w:noProof/>
            <w:lang w:val="en-GB"/>
          </w:rPr>
          <w:t>Figure 29</w:t>
        </w:r>
        <w:r w:rsidR="00545038" w:rsidRPr="00051984">
          <w:rPr>
            <w:rStyle w:val="Hyperlink"/>
            <w:rFonts w:cs="Arial"/>
            <w:i/>
            <w:iCs/>
            <w:noProof/>
            <w:lang w:val="en-GB"/>
          </w:rPr>
          <w:t xml:space="preserve"> Advertised speeds and prices (in GEL) for each technology (Regions)</w:t>
        </w:r>
        <w:r w:rsidR="00545038">
          <w:rPr>
            <w:noProof/>
            <w:webHidden/>
          </w:rPr>
          <w:tab/>
        </w:r>
        <w:r w:rsidR="00545038">
          <w:rPr>
            <w:noProof/>
            <w:webHidden/>
          </w:rPr>
          <w:fldChar w:fldCharType="begin"/>
        </w:r>
        <w:r w:rsidR="00545038">
          <w:rPr>
            <w:noProof/>
            <w:webHidden/>
          </w:rPr>
          <w:instrText xml:space="preserve"> PAGEREF _Toc152931380 \h </w:instrText>
        </w:r>
        <w:r w:rsidR="00545038">
          <w:rPr>
            <w:noProof/>
            <w:webHidden/>
          </w:rPr>
        </w:r>
        <w:r w:rsidR="00545038">
          <w:rPr>
            <w:noProof/>
            <w:webHidden/>
          </w:rPr>
          <w:fldChar w:fldCharType="separate"/>
        </w:r>
        <w:r w:rsidR="00545038">
          <w:rPr>
            <w:noProof/>
            <w:webHidden/>
          </w:rPr>
          <w:t>60</w:t>
        </w:r>
        <w:r w:rsidR="00545038">
          <w:rPr>
            <w:noProof/>
            <w:webHidden/>
          </w:rPr>
          <w:fldChar w:fldCharType="end"/>
        </w:r>
      </w:hyperlink>
    </w:p>
    <w:p w14:paraId="4724D6EA" w14:textId="3CD9F15C"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1" w:history="1">
        <w:r w:rsidR="00545038" w:rsidRPr="00051984">
          <w:rPr>
            <w:rStyle w:val="Hyperlink"/>
            <w:i/>
            <w:iCs/>
            <w:noProof/>
            <w:lang w:val="en-GB"/>
          </w:rPr>
          <w:t>Figure 30 FTTx broadband access prices per speed (in Tbilisi)</w:t>
        </w:r>
        <w:r w:rsidR="00545038">
          <w:rPr>
            <w:noProof/>
            <w:webHidden/>
          </w:rPr>
          <w:tab/>
        </w:r>
        <w:r w:rsidR="00545038">
          <w:rPr>
            <w:noProof/>
            <w:webHidden/>
          </w:rPr>
          <w:fldChar w:fldCharType="begin"/>
        </w:r>
        <w:r w:rsidR="00545038">
          <w:rPr>
            <w:noProof/>
            <w:webHidden/>
          </w:rPr>
          <w:instrText xml:space="preserve"> PAGEREF _Toc152931381 \h </w:instrText>
        </w:r>
        <w:r w:rsidR="00545038">
          <w:rPr>
            <w:noProof/>
            <w:webHidden/>
          </w:rPr>
        </w:r>
        <w:r w:rsidR="00545038">
          <w:rPr>
            <w:noProof/>
            <w:webHidden/>
          </w:rPr>
          <w:fldChar w:fldCharType="separate"/>
        </w:r>
        <w:r w:rsidR="00545038">
          <w:rPr>
            <w:noProof/>
            <w:webHidden/>
          </w:rPr>
          <w:t>63</w:t>
        </w:r>
        <w:r w:rsidR="00545038">
          <w:rPr>
            <w:noProof/>
            <w:webHidden/>
          </w:rPr>
          <w:fldChar w:fldCharType="end"/>
        </w:r>
      </w:hyperlink>
    </w:p>
    <w:p w14:paraId="6B55A253" w14:textId="056978B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2" w:history="1">
        <w:r w:rsidR="00545038" w:rsidRPr="00051984">
          <w:rPr>
            <w:rStyle w:val="Hyperlink"/>
            <w:i/>
            <w:iCs/>
            <w:noProof/>
            <w:lang w:val="en-GB"/>
          </w:rPr>
          <w:t>Figure 31</w:t>
        </w:r>
        <w:r w:rsidR="00545038" w:rsidRPr="00051984">
          <w:rPr>
            <w:rStyle w:val="Hyperlink"/>
            <w:rFonts w:cs="Arial"/>
            <w:i/>
            <w:iCs/>
            <w:noProof/>
            <w:lang w:val="en-GB"/>
          </w:rPr>
          <w:t xml:space="preserve"> FTTx broadband access prices per speed (in other regions)</w:t>
        </w:r>
        <w:r w:rsidR="00545038">
          <w:rPr>
            <w:noProof/>
            <w:webHidden/>
          </w:rPr>
          <w:tab/>
        </w:r>
        <w:r w:rsidR="00545038">
          <w:rPr>
            <w:noProof/>
            <w:webHidden/>
          </w:rPr>
          <w:fldChar w:fldCharType="begin"/>
        </w:r>
        <w:r w:rsidR="00545038">
          <w:rPr>
            <w:noProof/>
            <w:webHidden/>
          </w:rPr>
          <w:instrText xml:space="preserve"> PAGEREF _Toc152931382 \h </w:instrText>
        </w:r>
        <w:r w:rsidR="00545038">
          <w:rPr>
            <w:noProof/>
            <w:webHidden/>
          </w:rPr>
        </w:r>
        <w:r w:rsidR="00545038">
          <w:rPr>
            <w:noProof/>
            <w:webHidden/>
          </w:rPr>
          <w:fldChar w:fldCharType="separate"/>
        </w:r>
        <w:r w:rsidR="00545038">
          <w:rPr>
            <w:noProof/>
            <w:webHidden/>
          </w:rPr>
          <w:t>63</w:t>
        </w:r>
        <w:r w:rsidR="00545038">
          <w:rPr>
            <w:noProof/>
            <w:webHidden/>
          </w:rPr>
          <w:fldChar w:fldCharType="end"/>
        </w:r>
      </w:hyperlink>
    </w:p>
    <w:p w14:paraId="4F4149C1" w14:textId="7312798F"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3" w:history="1">
        <w:r w:rsidR="00545038" w:rsidRPr="00051984">
          <w:rPr>
            <w:rStyle w:val="Hyperlink"/>
            <w:i/>
            <w:iCs/>
            <w:noProof/>
            <w:lang w:val="en-GB"/>
          </w:rPr>
          <w:t>Figure 32</w:t>
        </w:r>
        <w:r w:rsidR="00545038" w:rsidRPr="00051984">
          <w:rPr>
            <w:rStyle w:val="Hyperlink"/>
            <w:rFonts w:cs="Arial"/>
            <w:i/>
            <w:iCs/>
            <w:noProof/>
            <w:lang w:val="en-GB"/>
          </w:rPr>
          <w:t xml:space="preserve"> FWA vs FTTx broadband prices per speed (in Tbilisi)</w:t>
        </w:r>
        <w:r w:rsidR="00545038">
          <w:rPr>
            <w:noProof/>
            <w:webHidden/>
          </w:rPr>
          <w:tab/>
        </w:r>
        <w:r w:rsidR="00545038">
          <w:rPr>
            <w:noProof/>
            <w:webHidden/>
          </w:rPr>
          <w:fldChar w:fldCharType="begin"/>
        </w:r>
        <w:r w:rsidR="00545038">
          <w:rPr>
            <w:noProof/>
            <w:webHidden/>
          </w:rPr>
          <w:instrText xml:space="preserve"> PAGEREF _Toc152931383 \h </w:instrText>
        </w:r>
        <w:r w:rsidR="00545038">
          <w:rPr>
            <w:noProof/>
            <w:webHidden/>
          </w:rPr>
        </w:r>
        <w:r w:rsidR="00545038">
          <w:rPr>
            <w:noProof/>
            <w:webHidden/>
          </w:rPr>
          <w:fldChar w:fldCharType="separate"/>
        </w:r>
        <w:r w:rsidR="00545038">
          <w:rPr>
            <w:noProof/>
            <w:webHidden/>
          </w:rPr>
          <w:t>65</w:t>
        </w:r>
        <w:r w:rsidR="00545038">
          <w:rPr>
            <w:noProof/>
            <w:webHidden/>
          </w:rPr>
          <w:fldChar w:fldCharType="end"/>
        </w:r>
      </w:hyperlink>
    </w:p>
    <w:p w14:paraId="16B757D8" w14:textId="3F9DC952"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4" w:history="1">
        <w:r w:rsidR="00545038" w:rsidRPr="00051984">
          <w:rPr>
            <w:rStyle w:val="Hyperlink"/>
            <w:i/>
            <w:iCs/>
            <w:noProof/>
            <w:lang w:val="en-GB"/>
          </w:rPr>
          <w:t>Figure 33</w:t>
        </w:r>
        <w:r w:rsidR="00545038" w:rsidRPr="00051984">
          <w:rPr>
            <w:rStyle w:val="Hyperlink"/>
            <w:rFonts w:cs="Arial"/>
            <w:i/>
            <w:iCs/>
            <w:noProof/>
            <w:lang w:val="en-GB"/>
          </w:rPr>
          <w:t xml:space="preserve"> xDSL vs FTTx fixed broadband access prices per speed (in Tbilisi)</w:t>
        </w:r>
        <w:r w:rsidR="00545038">
          <w:rPr>
            <w:noProof/>
            <w:webHidden/>
          </w:rPr>
          <w:tab/>
        </w:r>
        <w:r w:rsidR="00545038">
          <w:rPr>
            <w:noProof/>
            <w:webHidden/>
          </w:rPr>
          <w:fldChar w:fldCharType="begin"/>
        </w:r>
        <w:r w:rsidR="00545038">
          <w:rPr>
            <w:noProof/>
            <w:webHidden/>
          </w:rPr>
          <w:instrText xml:space="preserve"> PAGEREF _Toc152931384 \h </w:instrText>
        </w:r>
        <w:r w:rsidR="00545038">
          <w:rPr>
            <w:noProof/>
            <w:webHidden/>
          </w:rPr>
        </w:r>
        <w:r w:rsidR="00545038">
          <w:rPr>
            <w:noProof/>
            <w:webHidden/>
          </w:rPr>
          <w:fldChar w:fldCharType="separate"/>
        </w:r>
        <w:r w:rsidR="00545038">
          <w:rPr>
            <w:noProof/>
            <w:webHidden/>
          </w:rPr>
          <w:t>68</w:t>
        </w:r>
        <w:r w:rsidR="00545038">
          <w:rPr>
            <w:noProof/>
            <w:webHidden/>
          </w:rPr>
          <w:fldChar w:fldCharType="end"/>
        </w:r>
      </w:hyperlink>
    </w:p>
    <w:p w14:paraId="12B1AE12" w14:textId="7CCC2B16"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5" w:history="1">
        <w:r w:rsidR="00545038" w:rsidRPr="00051984">
          <w:rPr>
            <w:rStyle w:val="Hyperlink"/>
            <w:i/>
            <w:iCs/>
            <w:noProof/>
            <w:lang w:val="en-GB"/>
          </w:rPr>
          <w:t>Figure 34</w:t>
        </w:r>
        <w:r w:rsidR="00545038" w:rsidRPr="00051984">
          <w:rPr>
            <w:rStyle w:val="Hyperlink"/>
            <w:rFonts w:cs="Arial"/>
            <w:i/>
            <w:iCs/>
            <w:noProof/>
            <w:lang w:val="en-GB"/>
          </w:rPr>
          <w:t xml:space="preserve"> Market shares (by subscribers) in the retail higher-speed fixed broadband access market (2022)</w:t>
        </w:r>
        <w:r w:rsidR="00545038">
          <w:rPr>
            <w:noProof/>
            <w:webHidden/>
          </w:rPr>
          <w:tab/>
        </w:r>
        <w:r w:rsidR="00545038">
          <w:rPr>
            <w:noProof/>
            <w:webHidden/>
          </w:rPr>
          <w:fldChar w:fldCharType="begin"/>
        </w:r>
        <w:r w:rsidR="00545038">
          <w:rPr>
            <w:noProof/>
            <w:webHidden/>
          </w:rPr>
          <w:instrText xml:space="preserve"> PAGEREF _Toc152931385 \h </w:instrText>
        </w:r>
        <w:r w:rsidR="00545038">
          <w:rPr>
            <w:noProof/>
            <w:webHidden/>
          </w:rPr>
        </w:r>
        <w:r w:rsidR="00545038">
          <w:rPr>
            <w:noProof/>
            <w:webHidden/>
          </w:rPr>
          <w:fldChar w:fldCharType="separate"/>
        </w:r>
        <w:r w:rsidR="00545038">
          <w:rPr>
            <w:noProof/>
            <w:webHidden/>
          </w:rPr>
          <w:t>76</w:t>
        </w:r>
        <w:r w:rsidR="00545038">
          <w:rPr>
            <w:noProof/>
            <w:webHidden/>
          </w:rPr>
          <w:fldChar w:fldCharType="end"/>
        </w:r>
      </w:hyperlink>
    </w:p>
    <w:p w14:paraId="456FAFA5" w14:textId="343DDA26"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6" w:history="1">
        <w:r w:rsidR="00545038" w:rsidRPr="00051984">
          <w:rPr>
            <w:rStyle w:val="Hyperlink"/>
            <w:i/>
            <w:iCs/>
            <w:noProof/>
            <w:lang w:val="en-GB"/>
          </w:rPr>
          <w:t>Figure 35</w:t>
        </w:r>
        <w:r w:rsidR="00545038" w:rsidRPr="00051984">
          <w:rPr>
            <w:rStyle w:val="Hyperlink"/>
            <w:rFonts w:cs="Arial"/>
            <w:i/>
            <w:iCs/>
            <w:noProof/>
            <w:lang w:val="en-GB"/>
          </w:rPr>
          <w:t xml:space="preserve"> Market shares on the retail higher-speed fixed broadband access market - trend</w:t>
        </w:r>
        <w:r w:rsidR="00545038">
          <w:rPr>
            <w:noProof/>
            <w:webHidden/>
          </w:rPr>
          <w:tab/>
        </w:r>
        <w:r w:rsidR="00545038">
          <w:rPr>
            <w:noProof/>
            <w:webHidden/>
          </w:rPr>
          <w:fldChar w:fldCharType="begin"/>
        </w:r>
        <w:r w:rsidR="00545038">
          <w:rPr>
            <w:noProof/>
            <w:webHidden/>
          </w:rPr>
          <w:instrText xml:space="preserve"> PAGEREF _Toc152931386 \h </w:instrText>
        </w:r>
        <w:r w:rsidR="00545038">
          <w:rPr>
            <w:noProof/>
            <w:webHidden/>
          </w:rPr>
        </w:r>
        <w:r w:rsidR="00545038">
          <w:rPr>
            <w:noProof/>
            <w:webHidden/>
          </w:rPr>
          <w:fldChar w:fldCharType="separate"/>
        </w:r>
        <w:r w:rsidR="00545038">
          <w:rPr>
            <w:noProof/>
            <w:webHidden/>
          </w:rPr>
          <w:t>77</w:t>
        </w:r>
        <w:r w:rsidR="00545038">
          <w:rPr>
            <w:noProof/>
            <w:webHidden/>
          </w:rPr>
          <w:fldChar w:fldCharType="end"/>
        </w:r>
      </w:hyperlink>
    </w:p>
    <w:p w14:paraId="68B2353D" w14:textId="54DBC473"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7" w:history="1">
        <w:r w:rsidR="00545038" w:rsidRPr="00051984">
          <w:rPr>
            <w:rStyle w:val="Hyperlink"/>
            <w:i/>
            <w:iCs/>
            <w:noProof/>
            <w:lang w:val="en-GB"/>
          </w:rPr>
          <w:t>Figure 36 FTTx household and population coverage by operator in settlements</w:t>
        </w:r>
        <w:r w:rsidR="00545038">
          <w:rPr>
            <w:noProof/>
            <w:webHidden/>
          </w:rPr>
          <w:tab/>
        </w:r>
        <w:r w:rsidR="00545038">
          <w:rPr>
            <w:noProof/>
            <w:webHidden/>
          </w:rPr>
          <w:fldChar w:fldCharType="begin"/>
        </w:r>
        <w:r w:rsidR="00545038">
          <w:rPr>
            <w:noProof/>
            <w:webHidden/>
          </w:rPr>
          <w:instrText xml:space="preserve"> PAGEREF _Toc152931387 \h </w:instrText>
        </w:r>
        <w:r w:rsidR="00545038">
          <w:rPr>
            <w:noProof/>
            <w:webHidden/>
          </w:rPr>
        </w:r>
        <w:r w:rsidR="00545038">
          <w:rPr>
            <w:noProof/>
            <w:webHidden/>
          </w:rPr>
          <w:fldChar w:fldCharType="separate"/>
        </w:r>
        <w:r w:rsidR="00545038">
          <w:rPr>
            <w:noProof/>
            <w:webHidden/>
          </w:rPr>
          <w:t>78</w:t>
        </w:r>
        <w:r w:rsidR="00545038">
          <w:rPr>
            <w:noProof/>
            <w:webHidden/>
          </w:rPr>
          <w:fldChar w:fldCharType="end"/>
        </w:r>
      </w:hyperlink>
    </w:p>
    <w:p w14:paraId="17B15F5F" w14:textId="5C73F30C"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8" w:history="1">
        <w:r w:rsidR="00545038" w:rsidRPr="00051984">
          <w:rPr>
            <w:rStyle w:val="Hyperlink"/>
            <w:i/>
            <w:iCs/>
            <w:noProof/>
            <w:lang w:val="en-GB"/>
          </w:rPr>
          <w:t>Figure 37 Revenues of fixed broadband access operators</w:t>
        </w:r>
        <w:r w:rsidR="00545038">
          <w:rPr>
            <w:noProof/>
            <w:webHidden/>
          </w:rPr>
          <w:tab/>
        </w:r>
        <w:r w:rsidR="00545038">
          <w:rPr>
            <w:noProof/>
            <w:webHidden/>
          </w:rPr>
          <w:fldChar w:fldCharType="begin"/>
        </w:r>
        <w:r w:rsidR="00545038">
          <w:rPr>
            <w:noProof/>
            <w:webHidden/>
          </w:rPr>
          <w:instrText xml:space="preserve"> PAGEREF _Toc152931388 \h </w:instrText>
        </w:r>
        <w:r w:rsidR="00545038">
          <w:rPr>
            <w:noProof/>
            <w:webHidden/>
          </w:rPr>
        </w:r>
        <w:r w:rsidR="00545038">
          <w:rPr>
            <w:noProof/>
            <w:webHidden/>
          </w:rPr>
          <w:fldChar w:fldCharType="separate"/>
        </w:r>
        <w:r w:rsidR="00545038">
          <w:rPr>
            <w:noProof/>
            <w:webHidden/>
          </w:rPr>
          <w:t>78</w:t>
        </w:r>
        <w:r w:rsidR="00545038">
          <w:rPr>
            <w:noProof/>
            <w:webHidden/>
          </w:rPr>
          <w:fldChar w:fldCharType="end"/>
        </w:r>
      </w:hyperlink>
    </w:p>
    <w:p w14:paraId="0AA47CCF" w14:textId="439D836F"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89" w:history="1">
        <w:r w:rsidR="00545038" w:rsidRPr="00051984">
          <w:rPr>
            <w:rStyle w:val="Hyperlink"/>
            <w:i/>
            <w:iCs/>
            <w:noProof/>
            <w:lang w:val="en-GB"/>
          </w:rPr>
          <w:t>Figure 38</w:t>
        </w:r>
        <w:r w:rsidR="00545038" w:rsidRPr="00051984">
          <w:rPr>
            <w:rStyle w:val="Hyperlink"/>
            <w:rFonts w:cs="Arial"/>
            <w:i/>
            <w:iCs/>
            <w:noProof/>
            <w:lang w:val="en-GB"/>
          </w:rPr>
          <w:t xml:space="preserve"> FTTx point-to-point (P2P) network architecture</w:t>
        </w:r>
        <w:r w:rsidR="00545038">
          <w:rPr>
            <w:noProof/>
            <w:webHidden/>
          </w:rPr>
          <w:tab/>
        </w:r>
        <w:r w:rsidR="00545038">
          <w:rPr>
            <w:noProof/>
            <w:webHidden/>
          </w:rPr>
          <w:fldChar w:fldCharType="begin"/>
        </w:r>
        <w:r w:rsidR="00545038">
          <w:rPr>
            <w:noProof/>
            <w:webHidden/>
          </w:rPr>
          <w:instrText xml:space="preserve"> PAGEREF _Toc152931389 \h </w:instrText>
        </w:r>
        <w:r w:rsidR="00545038">
          <w:rPr>
            <w:noProof/>
            <w:webHidden/>
          </w:rPr>
        </w:r>
        <w:r w:rsidR="00545038">
          <w:rPr>
            <w:noProof/>
            <w:webHidden/>
          </w:rPr>
          <w:fldChar w:fldCharType="separate"/>
        </w:r>
        <w:r w:rsidR="00545038">
          <w:rPr>
            <w:noProof/>
            <w:webHidden/>
          </w:rPr>
          <w:t>86</w:t>
        </w:r>
        <w:r w:rsidR="00545038">
          <w:rPr>
            <w:noProof/>
            <w:webHidden/>
          </w:rPr>
          <w:fldChar w:fldCharType="end"/>
        </w:r>
      </w:hyperlink>
    </w:p>
    <w:p w14:paraId="6354B4A3" w14:textId="3633433B"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0" w:history="1">
        <w:r w:rsidR="00545038" w:rsidRPr="00051984">
          <w:rPr>
            <w:rStyle w:val="Hyperlink"/>
            <w:i/>
            <w:iCs/>
            <w:noProof/>
            <w:lang w:val="en-GB"/>
          </w:rPr>
          <w:t>Figure 39</w:t>
        </w:r>
        <w:r w:rsidR="00545038" w:rsidRPr="00051984">
          <w:rPr>
            <w:rStyle w:val="Hyperlink"/>
            <w:rFonts w:cs="Arial"/>
            <w:i/>
            <w:iCs/>
            <w:noProof/>
            <w:lang w:val="en-GB"/>
          </w:rPr>
          <w:t xml:space="preserve"> FTTx point-to-multipoint (P2MP) network architecture</w:t>
        </w:r>
        <w:r w:rsidR="00545038">
          <w:rPr>
            <w:noProof/>
            <w:webHidden/>
          </w:rPr>
          <w:tab/>
        </w:r>
        <w:r w:rsidR="00545038">
          <w:rPr>
            <w:noProof/>
            <w:webHidden/>
          </w:rPr>
          <w:fldChar w:fldCharType="begin"/>
        </w:r>
        <w:r w:rsidR="00545038">
          <w:rPr>
            <w:noProof/>
            <w:webHidden/>
          </w:rPr>
          <w:instrText xml:space="preserve"> PAGEREF _Toc152931390 \h </w:instrText>
        </w:r>
        <w:r w:rsidR="00545038">
          <w:rPr>
            <w:noProof/>
            <w:webHidden/>
          </w:rPr>
        </w:r>
        <w:r w:rsidR="00545038">
          <w:rPr>
            <w:noProof/>
            <w:webHidden/>
          </w:rPr>
          <w:fldChar w:fldCharType="separate"/>
        </w:r>
        <w:r w:rsidR="00545038">
          <w:rPr>
            <w:noProof/>
            <w:webHidden/>
          </w:rPr>
          <w:t>86</w:t>
        </w:r>
        <w:r w:rsidR="00545038">
          <w:rPr>
            <w:noProof/>
            <w:webHidden/>
          </w:rPr>
          <w:fldChar w:fldCharType="end"/>
        </w:r>
      </w:hyperlink>
    </w:p>
    <w:p w14:paraId="43A2CE32" w14:textId="649F392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1" w:history="1">
        <w:r w:rsidR="00545038" w:rsidRPr="00051984">
          <w:rPr>
            <w:rStyle w:val="Hyperlink"/>
            <w:i/>
            <w:iCs/>
            <w:noProof/>
            <w:lang w:val="en-GB"/>
          </w:rPr>
          <w:t>Figure 40</w:t>
        </w:r>
        <w:r w:rsidR="00545038" w:rsidRPr="00051984">
          <w:rPr>
            <w:rStyle w:val="Hyperlink"/>
            <w:rFonts w:cs="Arial"/>
            <w:i/>
            <w:iCs/>
            <w:noProof/>
            <w:lang w:val="en-GB"/>
          </w:rPr>
          <w:t xml:space="preserve"> VULA network architecture</w:t>
        </w:r>
        <w:r w:rsidR="00545038">
          <w:rPr>
            <w:noProof/>
            <w:webHidden/>
          </w:rPr>
          <w:tab/>
        </w:r>
        <w:r w:rsidR="00545038">
          <w:rPr>
            <w:noProof/>
            <w:webHidden/>
          </w:rPr>
          <w:fldChar w:fldCharType="begin"/>
        </w:r>
        <w:r w:rsidR="00545038">
          <w:rPr>
            <w:noProof/>
            <w:webHidden/>
          </w:rPr>
          <w:instrText xml:space="preserve"> PAGEREF _Toc152931391 \h </w:instrText>
        </w:r>
        <w:r w:rsidR="00545038">
          <w:rPr>
            <w:noProof/>
            <w:webHidden/>
          </w:rPr>
        </w:r>
        <w:r w:rsidR="00545038">
          <w:rPr>
            <w:noProof/>
            <w:webHidden/>
          </w:rPr>
          <w:fldChar w:fldCharType="separate"/>
        </w:r>
        <w:r w:rsidR="00545038">
          <w:rPr>
            <w:noProof/>
            <w:webHidden/>
          </w:rPr>
          <w:t>88</w:t>
        </w:r>
        <w:r w:rsidR="00545038">
          <w:rPr>
            <w:noProof/>
            <w:webHidden/>
          </w:rPr>
          <w:fldChar w:fldCharType="end"/>
        </w:r>
      </w:hyperlink>
    </w:p>
    <w:p w14:paraId="57CD2D1A" w14:textId="63CE5E84"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2" w:history="1">
        <w:r w:rsidR="00545038" w:rsidRPr="00051984">
          <w:rPr>
            <w:rStyle w:val="Hyperlink"/>
            <w:i/>
            <w:iCs/>
            <w:noProof/>
            <w:lang w:val="en-GB"/>
          </w:rPr>
          <w:t>Figure 41</w:t>
        </w:r>
        <w:r w:rsidR="00545038" w:rsidRPr="00051984">
          <w:rPr>
            <w:rStyle w:val="Hyperlink"/>
            <w:bCs/>
            <w:i/>
            <w:iCs/>
            <w:noProof/>
            <w:lang w:val="en-GB"/>
          </w:rPr>
          <w:t xml:space="preserve"> The 'ladder of investment' concept</w:t>
        </w:r>
        <w:r w:rsidR="00545038">
          <w:rPr>
            <w:noProof/>
            <w:webHidden/>
          </w:rPr>
          <w:tab/>
        </w:r>
        <w:r w:rsidR="00545038">
          <w:rPr>
            <w:noProof/>
            <w:webHidden/>
          </w:rPr>
          <w:fldChar w:fldCharType="begin"/>
        </w:r>
        <w:r w:rsidR="00545038">
          <w:rPr>
            <w:noProof/>
            <w:webHidden/>
          </w:rPr>
          <w:instrText xml:space="preserve"> PAGEREF _Toc152931392 \h </w:instrText>
        </w:r>
        <w:r w:rsidR="00545038">
          <w:rPr>
            <w:noProof/>
            <w:webHidden/>
          </w:rPr>
        </w:r>
        <w:r w:rsidR="00545038">
          <w:rPr>
            <w:noProof/>
            <w:webHidden/>
          </w:rPr>
          <w:fldChar w:fldCharType="separate"/>
        </w:r>
        <w:r w:rsidR="00545038">
          <w:rPr>
            <w:noProof/>
            <w:webHidden/>
          </w:rPr>
          <w:t>90</w:t>
        </w:r>
        <w:r w:rsidR="00545038">
          <w:rPr>
            <w:noProof/>
            <w:webHidden/>
          </w:rPr>
          <w:fldChar w:fldCharType="end"/>
        </w:r>
      </w:hyperlink>
    </w:p>
    <w:p w14:paraId="75482F96" w14:textId="2EA4E3E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3" w:history="1">
        <w:r w:rsidR="00545038" w:rsidRPr="00051984">
          <w:rPr>
            <w:rStyle w:val="Hyperlink"/>
            <w:i/>
            <w:iCs/>
            <w:noProof/>
            <w:lang w:val="en-GB"/>
          </w:rPr>
          <w:t>Figure 42</w:t>
        </w:r>
        <w:r w:rsidR="00545038" w:rsidRPr="00051984">
          <w:rPr>
            <w:rStyle w:val="Hyperlink"/>
            <w:bCs/>
            <w:i/>
            <w:iCs/>
            <w:noProof/>
            <w:lang w:val="en-GB"/>
          </w:rPr>
          <w:t xml:space="preserve"> Bitstream access concept (points of handover)</w:t>
        </w:r>
        <w:r w:rsidR="00545038">
          <w:rPr>
            <w:noProof/>
            <w:webHidden/>
          </w:rPr>
          <w:tab/>
        </w:r>
        <w:r w:rsidR="00545038">
          <w:rPr>
            <w:noProof/>
            <w:webHidden/>
          </w:rPr>
          <w:fldChar w:fldCharType="begin"/>
        </w:r>
        <w:r w:rsidR="00545038">
          <w:rPr>
            <w:noProof/>
            <w:webHidden/>
          </w:rPr>
          <w:instrText xml:space="preserve"> PAGEREF _Toc152931393 \h </w:instrText>
        </w:r>
        <w:r w:rsidR="00545038">
          <w:rPr>
            <w:noProof/>
            <w:webHidden/>
          </w:rPr>
        </w:r>
        <w:r w:rsidR="00545038">
          <w:rPr>
            <w:noProof/>
            <w:webHidden/>
          </w:rPr>
          <w:fldChar w:fldCharType="separate"/>
        </w:r>
        <w:r w:rsidR="00545038">
          <w:rPr>
            <w:noProof/>
            <w:webHidden/>
          </w:rPr>
          <w:t>91</w:t>
        </w:r>
        <w:r w:rsidR="00545038">
          <w:rPr>
            <w:noProof/>
            <w:webHidden/>
          </w:rPr>
          <w:fldChar w:fldCharType="end"/>
        </w:r>
      </w:hyperlink>
    </w:p>
    <w:p w14:paraId="6D5671F8" w14:textId="49189F69"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4" w:history="1">
        <w:r w:rsidR="00545038" w:rsidRPr="00051984">
          <w:rPr>
            <w:rStyle w:val="Hyperlink"/>
            <w:i/>
            <w:iCs/>
            <w:noProof/>
            <w:lang w:val="en-GB"/>
          </w:rPr>
          <w:t>Figure 43</w:t>
        </w:r>
        <w:r w:rsidR="00545038" w:rsidRPr="00051984">
          <w:rPr>
            <w:rStyle w:val="Hyperlink"/>
            <w:rFonts w:cs="Arial"/>
            <w:i/>
            <w:iCs/>
            <w:noProof/>
            <w:lang w:val="en-GB"/>
          </w:rPr>
          <w:t xml:space="preserve"> Market shares (by subscribers) in the national retail higher-speed fixed broadband access market (2022)</w:t>
        </w:r>
        <w:r w:rsidR="00545038">
          <w:rPr>
            <w:noProof/>
            <w:webHidden/>
          </w:rPr>
          <w:tab/>
        </w:r>
        <w:r w:rsidR="00545038">
          <w:rPr>
            <w:noProof/>
            <w:webHidden/>
          </w:rPr>
          <w:fldChar w:fldCharType="begin"/>
        </w:r>
        <w:r w:rsidR="00545038">
          <w:rPr>
            <w:noProof/>
            <w:webHidden/>
          </w:rPr>
          <w:instrText xml:space="preserve"> PAGEREF _Toc152931394 \h </w:instrText>
        </w:r>
        <w:r w:rsidR="00545038">
          <w:rPr>
            <w:noProof/>
            <w:webHidden/>
          </w:rPr>
        </w:r>
        <w:r w:rsidR="00545038">
          <w:rPr>
            <w:noProof/>
            <w:webHidden/>
          </w:rPr>
          <w:fldChar w:fldCharType="separate"/>
        </w:r>
        <w:r w:rsidR="00545038">
          <w:rPr>
            <w:noProof/>
            <w:webHidden/>
          </w:rPr>
          <w:t>100</w:t>
        </w:r>
        <w:r w:rsidR="00545038">
          <w:rPr>
            <w:noProof/>
            <w:webHidden/>
          </w:rPr>
          <w:fldChar w:fldCharType="end"/>
        </w:r>
      </w:hyperlink>
    </w:p>
    <w:p w14:paraId="285F2743" w14:textId="1E202C3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5" w:history="1">
        <w:r w:rsidR="00545038" w:rsidRPr="00051984">
          <w:rPr>
            <w:rStyle w:val="Hyperlink"/>
            <w:i/>
            <w:iCs/>
            <w:noProof/>
            <w:lang w:val="en-GB"/>
          </w:rPr>
          <w:t>Figure 44 Number of FTTx (in 1,000s) (trend 2019-2022)</w:t>
        </w:r>
        <w:r w:rsidR="00545038">
          <w:rPr>
            <w:noProof/>
            <w:webHidden/>
          </w:rPr>
          <w:tab/>
        </w:r>
        <w:r w:rsidR="00545038">
          <w:rPr>
            <w:noProof/>
            <w:webHidden/>
          </w:rPr>
          <w:fldChar w:fldCharType="begin"/>
        </w:r>
        <w:r w:rsidR="00545038">
          <w:rPr>
            <w:noProof/>
            <w:webHidden/>
          </w:rPr>
          <w:instrText xml:space="preserve"> PAGEREF _Toc152931395 \h </w:instrText>
        </w:r>
        <w:r w:rsidR="00545038">
          <w:rPr>
            <w:noProof/>
            <w:webHidden/>
          </w:rPr>
        </w:r>
        <w:r w:rsidR="00545038">
          <w:rPr>
            <w:noProof/>
            <w:webHidden/>
          </w:rPr>
          <w:fldChar w:fldCharType="separate"/>
        </w:r>
        <w:r w:rsidR="00545038">
          <w:rPr>
            <w:noProof/>
            <w:webHidden/>
          </w:rPr>
          <w:t>101</w:t>
        </w:r>
        <w:r w:rsidR="00545038">
          <w:rPr>
            <w:noProof/>
            <w:webHidden/>
          </w:rPr>
          <w:fldChar w:fldCharType="end"/>
        </w:r>
      </w:hyperlink>
    </w:p>
    <w:p w14:paraId="65720C08" w14:textId="48307D52"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6" w:history="1">
        <w:r w:rsidR="00545038" w:rsidRPr="00051984">
          <w:rPr>
            <w:rStyle w:val="Hyperlink"/>
            <w:i/>
            <w:iCs/>
            <w:noProof/>
            <w:lang w:val="en-GB"/>
          </w:rPr>
          <w:t>Figure 45</w:t>
        </w:r>
        <w:r w:rsidR="00545038" w:rsidRPr="00051984">
          <w:rPr>
            <w:rStyle w:val="Hyperlink"/>
            <w:rFonts w:cs="Arial"/>
            <w:i/>
            <w:iCs/>
            <w:noProof/>
            <w:lang w:val="en-GB"/>
          </w:rPr>
          <w:t xml:space="preserve"> Market shares (by subscribers) on the retail higher-speed fixed broadband access market - trend</w:t>
        </w:r>
        <w:r w:rsidR="00545038">
          <w:rPr>
            <w:noProof/>
            <w:webHidden/>
          </w:rPr>
          <w:tab/>
        </w:r>
        <w:r w:rsidR="00545038">
          <w:rPr>
            <w:noProof/>
            <w:webHidden/>
          </w:rPr>
          <w:fldChar w:fldCharType="begin"/>
        </w:r>
        <w:r w:rsidR="00545038">
          <w:rPr>
            <w:noProof/>
            <w:webHidden/>
          </w:rPr>
          <w:instrText xml:space="preserve"> PAGEREF _Toc152931396 \h </w:instrText>
        </w:r>
        <w:r w:rsidR="00545038">
          <w:rPr>
            <w:noProof/>
            <w:webHidden/>
          </w:rPr>
        </w:r>
        <w:r w:rsidR="00545038">
          <w:rPr>
            <w:noProof/>
            <w:webHidden/>
          </w:rPr>
          <w:fldChar w:fldCharType="separate"/>
        </w:r>
        <w:r w:rsidR="00545038">
          <w:rPr>
            <w:noProof/>
            <w:webHidden/>
          </w:rPr>
          <w:t>102</w:t>
        </w:r>
        <w:r w:rsidR="00545038">
          <w:rPr>
            <w:noProof/>
            <w:webHidden/>
          </w:rPr>
          <w:fldChar w:fldCharType="end"/>
        </w:r>
      </w:hyperlink>
    </w:p>
    <w:p w14:paraId="63446ED0" w14:textId="25FE5B49"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7" w:history="1">
        <w:r w:rsidR="00545038" w:rsidRPr="00051984">
          <w:rPr>
            <w:rStyle w:val="Hyperlink"/>
            <w:i/>
            <w:iCs/>
            <w:noProof/>
            <w:lang w:val="en-GB"/>
          </w:rPr>
          <w:t>Figure 46 Revenues of broadband access operators</w:t>
        </w:r>
        <w:r w:rsidR="00545038">
          <w:rPr>
            <w:noProof/>
            <w:webHidden/>
          </w:rPr>
          <w:tab/>
        </w:r>
        <w:r w:rsidR="00545038">
          <w:rPr>
            <w:noProof/>
            <w:webHidden/>
          </w:rPr>
          <w:fldChar w:fldCharType="begin"/>
        </w:r>
        <w:r w:rsidR="00545038">
          <w:rPr>
            <w:noProof/>
            <w:webHidden/>
          </w:rPr>
          <w:instrText xml:space="preserve"> PAGEREF _Toc152931397 \h </w:instrText>
        </w:r>
        <w:r w:rsidR="00545038">
          <w:rPr>
            <w:noProof/>
            <w:webHidden/>
          </w:rPr>
        </w:r>
        <w:r w:rsidR="00545038">
          <w:rPr>
            <w:noProof/>
            <w:webHidden/>
          </w:rPr>
          <w:fldChar w:fldCharType="separate"/>
        </w:r>
        <w:r w:rsidR="00545038">
          <w:rPr>
            <w:noProof/>
            <w:webHidden/>
          </w:rPr>
          <w:t>103</w:t>
        </w:r>
        <w:r w:rsidR="00545038">
          <w:rPr>
            <w:noProof/>
            <w:webHidden/>
          </w:rPr>
          <w:fldChar w:fldCharType="end"/>
        </w:r>
      </w:hyperlink>
    </w:p>
    <w:p w14:paraId="535C0E95" w14:textId="3A3C11EF"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8" w:history="1">
        <w:r w:rsidR="00545038" w:rsidRPr="00051984">
          <w:rPr>
            <w:rStyle w:val="Hyperlink"/>
            <w:rFonts w:eastAsiaTheme="minorHAnsi"/>
            <w:i/>
            <w:iCs/>
            <w:noProof/>
            <w:lang w:val="en-GB"/>
          </w:rPr>
          <w:t>Figure 47: The relevant retail and wholesale markets for fixed broadband services</w:t>
        </w:r>
        <w:r w:rsidR="00545038">
          <w:rPr>
            <w:noProof/>
            <w:webHidden/>
          </w:rPr>
          <w:tab/>
        </w:r>
        <w:r w:rsidR="00545038">
          <w:rPr>
            <w:noProof/>
            <w:webHidden/>
          </w:rPr>
          <w:fldChar w:fldCharType="begin"/>
        </w:r>
        <w:r w:rsidR="00545038">
          <w:rPr>
            <w:noProof/>
            <w:webHidden/>
          </w:rPr>
          <w:instrText xml:space="preserve"> PAGEREF _Toc152931398 \h </w:instrText>
        </w:r>
        <w:r w:rsidR="00545038">
          <w:rPr>
            <w:noProof/>
            <w:webHidden/>
          </w:rPr>
        </w:r>
        <w:r w:rsidR="00545038">
          <w:rPr>
            <w:noProof/>
            <w:webHidden/>
          </w:rPr>
          <w:fldChar w:fldCharType="separate"/>
        </w:r>
        <w:r w:rsidR="00545038">
          <w:rPr>
            <w:noProof/>
            <w:webHidden/>
          </w:rPr>
          <w:t>106</w:t>
        </w:r>
        <w:r w:rsidR="00545038">
          <w:rPr>
            <w:noProof/>
            <w:webHidden/>
          </w:rPr>
          <w:fldChar w:fldCharType="end"/>
        </w:r>
      </w:hyperlink>
    </w:p>
    <w:p w14:paraId="0DA84EFC" w14:textId="593B476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399" w:history="1">
        <w:r w:rsidR="00545038" w:rsidRPr="00051984">
          <w:rPr>
            <w:rStyle w:val="Hyperlink"/>
            <w:noProof/>
          </w:rPr>
          <w:t>Figure 48</w:t>
        </w:r>
        <w:r w:rsidR="00545038" w:rsidRPr="00051984">
          <w:rPr>
            <w:rStyle w:val="Hyperlink"/>
            <w:noProof/>
            <w:lang w:val="en-GB"/>
          </w:rPr>
          <w:t>: Higher-speed retail fixed broadband market shares (subscribers, 2022)</w:t>
        </w:r>
        <w:r w:rsidR="00545038">
          <w:rPr>
            <w:noProof/>
            <w:webHidden/>
          </w:rPr>
          <w:tab/>
        </w:r>
        <w:r w:rsidR="00545038">
          <w:rPr>
            <w:noProof/>
            <w:webHidden/>
          </w:rPr>
          <w:fldChar w:fldCharType="begin"/>
        </w:r>
        <w:r w:rsidR="00545038">
          <w:rPr>
            <w:noProof/>
            <w:webHidden/>
          </w:rPr>
          <w:instrText xml:space="preserve"> PAGEREF _Toc152931399 \h </w:instrText>
        </w:r>
        <w:r w:rsidR="00545038">
          <w:rPr>
            <w:noProof/>
            <w:webHidden/>
          </w:rPr>
        </w:r>
        <w:r w:rsidR="00545038">
          <w:rPr>
            <w:noProof/>
            <w:webHidden/>
          </w:rPr>
          <w:fldChar w:fldCharType="separate"/>
        </w:r>
        <w:r w:rsidR="00545038">
          <w:rPr>
            <w:noProof/>
            <w:webHidden/>
          </w:rPr>
          <w:t>110</w:t>
        </w:r>
        <w:r w:rsidR="00545038">
          <w:rPr>
            <w:noProof/>
            <w:webHidden/>
          </w:rPr>
          <w:fldChar w:fldCharType="end"/>
        </w:r>
      </w:hyperlink>
    </w:p>
    <w:p w14:paraId="0CEADFC2" w14:textId="5FA047E9"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0" w:history="1">
        <w:r w:rsidR="00545038" w:rsidRPr="00051984">
          <w:rPr>
            <w:rStyle w:val="Hyperlink"/>
            <w:noProof/>
          </w:rPr>
          <w:t>Figure 49</w:t>
        </w:r>
        <w:r w:rsidR="00545038" w:rsidRPr="00051984">
          <w:rPr>
            <w:rStyle w:val="Hyperlink"/>
            <w:noProof/>
            <w:lang w:val="en-GB"/>
          </w:rPr>
          <w:t>: Fixed broadband subscriptions – technology trend</w:t>
        </w:r>
        <w:r w:rsidR="00545038">
          <w:rPr>
            <w:noProof/>
            <w:webHidden/>
          </w:rPr>
          <w:tab/>
        </w:r>
        <w:r w:rsidR="00545038">
          <w:rPr>
            <w:noProof/>
            <w:webHidden/>
          </w:rPr>
          <w:fldChar w:fldCharType="begin"/>
        </w:r>
        <w:r w:rsidR="00545038">
          <w:rPr>
            <w:noProof/>
            <w:webHidden/>
          </w:rPr>
          <w:instrText xml:space="preserve"> PAGEREF _Toc152931400 \h </w:instrText>
        </w:r>
        <w:r w:rsidR="00545038">
          <w:rPr>
            <w:noProof/>
            <w:webHidden/>
          </w:rPr>
        </w:r>
        <w:r w:rsidR="00545038">
          <w:rPr>
            <w:noProof/>
            <w:webHidden/>
          </w:rPr>
          <w:fldChar w:fldCharType="separate"/>
        </w:r>
        <w:r w:rsidR="00545038">
          <w:rPr>
            <w:noProof/>
            <w:webHidden/>
          </w:rPr>
          <w:t>111</w:t>
        </w:r>
        <w:r w:rsidR="00545038">
          <w:rPr>
            <w:noProof/>
            <w:webHidden/>
          </w:rPr>
          <w:fldChar w:fldCharType="end"/>
        </w:r>
      </w:hyperlink>
    </w:p>
    <w:p w14:paraId="2996D086" w14:textId="4CA269F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1" w:history="1">
        <w:r w:rsidR="00545038" w:rsidRPr="00051984">
          <w:rPr>
            <w:rStyle w:val="Hyperlink"/>
            <w:noProof/>
          </w:rPr>
          <w:t>Figure 50</w:t>
        </w:r>
        <w:r w:rsidR="00545038" w:rsidRPr="00051984">
          <w:rPr>
            <w:rStyle w:val="Hyperlink"/>
            <w:noProof/>
            <w:lang w:val="en-GB"/>
          </w:rPr>
          <w:t>: Market shares for retail higher-speed broadband services (trend)</w:t>
        </w:r>
        <w:r w:rsidR="00545038">
          <w:rPr>
            <w:noProof/>
            <w:webHidden/>
          </w:rPr>
          <w:tab/>
        </w:r>
        <w:r w:rsidR="00545038">
          <w:rPr>
            <w:noProof/>
            <w:webHidden/>
          </w:rPr>
          <w:fldChar w:fldCharType="begin"/>
        </w:r>
        <w:r w:rsidR="00545038">
          <w:rPr>
            <w:noProof/>
            <w:webHidden/>
          </w:rPr>
          <w:instrText xml:space="preserve"> PAGEREF _Toc152931401 \h </w:instrText>
        </w:r>
        <w:r w:rsidR="00545038">
          <w:rPr>
            <w:noProof/>
            <w:webHidden/>
          </w:rPr>
        </w:r>
        <w:r w:rsidR="00545038">
          <w:rPr>
            <w:noProof/>
            <w:webHidden/>
          </w:rPr>
          <w:fldChar w:fldCharType="separate"/>
        </w:r>
        <w:r w:rsidR="00545038">
          <w:rPr>
            <w:noProof/>
            <w:webHidden/>
          </w:rPr>
          <w:t>112</w:t>
        </w:r>
        <w:r w:rsidR="00545038">
          <w:rPr>
            <w:noProof/>
            <w:webHidden/>
          </w:rPr>
          <w:fldChar w:fldCharType="end"/>
        </w:r>
      </w:hyperlink>
    </w:p>
    <w:p w14:paraId="19CA5D41" w14:textId="0682522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2" w:history="1">
        <w:r w:rsidR="00545038" w:rsidRPr="00051984">
          <w:rPr>
            <w:rStyle w:val="Hyperlink"/>
            <w:noProof/>
          </w:rPr>
          <w:t>Figure 51</w:t>
        </w:r>
        <w:r w:rsidR="00545038" w:rsidRPr="00051984">
          <w:rPr>
            <w:rStyle w:val="Hyperlink"/>
            <w:noProof/>
            <w:lang w:val="en-GB"/>
          </w:rPr>
          <w:t>: Net growth in retail higher-speed fixed broadband subscriptions in each year (2018-2022)</w:t>
        </w:r>
        <w:r w:rsidR="00545038">
          <w:rPr>
            <w:noProof/>
            <w:webHidden/>
          </w:rPr>
          <w:tab/>
        </w:r>
        <w:r w:rsidR="00545038">
          <w:rPr>
            <w:noProof/>
            <w:webHidden/>
          </w:rPr>
          <w:fldChar w:fldCharType="begin"/>
        </w:r>
        <w:r w:rsidR="00545038">
          <w:rPr>
            <w:noProof/>
            <w:webHidden/>
          </w:rPr>
          <w:instrText xml:space="preserve"> PAGEREF _Toc152931402 \h </w:instrText>
        </w:r>
        <w:r w:rsidR="00545038">
          <w:rPr>
            <w:noProof/>
            <w:webHidden/>
          </w:rPr>
        </w:r>
        <w:r w:rsidR="00545038">
          <w:rPr>
            <w:noProof/>
            <w:webHidden/>
          </w:rPr>
          <w:fldChar w:fldCharType="separate"/>
        </w:r>
        <w:r w:rsidR="00545038">
          <w:rPr>
            <w:noProof/>
            <w:webHidden/>
          </w:rPr>
          <w:t>112</w:t>
        </w:r>
        <w:r w:rsidR="00545038">
          <w:rPr>
            <w:noProof/>
            <w:webHidden/>
          </w:rPr>
          <w:fldChar w:fldCharType="end"/>
        </w:r>
      </w:hyperlink>
    </w:p>
    <w:p w14:paraId="03683F6A" w14:textId="6F523076"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3" w:history="1">
        <w:r w:rsidR="00545038" w:rsidRPr="00051984">
          <w:rPr>
            <w:rStyle w:val="Hyperlink"/>
            <w:noProof/>
          </w:rPr>
          <w:t>Figure 52</w:t>
        </w:r>
        <w:r w:rsidR="00545038" w:rsidRPr="00051984">
          <w:rPr>
            <w:rStyle w:val="Hyperlink"/>
            <w:noProof/>
            <w:lang w:val="en-GB"/>
          </w:rPr>
          <w:t>: Coverage of FTTx access networks by operator (national premises passed 2022)</w:t>
        </w:r>
        <w:r w:rsidR="00545038">
          <w:rPr>
            <w:noProof/>
            <w:webHidden/>
          </w:rPr>
          <w:tab/>
        </w:r>
        <w:r w:rsidR="00545038">
          <w:rPr>
            <w:noProof/>
            <w:webHidden/>
          </w:rPr>
          <w:fldChar w:fldCharType="begin"/>
        </w:r>
        <w:r w:rsidR="00545038">
          <w:rPr>
            <w:noProof/>
            <w:webHidden/>
          </w:rPr>
          <w:instrText xml:space="preserve"> PAGEREF _Toc152931403 \h </w:instrText>
        </w:r>
        <w:r w:rsidR="00545038">
          <w:rPr>
            <w:noProof/>
            <w:webHidden/>
          </w:rPr>
        </w:r>
        <w:r w:rsidR="00545038">
          <w:rPr>
            <w:noProof/>
            <w:webHidden/>
          </w:rPr>
          <w:fldChar w:fldCharType="separate"/>
        </w:r>
        <w:r w:rsidR="00545038">
          <w:rPr>
            <w:noProof/>
            <w:webHidden/>
          </w:rPr>
          <w:t>114</w:t>
        </w:r>
        <w:r w:rsidR="00545038">
          <w:rPr>
            <w:noProof/>
            <w:webHidden/>
          </w:rPr>
          <w:fldChar w:fldCharType="end"/>
        </w:r>
      </w:hyperlink>
    </w:p>
    <w:p w14:paraId="51556CD8" w14:textId="01F4B337"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4" w:history="1">
        <w:r w:rsidR="00545038" w:rsidRPr="00051984">
          <w:rPr>
            <w:rStyle w:val="Hyperlink"/>
            <w:noProof/>
          </w:rPr>
          <w:t>Figure 53</w:t>
        </w:r>
        <w:r w:rsidR="00545038" w:rsidRPr="00051984">
          <w:rPr>
            <w:rStyle w:val="Hyperlink"/>
            <w:noProof/>
            <w:lang w:val="en-GB"/>
          </w:rPr>
          <w:t>: FTTx network coverage and subscribers (2022)</w:t>
        </w:r>
        <w:r w:rsidR="00545038">
          <w:rPr>
            <w:noProof/>
            <w:webHidden/>
          </w:rPr>
          <w:tab/>
        </w:r>
        <w:r w:rsidR="00545038">
          <w:rPr>
            <w:noProof/>
            <w:webHidden/>
          </w:rPr>
          <w:fldChar w:fldCharType="begin"/>
        </w:r>
        <w:r w:rsidR="00545038">
          <w:rPr>
            <w:noProof/>
            <w:webHidden/>
          </w:rPr>
          <w:instrText xml:space="preserve"> PAGEREF _Toc152931404 \h </w:instrText>
        </w:r>
        <w:r w:rsidR="00545038">
          <w:rPr>
            <w:noProof/>
            <w:webHidden/>
          </w:rPr>
        </w:r>
        <w:r w:rsidR="00545038">
          <w:rPr>
            <w:noProof/>
            <w:webHidden/>
          </w:rPr>
          <w:fldChar w:fldCharType="separate"/>
        </w:r>
        <w:r w:rsidR="00545038">
          <w:rPr>
            <w:noProof/>
            <w:webHidden/>
          </w:rPr>
          <w:t>115</w:t>
        </w:r>
        <w:r w:rsidR="00545038">
          <w:rPr>
            <w:noProof/>
            <w:webHidden/>
          </w:rPr>
          <w:fldChar w:fldCharType="end"/>
        </w:r>
      </w:hyperlink>
    </w:p>
    <w:p w14:paraId="553D822B" w14:textId="1D664D4B"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5" w:history="1">
        <w:r w:rsidR="00545038" w:rsidRPr="00051984">
          <w:rPr>
            <w:rStyle w:val="Hyperlink"/>
            <w:noProof/>
          </w:rPr>
          <w:t>Figure 54</w:t>
        </w:r>
        <w:r w:rsidR="00545038" w:rsidRPr="00051984">
          <w:rPr>
            <w:rStyle w:val="Hyperlink"/>
            <w:noProof/>
            <w:lang w:val="en-GB"/>
          </w:rPr>
          <w:t>: Key financial resource indicators 2019-202</w:t>
        </w:r>
        <w:r w:rsidR="00C839B0">
          <w:rPr>
            <w:rStyle w:val="Hyperlink"/>
            <w:noProof/>
            <w:lang w:val="en-GB"/>
          </w:rPr>
          <w:t>2</w:t>
        </w:r>
        <w:r w:rsidR="00545038" w:rsidRPr="00051984">
          <w:rPr>
            <w:rStyle w:val="Hyperlink"/>
            <w:noProof/>
            <w:lang w:val="en-GB"/>
          </w:rPr>
          <w:t xml:space="preserve"> (GEL millions)</w:t>
        </w:r>
        <w:r w:rsidR="00545038">
          <w:rPr>
            <w:noProof/>
            <w:webHidden/>
          </w:rPr>
          <w:tab/>
        </w:r>
        <w:r w:rsidR="00545038">
          <w:rPr>
            <w:noProof/>
            <w:webHidden/>
          </w:rPr>
          <w:fldChar w:fldCharType="begin"/>
        </w:r>
        <w:r w:rsidR="00545038">
          <w:rPr>
            <w:noProof/>
            <w:webHidden/>
          </w:rPr>
          <w:instrText xml:space="preserve"> PAGEREF _Toc152931405 \h </w:instrText>
        </w:r>
        <w:r w:rsidR="00545038">
          <w:rPr>
            <w:noProof/>
            <w:webHidden/>
          </w:rPr>
        </w:r>
        <w:r w:rsidR="00545038">
          <w:rPr>
            <w:noProof/>
            <w:webHidden/>
          </w:rPr>
          <w:fldChar w:fldCharType="separate"/>
        </w:r>
        <w:r w:rsidR="00545038">
          <w:rPr>
            <w:noProof/>
            <w:webHidden/>
          </w:rPr>
          <w:t>119</w:t>
        </w:r>
        <w:r w:rsidR="00545038">
          <w:rPr>
            <w:noProof/>
            <w:webHidden/>
          </w:rPr>
          <w:fldChar w:fldCharType="end"/>
        </w:r>
      </w:hyperlink>
    </w:p>
    <w:p w14:paraId="33B79472" w14:textId="17CFD05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6" w:history="1">
        <w:r w:rsidR="00545038" w:rsidRPr="00051984">
          <w:rPr>
            <w:rStyle w:val="Hyperlink"/>
            <w:noProof/>
          </w:rPr>
          <w:t>Figure 55</w:t>
        </w:r>
        <w:r w:rsidR="00545038" w:rsidRPr="00051984">
          <w:rPr>
            <w:rStyle w:val="Hyperlink"/>
            <w:noProof/>
            <w:lang w:val="en-GB"/>
          </w:rPr>
          <w:t>: Key financial resource indicators 2020-2021</w:t>
        </w:r>
        <w:r w:rsidR="00545038">
          <w:rPr>
            <w:noProof/>
            <w:webHidden/>
          </w:rPr>
          <w:tab/>
        </w:r>
        <w:r w:rsidR="00545038">
          <w:rPr>
            <w:noProof/>
            <w:webHidden/>
          </w:rPr>
          <w:fldChar w:fldCharType="begin"/>
        </w:r>
        <w:r w:rsidR="00545038">
          <w:rPr>
            <w:noProof/>
            <w:webHidden/>
          </w:rPr>
          <w:instrText xml:space="preserve"> PAGEREF _Toc152931406 \h </w:instrText>
        </w:r>
        <w:r w:rsidR="00545038">
          <w:rPr>
            <w:noProof/>
            <w:webHidden/>
          </w:rPr>
        </w:r>
        <w:r w:rsidR="00545038">
          <w:rPr>
            <w:noProof/>
            <w:webHidden/>
          </w:rPr>
          <w:fldChar w:fldCharType="separate"/>
        </w:r>
        <w:r w:rsidR="00545038">
          <w:rPr>
            <w:noProof/>
            <w:webHidden/>
          </w:rPr>
          <w:t>120</w:t>
        </w:r>
        <w:r w:rsidR="00545038">
          <w:rPr>
            <w:noProof/>
            <w:webHidden/>
          </w:rPr>
          <w:fldChar w:fldCharType="end"/>
        </w:r>
      </w:hyperlink>
    </w:p>
    <w:p w14:paraId="24C6B7AD" w14:textId="27061136"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7" w:history="1">
        <w:r w:rsidR="00545038" w:rsidRPr="00051984">
          <w:rPr>
            <w:rStyle w:val="Hyperlink"/>
            <w:noProof/>
          </w:rPr>
          <w:t>Figure 56</w:t>
        </w:r>
        <w:r w:rsidR="00545038" w:rsidRPr="00051984">
          <w:rPr>
            <w:rStyle w:val="Hyperlink"/>
            <w:noProof/>
            <w:lang w:val="en-GB"/>
          </w:rPr>
          <w:t>: Retail market shares based on number of subscriptions (2022)</w:t>
        </w:r>
        <w:r w:rsidR="00545038">
          <w:rPr>
            <w:noProof/>
            <w:webHidden/>
          </w:rPr>
          <w:tab/>
        </w:r>
        <w:r w:rsidR="00545038">
          <w:rPr>
            <w:noProof/>
            <w:webHidden/>
          </w:rPr>
          <w:fldChar w:fldCharType="begin"/>
        </w:r>
        <w:r w:rsidR="00545038">
          <w:rPr>
            <w:noProof/>
            <w:webHidden/>
          </w:rPr>
          <w:instrText xml:space="preserve"> PAGEREF _Toc152931407 \h </w:instrText>
        </w:r>
        <w:r w:rsidR="00545038">
          <w:rPr>
            <w:noProof/>
            <w:webHidden/>
          </w:rPr>
        </w:r>
        <w:r w:rsidR="00545038">
          <w:rPr>
            <w:noProof/>
            <w:webHidden/>
          </w:rPr>
          <w:fldChar w:fldCharType="separate"/>
        </w:r>
        <w:r w:rsidR="00545038">
          <w:rPr>
            <w:noProof/>
            <w:webHidden/>
          </w:rPr>
          <w:t>121</w:t>
        </w:r>
        <w:r w:rsidR="00545038">
          <w:rPr>
            <w:noProof/>
            <w:webHidden/>
          </w:rPr>
          <w:fldChar w:fldCharType="end"/>
        </w:r>
      </w:hyperlink>
    </w:p>
    <w:p w14:paraId="76812EA7" w14:textId="1432A810"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8" w:history="1">
        <w:r w:rsidR="00545038" w:rsidRPr="00051984">
          <w:rPr>
            <w:rStyle w:val="Hyperlink"/>
            <w:noProof/>
            <w:lang w:val="en-GB"/>
          </w:rPr>
          <w:t>Figure 57: Assessment of settlements where Magticom is not present, but other operators are</w:t>
        </w:r>
        <w:r w:rsidR="00545038">
          <w:rPr>
            <w:noProof/>
            <w:webHidden/>
          </w:rPr>
          <w:tab/>
        </w:r>
        <w:r w:rsidR="00545038">
          <w:rPr>
            <w:noProof/>
            <w:webHidden/>
          </w:rPr>
          <w:fldChar w:fldCharType="begin"/>
        </w:r>
        <w:r w:rsidR="00545038">
          <w:rPr>
            <w:noProof/>
            <w:webHidden/>
          </w:rPr>
          <w:instrText xml:space="preserve"> PAGEREF _Toc152931408 \h </w:instrText>
        </w:r>
        <w:r w:rsidR="00545038">
          <w:rPr>
            <w:noProof/>
            <w:webHidden/>
          </w:rPr>
        </w:r>
        <w:r w:rsidR="00545038">
          <w:rPr>
            <w:noProof/>
            <w:webHidden/>
          </w:rPr>
          <w:fldChar w:fldCharType="separate"/>
        </w:r>
        <w:r w:rsidR="00545038">
          <w:rPr>
            <w:noProof/>
            <w:webHidden/>
          </w:rPr>
          <w:t>135</w:t>
        </w:r>
        <w:r w:rsidR="00545038">
          <w:rPr>
            <w:noProof/>
            <w:webHidden/>
          </w:rPr>
          <w:fldChar w:fldCharType="end"/>
        </w:r>
      </w:hyperlink>
    </w:p>
    <w:p w14:paraId="54E7AF75" w14:textId="29AAD694"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09" w:history="1">
        <w:r w:rsidR="00545038" w:rsidRPr="00051984">
          <w:rPr>
            <w:rStyle w:val="Hyperlink"/>
            <w:noProof/>
            <w:lang w:val="en-GB"/>
          </w:rPr>
          <w:t>Figure 58: Summary of settlements with less than three FTTx network operators present</w:t>
        </w:r>
        <w:r w:rsidR="00545038">
          <w:rPr>
            <w:noProof/>
            <w:webHidden/>
          </w:rPr>
          <w:tab/>
        </w:r>
        <w:r w:rsidR="00545038">
          <w:rPr>
            <w:noProof/>
            <w:webHidden/>
          </w:rPr>
          <w:fldChar w:fldCharType="begin"/>
        </w:r>
        <w:r w:rsidR="00545038">
          <w:rPr>
            <w:noProof/>
            <w:webHidden/>
          </w:rPr>
          <w:instrText xml:space="preserve"> PAGEREF _Toc152931409 \h </w:instrText>
        </w:r>
        <w:r w:rsidR="00545038">
          <w:rPr>
            <w:noProof/>
            <w:webHidden/>
          </w:rPr>
        </w:r>
        <w:r w:rsidR="00545038">
          <w:rPr>
            <w:noProof/>
            <w:webHidden/>
          </w:rPr>
          <w:fldChar w:fldCharType="separate"/>
        </w:r>
        <w:r w:rsidR="00545038">
          <w:rPr>
            <w:noProof/>
            <w:webHidden/>
          </w:rPr>
          <w:t>140</w:t>
        </w:r>
        <w:r w:rsidR="00545038">
          <w:rPr>
            <w:noProof/>
            <w:webHidden/>
          </w:rPr>
          <w:fldChar w:fldCharType="end"/>
        </w:r>
      </w:hyperlink>
    </w:p>
    <w:p w14:paraId="5742FFD5" w14:textId="6A230C7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0" w:history="1">
        <w:r w:rsidR="00545038" w:rsidRPr="00051984">
          <w:rPr>
            <w:rStyle w:val="Hyperlink"/>
            <w:noProof/>
            <w:lang w:val="en-GB"/>
          </w:rPr>
          <w:t>Figure 59: Summary of settlements with three or more FTTx network operators present</w:t>
        </w:r>
        <w:r w:rsidR="00545038">
          <w:rPr>
            <w:noProof/>
            <w:webHidden/>
          </w:rPr>
          <w:tab/>
        </w:r>
        <w:r w:rsidR="00545038">
          <w:rPr>
            <w:noProof/>
            <w:webHidden/>
          </w:rPr>
          <w:fldChar w:fldCharType="begin"/>
        </w:r>
        <w:r w:rsidR="00545038">
          <w:rPr>
            <w:noProof/>
            <w:webHidden/>
          </w:rPr>
          <w:instrText xml:space="preserve"> PAGEREF _Toc152931410 \h </w:instrText>
        </w:r>
        <w:r w:rsidR="00545038">
          <w:rPr>
            <w:noProof/>
            <w:webHidden/>
          </w:rPr>
        </w:r>
        <w:r w:rsidR="00545038">
          <w:rPr>
            <w:noProof/>
            <w:webHidden/>
          </w:rPr>
          <w:fldChar w:fldCharType="separate"/>
        </w:r>
        <w:r w:rsidR="00545038">
          <w:rPr>
            <w:noProof/>
            <w:webHidden/>
          </w:rPr>
          <w:t>141</w:t>
        </w:r>
        <w:r w:rsidR="00545038">
          <w:rPr>
            <w:noProof/>
            <w:webHidden/>
          </w:rPr>
          <w:fldChar w:fldCharType="end"/>
        </w:r>
      </w:hyperlink>
    </w:p>
    <w:p w14:paraId="405D7089" w14:textId="76BE3CB2"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1" w:history="1">
        <w:r w:rsidR="00545038" w:rsidRPr="00051984">
          <w:rPr>
            <w:rStyle w:val="Hyperlink"/>
            <w:noProof/>
            <w:lang w:val="en-GB"/>
          </w:rPr>
          <w:t>Figure 60: Summary of settlements where Magticom’s share of FTTx broadband access users FTTx is less than 40%</w:t>
        </w:r>
        <w:r w:rsidR="00545038">
          <w:rPr>
            <w:noProof/>
            <w:webHidden/>
          </w:rPr>
          <w:tab/>
        </w:r>
        <w:r w:rsidR="00545038">
          <w:rPr>
            <w:noProof/>
            <w:webHidden/>
          </w:rPr>
          <w:fldChar w:fldCharType="begin"/>
        </w:r>
        <w:r w:rsidR="00545038">
          <w:rPr>
            <w:noProof/>
            <w:webHidden/>
          </w:rPr>
          <w:instrText xml:space="preserve"> PAGEREF _Toc152931411 \h </w:instrText>
        </w:r>
        <w:r w:rsidR="00545038">
          <w:rPr>
            <w:noProof/>
            <w:webHidden/>
          </w:rPr>
        </w:r>
        <w:r w:rsidR="00545038">
          <w:rPr>
            <w:noProof/>
            <w:webHidden/>
          </w:rPr>
          <w:fldChar w:fldCharType="separate"/>
        </w:r>
        <w:r w:rsidR="00545038">
          <w:rPr>
            <w:noProof/>
            <w:webHidden/>
          </w:rPr>
          <w:t>142</w:t>
        </w:r>
        <w:r w:rsidR="00545038">
          <w:rPr>
            <w:noProof/>
            <w:webHidden/>
          </w:rPr>
          <w:fldChar w:fldCharType="end"/>
        </w:r>
      </w:hyperlink>
    </w:p>
    <w:p w14:paraId="5BB30FA9" w14:textId="114CFB0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2" w:history="1">
        <w:r w:rsidR="00545038" w:rsidRPr="00051984">
          <w:rPr>
            <w:rStyle w:val="Hyperlink"/>
            <w:noProof/>
            <w:lang w:val="en-GB"/>
          </w:rPr>
          <w:t>Figure 61: Summary of settlements with at least two other FTTx network operators present and both with a share of FTTx broadband FTTxof 10% or more</w:t>
        </w:r>
        <w:r w:rsidR="00545038">
          <w:rPr>
            <w:noProof/>
            <w:webHidden/>
          </w:rPr>
          <w:tab/>
        </w:r>
        <w:r w:rsidR="00545038">
          <w:rPr>
            <w:noProof/>
            <w:webHidden/>
          </w:rPr>
          <w:fldChar w:fldCharType="begin"/>
        </w:r>
        <w:r w:rsidR="00545038">
          <w:rPr>
            <w:noProof/>
            <w:webHidden/>
          </w:rPr>
          <w:instrText xml:space="preserve"> PAGEREF _Toc152931412 \h </w:instrText>
        </w:r>
        <w:r w:rsidR="00545038">
          <w:rPr>
            <w:noProof/>
            <w:webHidden/>
          </w:rPr>
        </w:r>
        <w:r w:rsidR="00545038">
          <w:rPr>
            <w:noProof/>
            <w:webHidden/>
          </w:rPr>
          <w:fldChar w:fldCharType="separate"/>
        </w:r>
        <w:r w:rsidR="00545038">
          <w:rPr>
            <w:noProof/>
            <w:webHidden/>
          </w:rPr>
          <w:t>143</w:t>
        </w:r>
        <w:r w:rsidR="00545038">
          <w:rPr>
            <w:noProof/>
            <w:webHidden/>
          </w:rPr>
          <w:fldChar w:fldCharType="end"/>
        </w:r>
      </w:hyperlink>
    </w:p>
    <w:p w14:paraId="7F6CA2B4" w14:textId="4531A460"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3" w:history="1">
        <w:r w:rsidR="00545038" w:rsidRPr="00051984">
          <w:rPr>
            <w:rStyle w:val="Hyperlink"/>
            <w:noProof/>
            <w:lang w:val="en-GB"/>
          </w:rPr>
          <w:t>Figure 62: Flow chart for the geographic segmentation analysis</w:t>
        </w:r>
        <w:r w:rsidR="00545038">
          <w:rPr>
            <w:noProof/>
            <w:webHidden/>
          </w:rPr>
          <w:tab/>
        </w:r>
        <w:r w:rsidR="00545038">
          <w:rPr>
            <w:noProof/>
            <w:webHidden/>
          </w:rPr>
          <w:fldChar w:fldCharType="begin"/>
        </w:r>
        <w:r w:rsidR="00545038">
          <w:rPr>
            <w:noProof/>
            <w:webHidden/>
          </w:rPr>
          <w:instrText xml:space="preserve"> PAGEREF _Toc152931413 \h </w:instrText>
        </w:r>
        <w:r w:rsidR="00545038">
          <w:rPr>
            <w:noProof/>
            <w:webHidden/>
          </w:rPr>
        </w:r>
        <w:r w:rsidR="00545038">
          <w:rPr>
            <w:noProof/>
            <w:webHidden/>
          </w:rPr>
          <w:fldChar w:fldCharType="separate"/>
        </w:r>
        <w:r w:rsidR="00545038">
          <w:rPr>
            <w:noProof/>
            <w:webHidden/>
          </w:rPr>
          <w:t>143</w:t>
        </w:r>
        <w:r w:rsidR="00545038">
          <w:rPr>
            <w:noProof/>
            <w:webHidden/>
          </w:rPr>
          <w:fldChar w:fldCharType="end"/>
        </w:r>
      </w:hyperlink>
    </w:p>
    <w:p w14:paraId="05AACB34" w14:textId="32DC1C8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4" w:history="1">
        <w:r w:rsidR="00545038" w:rsidRPr="00051984">
          <w:rPr>
            <w:rStyle w:val="Hyperlink"/>
            <w:noProof/>
            <w:lang w:val="en-GB"/>
          </w:rPr>
          <w:t>Figure 63: Competition assessment summarised for settlement with three or more FTTx network operators</w:t>
        </w:r>
        <w:r w:rsidR="00545038">
          <w:rPr>
            <w:noProof/>
            <w:webHidden/>
          </w:rPr>
          <w:tab/>
        </w:r>
        <w:r w:rsidR="00545038">
          <w:rPr>
            <w:noProof/>
            <w:webHidden/>
          </w:rPr>
          <w:fldChar w:fldCharType="begin"/>
        </w:r>
        <w:r w:rsidR="00545038">
          <w:rPr>
            <w:noProof/>
            <w:webHidden/>
          </w:rPr>
          <w:instrText xml:space="preserve"> PAGEREF _Toc152931414 \h </w:instrText>
        </w:r>
        <w:r w:rsidR="00545038">
          <w:rPr>
            <w:noProof/>
            <w:webHidden/>
          </w:rPr>
        </w:r>
        <w:r w:rsidR="00545038">
          <w:rPr>
            <w:noProof/>
            <w:webHidden/>
          </w:rPr>
          <w:fldChar w:fldCharType="separate"/>
        </w:r>
        <w:r w:rsidR="00545038">
          <w:rPr>
            <w:noProof/>
            <w:webHidden/>
          </w:rPr>
          <w:t>145</w:t>
        </w:r>
        <w:r w:rsidR="00545038">
          <w:rPr>
            <w:noProof/>
            <w:webHidden/>
          </w:rPr>
          <w:fldChar w:fldCharType="end"/>
        </w:r>
      </w:hyperlink>
    </w:p>
    <w:p w14:paraId="04424E74" w14:textId="2FF26463"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5" w:history="1">
        <w:r w:rsidR="00545038" w:rsidRPr="00051984">
          <w:rPr>
            <w:rStyle w:val="Hyperlink"/>
            <w:noProof/>
            <w:lang w:val="en-GB"/>
          </w:rPr>
          <w:t>Figure 64: Competition in settlements with 5 FTTx network operators</w:t>
        </w:r>
        <w:r w:rsidR="00545038">
          <w:rPr>
            <w:noProof/>
            <w:webHidden/>
          </w:rPr>
          <w:tab/>
        </w:r>
        <w:r w:rsidR="00545038">
          <w:rPr>
            <w:noProof/>
            <w:webHidden/>
          </w:rPr>
          <w:fldChar w:fldCharType="begin"/>
        </w:r>
        <w:r w:rsidR="00545038">
          <w:rPr>
            <w:noProof/>
            <w:webHidden/>
          </w:rPr>
          <w:instrText xml:space="preserve"> PAGEREF _Toc152931415 \h </w:instrText>
        </w:r>
        <w:r w:rsidR="00545038">
          <w:rPr>
            <w:noProof/>
            <w:webHidden/>
          </w:rPr>
        </w:r>
        <w:r w:rsidR="00545038">
          <w:rPr>
            <w:noProof/>
            <w:webHidden/>
          </w:rPr>
          <w:fldChar w:fldCharType="separate"/>
        </w:r>
        <w:r w:rsidR="00545038">
          <w:rPr>
            <w:noProof/>
            <w:webHidden/>
          </w:rPr>
          <w:t>145</w:t>
        </w:r>
        <w:r w:rsidR="00545038">
          <w:rPr>
            <w:noProof/>
            <w:webHidden/>
          </w:rPr>
          <w:fldChar w:fldCharType="end"/>
        </w:r>
      </w:hyperlink>
    </w:p>
    <w:p w14:paraId="7EC87355" w14:textId="42F6165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6" w:history="1">
        <w:r w:rsidR="00545038" w:rsidRPr="00051984">
          <w:rPr>
            <w:rStyle w:val="Hyperlink"/>
            <w:noProof/>
            <w:lang w:val="en-GB"/>
          </w:rPr>
          <w:t>Figure 65: Competition in settlements with 4 FTTx network operators</w:t>
        </w:r>
        <w:r w:rsidR="00545038">
          <w:rPr>
            <w:noProof/>
            <w:webHidden/>
          </w:rPr>
          <w:tab/>
        </w:r>
        <w:r w:rsidR="00545038">
          <w:rPr>
            <w:noProof/>
            <w:webHidden/>
          </w:rPr>
          <w:fldChar w:fldCharType="begin"/>
        </w:r>
        <w:r w:rsidR="00545038">
          <w:rPr>
            <w:noProof/>
            <w:webHidden/>
          </w:rPr>
          <w:instrText xml:space="preserve"> PAGEREF _Toc152931416 \h </w:instrText>
        </w:r>
        <w:r w:rsidR="00545038">
          <w:rPr>
            <w:noProof/>
            <w:webHidden/>
          </w:rPr>
        </w:r>
        <w:r w:rsidR="00545038">
          <w:rPr>
            <w:noProof/>
            <w:webHidden/>
          </w:rPr>
          <w:fldChar w:fldCharType="separate"/>
        </w:r>
        <w:r w:rsidR="00545038">
          <w:rPr>
            <w:noProof/>
            <w:webHidden/>
          </w:rPr>
          <w:t>145</w:t>
        </w:r>
        <w:r w:rsidR="00545038">
          <w:rPr>
            <w:noProof/>
            <w:webHidden/>
          </w:rPr>
          <w:fldChar w:fldCharType="end"/>
        </w:r>
      </w:hyperlink>
    </w:p>
    <w:p w14:paraId="6AFD70BF" w14:textId="5BF86F4E"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7" w:history="1">
        <w:r w:rsidR="00545038" w:rsidRPr="00051984">
          <w:rPr>
            <w:rStyle w:val="Hyperlink"/>
            <w:noProof/>
            <w:lang w:val="en-GB"/>
          </w:rPr>
          <w:t>Figure 66: Competition in settlements with 3 FTTx network operators</w:t>
        </w:r>
        <w:r w:rsidR="00545038">
          <w:rPr>
            <w:noProof/>
            <w:webHidden/>
          </w:rPr>
          <w:tab/>
        </w:r>
        <w:r w:rsidR="00545038">
          <w:rPr>
            <w:noProof/>
            <w:webHidden/>
          </w:rPr>
          <w:fldChar w:fldCharType="begin"/>
        </w:r>
        <w:r w:rsidR="00545038">
          <w:rPr>
            <w:noProof/>
            <w:webHidden/>
          </w:rPr>
          <w:instrText xml:space="preserve"> PAGEREF _Toc152931417 \h </w:instrText>
        </w:r>
        <w:r w:rsidR="00545038">
          <w:rPr>
            <w:noProof/>
            <w:webHidden/>
          </w:rPr>
        </w:r>
        <w:r w:rsidR="00545038">
          <w:rPr>
            <w:noProof/>
            <w:webHidden/>
          </w:rPr>
          <w:fldChar w:fldCharType="separate"/>
        </w:r>
        <w:r w:rsidR="00545038">
          <w:rPr>
            <w:noProof/>
            <w:webHidden/>
          </w:rPr>
          <w:t>146</w:t>
        </w:r>
        <w:r w:rsidR="00545038">
          <w:rPr>
            <w:noProof/>
            <w:webHidden/>
          </w:rPr>
          <w:fldChar w:fldCharType="end"/>
        </w:r>
      </w:hyperlink>
    </w:p>
    <w:p w14:paraId="17DB4CBF" w14:textId="6E9007C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8" w:history="1">
        <w:r w:rsidR="00545038" w:rsidRPr="00051984">
          <w:rPr>
            <w:rStyle w:val="Hyperlink"/>
            <w:noProof/>
            <w:lang w:val="en-GB"/>
          </w:rPr>
          <w:t>Figure 67: Competition in settlements with more than 100,000 inhabitants</w:t>
        </w:r>
        <w:r w:rsidR="00545038">
          <w:rPr>
            <w:noProof/>
            <w:webHidden/>
          </w:rPr>
          <w:tab/>
        </w:r>
        <w:r w:rsidR="00545038">
          <w:rPr>
            <w:noProof/>
            <w:webHidden/>
          </w:rPr>
          <w:fldChar w:fldCharType="begin"/>
        </w:r>
        <w:r w:rsidR="00545038">
          <w:rPr>
            <w:noProof/>
            <w:webHidden/>
          </w:rPr>
          <w:instrText xml:space="preserve"> PAGEREF _Toc152931418 \h </w:instrText>
        </w:r>
        <w:r w:rsidR="00545038">
          <w:rPr>
            <w:noProof/>
            <w:webHidden/>
          </w:rPr>
        </w:r>
        <w:r w:rsidR="00545038">
          <w:rPr>
            <w:noProof/>
            <w:webHidden/>
          </w:rPr>
          <w:fldChar w:fldCharType="separate"/>
        </w:r>
        <w:r w:rsidR="00545038">
          <w:rPr>
            <w:noProof/>
            <w:webHidden/>
          </w:rPr>
          <w:t>147</w:t>
        </w:r>
        <w:r w:rsidR="00545038">
          <w:rPr>
            <w:noProof/>
            <w:webHidden/>
          </w:rPr>
          <w:fldChar w:fldCharType="end"/>
        </w:r>
      </w:hyperlink>
    </w:p>
    <w:p w14:paraId="531BEA84" w14:textId="25504351"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19" w:history="1">
        <w:r w:rsidR="00545038" w:rsidRPr="00051984">
          <w:rPr>
            <w:rStyle w:val="Hyperlink"/>
            <w:noProof/>
            <w:lang w:val="en-GB"/>
          </w:rPr>
          <w:t>Figure 68:Data for identifying if settlements tend to contestability</w:t>
        </w:r>
        <w:r w:rsidR="00545038">
          <w:rPr>
            <w:noProof/>
            <w:webHidden/>
          </w:rPr>
          <w:tab/>
        </w:r>
        <w:r w:rsidR="00545038">
          <w:rPr>
            <w:noProof/>
            <w:webHidden/>
          </w:rPr>
          <w:fldChar w:fldCharType="begin"/>
        </w:r>
        <w:r w:rsidR="00545038">
          <w:rPr>
            <w:noProof/>
            <w:webHidden/>
          </w:rPr>
          <w:instrText xml:space="preserve"> PAGEREF _Toc152931419 \h </w:instrText>
        </w:r>
        <w:r w:rsidR="00545038">
          <w:rPr>
            <w:noProof/>
            <w:webHidden/>
          </w:rPr>
        </w:r>
        <w:r w:rsidR="00545038">
          <w:rPr>
            <w:noProof/>
            <w:webHidden/>
          </w:rPr>
          <w:fldChar w:fldCharType="separate"/>
        </w:r>
        <w:r w:rsidR="00545038">
          <w:rPr>
            <w:noProof/>
            <w:webHidden/>
          </w:rPr>
          <w:t>148</w:t>
        </w:r>
        <w:r w:rsidR="00545038">
          <w:rPr>
            <w:noProof/>
            <w:webHidden/>
          </w:rPr>
          <w:fldChar w:fldCharType="end"/>
        </w:r>
      </w:hyperlink>
    </w:p>
    <w:p w14:paraId="7100AD75" w14:textId="28D1530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0" w:history="1">
        <w:r w:rsidR="00545038" w:rsidRPr="00051984">
          <w:rPr>
            <w:rStyle w:val="Hyperlink"/>
            <w:noProof/>
            <w:lang w:val="en-GB"/>
          </w:rPr>
          <w:t>Figure 69: FTTx Premises passed</w:t>
        </w:r>
        <w:r w:rsidR="00545038">
          <w:rPr>
            <w:noProof/>
            <w:webHidden/>
          </w:rPr>
          <w:tab/>
        </w:r>
        <w:r w:rsidR="00545038">
          <w:rPr>
            <w:noProof/>
            <w:webHidden/>
          </w:rPr>
          <w:fldChar w:fldCharType="begin"/>
        </w:r>
        <w:r w:rsidR="00545038">
          <w:rPr>
            <w:noProof/>
            <w:webHidden/>
          </w:rPr>
          <w:instrText xml:space="preserve"> PAGEREF _Toc152931420 \h </w:instrText>
        </w:r>
        <w:r w:rsidR="00545038">
          <w:rPr>
            <w:noProof/>
            <w:webHidden/>
          </w:rPr>
        </w:r>
        <w:r w:rsidR="00545038">
          <w:rPr>
            <w:noProof/>
            <w:webHidden/>
          </w:rPr>
          <w:fldChar w:fldCharType="separate"/>
        </w:r>
        <w:r w:rsidR="00545038">
          <w:rPr>
            <w:noProof/>
            <w:webHidden/>
          </w:rPr>
          <w:t>149</w:t>
        </w:r>
        <w:r w:rsidR="00545038">
          <w:rPr>
            <w:noProof/>
            <w:webHidden/>
          </w:rPr>
          <w:fldChar w:fldCharType="end"/>
        </w:r>
      </w:hyperlink>
    </w:p>
    <w:p w14:paraId="420B43BC" w14:textId="24153FBD"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1" w:history="1">
        <w:r w:rsidR="00545038" w:rsidRPr="00051984">
          <w:rPr>
            <w:rStyle w:val="Hyperlink"/>
            <w:noProof/>
            <w:lang w:val="en-GB"/>
          </w:rPr>
          <w:t>Figure 70: Premises passed: Silknet more than 80%, other operators more than 20%</w:t>
        </w:r>
        <w:r w:rsidR="00545038">
          <w:rPr>
            <w:noProof/>
            <w:webHidden/>
          </w:rPr>
          <w:tab/>
        </w:r>
        <w:r w:rsidR="00545038">
          <w:rPr>
            <w:noProof/>
            <w:webHidden/>
          </w:rPr>
          <w:fldChar w:fldCharType="begin"/>
        </w:r>
        <w:r w:rsidR="00545038">
          <w:rPr>
            <w:noProof/>
            <w:webHidden/>
          </w:rPr>
          <w:instrText xml:space="preserve"> PAGEREF _Toc152931421 \h </w:instrText>
        </w:r>
        <w:r w:rsidR="00545038">
          <w:rPr>
            <w:noProof/>
            <w:webHidden/>
          </w:rPr>
        </w:r>
        <w:r w:rsidR="00545038">
          <w:rPr>
            <w:noProof/>
            <w:webHidden/>
          </w:rPr>
          <w:fldChar w:fldCharType="separate"/>
        </w:r>
        <w:r w:rsidR="00545038">
          <w:rPr>
            <w:noProof/>
            <w:webHidden/>
          </w:rPr>
          <w:t>150</w:t>
        </w:r>
        <w:r w:rsidR="00545038">
          <w:rPr>
            <w:noProof/>
            <w:webHidden/>
          </w:rPr>
          <w:fldChar w:fldCharType="end"/>
        </w:r>
      </w:hyperlink>
    </w:p>
    <w:p w14:paraId="4532623B" w14:textId="625613C8"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2" w:history="1">
        <w:r w:rsidR="00545038" w:rsidRPr="00051984">
          <w:rPr>
            <w:rStyle w:val="Hyperlink"/>
            <w:noProof/>
            <w:lang w:val="en-GB"/>
          </w:rPr>
          <w:t>Figure 71: Summary of competition assessment by settlements</w:t>
        </w:r>
        <w:r w:rsidR="00545038">
          <w:rPr>
            <w:noProof/>
            <w:webHidden/>
          </w:rPr>
          <w:tab/>
        </w:r>
        <w:r w:rsidR="00545038">
          <w:rPr>
            <w:noProof/>
            <w:webHidden/>
          </w:rPr>
          <w:fldChar w:fldCharType="begin"/>
        </w:r>
        <w:r w:rsidR="00545038">
          <w:rPr>
            <w:noProof/>
            <w:webHidden/>
          </w:rPr>
          <w:instrText xml:space="preserve"> PAGEREF _Toc152931422 \h </w:instrText>
        </w:r>
        <w:r w:rsidR="00545038">
          <w:rPr>
            <w:noProof/>
            <w:webHidden/>
          </w:rPr>
        </w:r>
        <w:r w:rsidR="00545038">
          <w:rPr>
            <w:noProof/>
            <w:webHidden/>
          </w:rPr>
          <w:fldChar w:fldCharType="separate"/>
        </w:r>
        <w:r w:rsidR="00545038">
          <w:rPr>
            <w:noProof/>
            <w:webHidden/>
          </w:rPr>
          <w:t>151</w:t>
        </w:r>
        <w:r w:rsidR="00545038">
          <w:rPr>
            <w:noProof/>
            <w:webHidden/>
          </w:rPr>
          <w:fldChar w:fldCharType="end"/>
        </w:r>
      </w:hyperlink>
    </w:p>
    <w:p w14:paraId="38EF5098" w14:textId="4A63E8EF"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3" w:history="1">
        <w:r w:rsidR="00545038" w:rsidRPr="00051984">
          <w:rPr>
            <w:rStyle w:val="Hyperlink"/>
            <w:noProof/>
            <w:lang w:val="en-GB"/>
          </w:rPr>
          <w:t>Figure 72: List of contestable settlements (cluster III)</w:t>
        </w:r>
        <w:r w:rsidR="00545038">
          <w:rPr>
            <w:noProof/>
            <w:webHidden/>
          </w:rPr>
          <w:tab/>
        </w:r>
        <w:r w:rsidR="00545038">
          <w:rPr>
            <w:noProof/>
            <w:webHidden/>
          </w:rPr>
          <w:fldChar w:fldCharType="begin"/>
        </w:r>
        <w:r w:rsidR="00545038">
          <w:rPr>
            <w:noProof/>
            <w:webHidden/>
          </w:rPr>
          <w:instrText xml:space="preserve"> PAGEREF _Toc152931423 \h </w:instrText>
        </w:r>
        <w:r w:rsidR="00545038">
          <w:rPr>
            <w:noProof/>
            <w:webHidden/>
          </w:rPr>
        </w:r>
        <w:r w:rsidR="00545038">
          <w:rPr>
            <w:noProof/>
            <w:webHidden/>
          </w:rPr>
          <w:fldChar w:fldCharType="separate"/>
        </w:r>
        <w:r w:rsidR="00545038">
          <w:rPr>
            <w:noProof/>
            <w:webHidden/>
          </w:rPr>
          <w:t>151</w:t>
        </w:r>
        <w:r w:rsidR="00545038">
          <w:rPr>
            <w:noProof/>
            <w:webHidden/>
          </w:rPr>
          <w:fldChar w:fldCharType="end"/>
        </w:r>
      </w:hyperlink>
    </w:p>
    <w:p w14:paraId="4FF3A4EB" w14:textId="7CB63F1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4" w:history="1">
        <w:r w:rsidR="00545038" w:rsidRPr="00051984">
          <w:rPr>
            <w:rStyle w:val="Hyperlink"/>
            <w:noProof/>
            <w:lang w:val="en-GB"/>
          </w:rPr>
          <w:t>Figure 73: List of settlements which are contestable but too large</w:t>
        </w:r>
        <w:r w:rsidR="00545038">
          <w:rPr>
            <w:noProof/>
            <w:webHidden/>
          </w:rPr>
          <w:tab/>
        </w:r>
        <w:r w:rsidR="00545038">
          <w:rPr>
            <w:noProof/>
            <w:webHidden/>
          </w:rPr>
          <w:fldChar w:fldCharType="begin"/>
        </w:r>
        <w:r w:rsidR="00545038">
          <w:rPr>
            <w:noProof/>
            <w:webHidden/>
          </w:rPr>
          <w:instrText xml:space="preserve"> PAGEREF _Toc152931424 \h </w:instrText>
        </w:r>
        <w:r w:rsidR="00545038">
          <w:rPr>
            <w:noProof/>
            <w:webHidden/>
          </w:rPr>
        </w:r>
        <w:r w:rsidR="00545038">
          <w:rPr>
            <w:noProof/>
            <w:webHidden/>
          </w:rPr>
          <w:fldChar w:fldCharType="separate"/>
        </w:r>
        <w:r w:rsidR="00545038">
          <w:rPr>
            <w:noProof/>
            <w:webHidden/>
          </w:rPr>
          <w:t>151</w:t>
        </w:r>
        <w:r w:rsidR="00545038">
          <w:rPr>
            <w:noProof/>
            <w:webHidden/>
          </w:rPr>
          <w:fldChar w:fldCharType="end"/>
        </w:r>
      </w:hyperlink>
    </w:p>
    <w:p w14:paraId="510AB312" w14:textId="00070530"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5" w:history="1">
        <w:r w:rsidR="00545038" w:rsidRPr="00051984">
          <w:rPr>
            <w:rStyle w:val="Hyperlink"/>
            <w:noProof/>
            <w:lang w:val="en-GB"/>
          </w:rPr>
          <w:t>Figure 74: List of settlements which tend towards contestability</w:t>
        </w:r>
        <w:r w:rsidR="00545038">
          <w:rPr>
            <w:noProof/>
            <w:webHidden/>
          </w:rPr>
          <w:tab/>
        </w:r>
        <w:r w:rsidR="00545038">
          <w:rPr>
            <w:noProof/>
            <w:webHidden/>
          </w:rPr>
          <w:fldChar w:fldCharType="begin"/>
        </w:r>
        <w:r w:rsidR="00545038">
          <w:rPr>
            <w:noProof/>
            <w:webHidden/>
          </w:rPr>
          <w:instrText xml:space="preserve"> PAGEREF _Toc152931425 \h </w:instrText>
        </w:r>
        <w:r w:rsidR="00545038">
          <w:rPr>
            <w:noProof/>
            <w:webHidden/>
          </w:rPr>
        </w:r>
        <w:r w:rsidR="00545038">
          <w:rPr>
            <w:noProof/>
            <w:webHidden/>
          </w:rPr>
          <w:fldChar w:fldCharType="separate"/>
        </w:r>
        <w:r w:rsidR="00545038">
          <w:rPr>
            <w:noProof/>
            <w:webHidden/>
          </w:rPr>
          <w:t>152</w:t>
        </w:r>
        <w:r w:rsidR="00545038">
          <w:rPr>
            <w:noProof/>
            <w:webHidden/>
          </w:rPr>
          <w:fldChar w:fldCharType="end"/>
        </w:r>
      </w:hyperlink>
    </w:p>
    <w:p w14:paraId="2284A25E" w14:textId="7B73142E"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6" w:history="1">
        <w:r w:rsidR="00545038" w:rsidRPr="00051984">
          <w:rPr>
            <w:rStyle w:val="Hyperlink"/>
            <w:noProof/>
          </w:rPr>
          <w:t xml:space="preserve">Figure 75 </w:t>
        </w:r>
        <w:r w:rsidR="00545038" w:rsidRPr="00051984">
          <w:rPr>
            <w:rStyle w:val="Hyperlink"/>
            <w:noProof/>
            <w:lang w:val="en-GB"/>
          </w:rPr>
          <w:t>Geographic segmentation of remedies</w:t>
        </w:r>
        <w:r w:rsidR="00545038">
          <w:rPr>
            <w:noProof/>
            <w:webHidden/>
          </w:rPr>
          <w:tab/>
        </w:r>
        <w:r w:rsidR="00545038">
          <w:rPr>
            <w:noProof/>
            <w:webHidden/>
          </w:rPr>
          <w:fldChar w:fldCharType="begin"/>
        </w:r>
        <w:r w:rsidR="00545038">
          <w:rPr>
            <w:noProof/>
            <w:webHidden/>
          </w:rPr>
          <w:instrText xml:space="preserve"> PAGEREF _Toc152931426 \h </w:instrText>
        </w:r>
        <w:r w:rsidR="00545038">
          <w:rPr>
            <w:noProof/>
            <w:webHidden/>
          </w:rPr>
        </w:r>
        <w:r w:rsidR="00545038">
          <w:rPr>
            <w:noProof/>
            <w:webHidden/>
          </w:rPr>
          <w:fldChar w:fldCharType="separate"/>
        </w:r>
        <w:r w:rsidR="00545038">
          <w:rPr>
            <w:noProof/>
            <w:webHidden/>
          </w:rPr>
          <w:t>179</w:t>
        </w:r>
        <w:r w:rsidR="00545038">
          <w:rPr>
            <w:noProof/>
            <w:webHidden/>
          </w:rPr>
          <w:fldChar w:fldCharType="end"/>
        </w:r>
      </w:hyperlink>
    </w:p>
    <w:p w14:paraId="5555A80B" w14:textId="5C0798E9"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7" w:history="1">
        <w:r w:rsidR="00545038" w:rsidRPr="00051984">
          <w:rPr>
            <w:rStyle w:val="Hyperlink"/>
            <w:noProof/>
          </w:rPr>
          <w:t>Figure 76</w:t>
        </w:r>
        <w:r w:rsidR="00545038" w:rsidRPr="00051984">
          <w:rPr>
            <w:rStyle w:val="Hyperlink"/>
            <w:rFonts w:cs="Calibri"/>
            <w:noProof/>
            <w:lang w:eastAsia="fr-FR"/>
          </w:rPr>
          <w:t xml:space="preserve"> Competition concerns and remedies addressing them</w:t>
        </w:r>
        <w:r w:rsidR="00545038">
          <w:rPr>
            <w:noProof/>
            <w:webHidden/>
          </w:rPr>
          <w:tab/>
        </w:r>
        <w:r w:rsidR="00545038">
          <w:rPr>
            <w:noProof/>
            <w:webHidden/>
          </w:rPr>
          <w:fldChar w:fldCharType="begin"/>
        </w:r>
        <w:r w:rsidR="00545038">
          <w:rPr>
            <w:noProof/>
            <w:webHidden/>
          </w:rPr>
          <w:instrText xml:space="preserve"> PAGEREF _Toc152931427 \h </w:instrText>
        </w:r>
        <w:r w:rsidR="00545038">
          <w:rPr>
            <w:noProof/>
            <w:webHidden/>
          </w:rPr>
        </w:r>
        <w:r w:rsidR="00545038">
          <w:rPr>
            <w:noProof/>
            <w:webHidden/>
          </w:rPr>
          <w:fldChar w:fldCharType="separate"/>
        </w:r>
        <w:r w:rsidR="00545038">
          <w:rPr>
            <w:noProof/>
            <w:webHidden/>
          </w:rPr>
          <w:t>182</w:t>
        </w:r>
        <w:r w:rsidR="00545038">
          <w:rPr>
            <w:noProof/>
            <w:webHidden/>
          </w:rPr>
          <w:fldChar w:fldCharType="end"/>
        </w:r>
      </w:hyperlink>
    </w:p>
    <w:p w14:paraId="521C9B2A" w14:textId="1694ED68"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8" w:history="1">
        <w:r w:rsidR="00545038" w:rsidRPr="00051984">
          <w:rPr>
            <w:rStyle w:val="Hyperlink"/>
            <w:noProof/>
            <w:lang w:val="en-GB"/>
          </w:rPr>
          <w:t xml:space="preserve">Figure 77: Table of Magticom coverage and take-up (FTTx) </w:t>
        </w:r>
        <w:r w:rsidR="00545038">
          <w:rPr>
            <w:noProof/>
            <w:webHidden/>
          </w:rPr>
          <w:tab/>
        </w:r>
        <w:r w:rsidR="00545038">
          <w:rPr>
            <w:noProof/>
            <w:webHidden/>
          </w:rPr>
          <w:fldChar w:fldCharType="begin"/>
        </w:r>
        <w:r w:rsidR="00545038">
          <w:rPr>
            <w:noProof/>
            <w:webHidden/>
          </w:rPr>
          <w:instrText xml:space="preserve"> PAGEREF _Toc152931428 \h </w:instrText>
        </w:r>
        <w:r w:rsidR="00545038">
          <w:rPr>
            <w:noProof/>
            <w:webHidden/>
          </w:rPr>
        </w:r>
        <w:r w:rsidR="00545038">
          <w:rPr>
            <w:noProof/>
            <w:webHidden/>
          </w:rPr>
          <w:fldChar w:fldCharType="separate"/>
        </w:r>
        <w:r w:rsidR="00545038">
          <w:rPr>
            <w:noProof/>
            <w:webHidden/>
          </w:rPr>
          <w:t>184</w:t>
        </w:r>
        <w:r w:rsidR="00545038">
          <w:rPr>
            <w:noProof/>
            <w:webHidden/>
          </w:rPr>
          <w:fldChar w:fldCharType="end"/>
        </w:r>
      </w:hyperlink>
    </w:p>
    <w:p w14:paraId="2E798D0D" w14:textId="392CEB71"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29" w:history="1">
        <w:r w:rsidR="00545038" w:rsidRPr="00051984">
          <w:rPr>
            <w:rStyle w:val="Hyperlink"/>
            <w:noProof/>
            <w:lang w:val="en-GB"/>
          </w:rPr>
          <w:t>Figure 78: Coverage and take-up map of Magticom (FTTx)</w:t>
        </w:r>
        <w:r w:rsidR="00545038">
          <w:rPr>
            <w:noProof/>
            <w:webHidden/>
          </w:rPr>
          <w:tab/>
        </w:r>
        <w:r w:rsidR="00545038">
          <w:rPr>
            <w:noProof/>
            <w:webHidden/>
          </w:rPr>
          <w:fldChar w:fldCharType="begin"/>
        </w:r>
        <w:r w:rsidR="00545038">
          <w:rPr>
            <w:noProof/>
            <w:webHidden/>
          </w:rPr>
          <w:instrText xml:space="preserve"> PAGEREF _Toc152931429 \h </w:instrText>
        </w:r>
        <w:r w:rsidR="00545038">
          <w:rPr>
            <w:noProof/>
            <w:webHidden/>
          </w:rPr>
        </w:r>
        <w:r w:rsidR="00545038">
          <w:rPr>
            <w:noProof/>
            <w:webHidden/>
          </w:rPr>
          <w:fldChar w:fldCharType="separate"/>
        </w:r>
        <w:r w:rsidR="00545038">
          <w:rPr>
            <w:noProof/>
            <w:webHidden/>
          </w:rPr>
          <w:t>185</w:t>
        </w:r>
        <w:r w:rsidR="00545038">
          <w:rPr>
            <w:noProof/>
            <w:webHidden/>
          </w:rPr>
          <w:fldChar w:fldCharType="end"/>
        </w:r>
      </w:hyperlink>
    </w:p>
    <w:p w14:paraId="0824E9B1" w14:textId="26B7378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0" w:history="1">
        <w:r w:rsidR="00545038" w:rsidRPr="00051984">
          <w:rPr>
            <w:rStyle w:val="Hyperlink"/>
            <w:noProof/>
            <w:lang w:val="en-GB"/>
          </w:rPr>
          <w:t>Figure 79: Table of Silknet coverage and take-up (FTTx)</w:t>
        </w:r>
        <w:r w:rsidR="00545038">
          <w:rPr>
            <w:noProof/>
            <w:webHidden/>
          </w:rPr>
          <w:tab/>
        </w:r>
        <w:r w:rsidR="00545038">
          <w:rPr>
            <w:noProof/>
            <w:webHidden/>
          </w:rPr>
          <w:fldChar w:fldCharType="begin"/>
        </w:r>
        <w:r w:rsidR="00545038">
          <w:rPr>
            <w:noProof/>
            <w:webHidden/>
          </w:rPr>
          <w:instrText xml:space="preserve"> PAGEREF _Toc152931430 \h </w:instrText>
        </w:r>
        <w:r w:rsidR="00545038">
          <w:rPr>
            <w:noProof/>
            <w:webHidden/>
          </w:rPr>
        </w:r>
        <w:r w:rsidR="00545038">
          <w:rPr>
            <w:noProof/>
            <w:webHidden/>
          </w:rPr>
          <w:fldChar w:fldCharType="separate"/>
        </w:r>
        <w:r w:rsidR="00545038">
          <w:rPr>
            <w:noProof/>
            <w:webHidden/>
          </w:rPr>
          <w:t>186</w:t>
        </w:r>
        <w:r w:rsidR="00545038">
          <w:rPr>
            <w:noProof/>
            <w:webHidden/>
          </w:rPr>
          <w:fldChar w:fldCharType="end"/>
        </w:r>
      </w:hyperlink>
    </w:p>
    <w:p w14:paraId="0B25E719" w14:textId="5B4C815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1" w:history="1">
        <w:r w:rsidR="00545038" w:rsidRPr="00051984">
          <w:rPr>
            <w:rStyle w:val="Hyperlink"/>
            <w:noProof/>
            <w:lang w:val="en-GB"/>
          </w:rPr>
          <w:t>Figure 80: Coverage and take-up map of Silknet (FTTx)</w:t>
        </w:r>
        <w:r w:rsidR="00545038">
          <w:rPr>
            <w:noProof/>
            <w:webHidden/>
          </w:rPr>
          <w:tab/>
        </w:r>
        <w:r w:rsidR="00545038">
          <w:rPr>
            <w:noProof/>
            <w:webHidden/>
          </w:rPr>
          <w:fldChar w:fldCharType="begin"/>
        </w:r>
        <w:r w:rsidR="00545038">
          <w:rPr>
            <w:noProof/>
            <w:webHidden/>
          </w:rPr>
          <w:instrText xml:space="preserve"> PAGEREF _Toc152931431 \h </w:instrText>
        </w:r>
        <w:r w:rsidR="00545038">
          <w:rPr>
            <w:noProof/>
            <w:webHidden/>
          </w:rPr>
        </w:r>
        <w:r w:rsidR="00545038">
          <w:rPr>
            <w:noProof/>
            <w:webHidden/>
          </w:rPr>
          <w:fldChar w:fldCharType="separate"/>
        </w:r>
        <w:r w:rsidR="00545038">
          <w:rPr>
            <w:noProof/>
            <w:webHidden/>
          </w:rPr>
          <w:t>187</w:t>
        </w:r>
        <w:r w:rsidR="00545038">
          <w:rPr>
            <w:noProof/>
            <w:webHidden/>
          </w:rPr>
          <w:fldChar w:fldCharType="end"/>
        </w:r>
      </w:hyperlink>
    </w:p>
    <w:p w14:paraId="481F5B9C" w14:textId="65BE95C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2" w:history="1">
        <w:r w:rsidR="00545038" w:rsidRPr="00051984">
          <w:rPr>
            <w:rStyle w:val="Hyperlink"/>
            <w:noProof/>
            <w:lang w:val="en-GB"/>
          </w:rPr>
          <w:t>Figure 81: Table of Akhali Kselebi Group coverage and take-up (FTTx)</w:t>
        </w:r>
        <w:r w:rsidR="00545038">
          <w:rPr>
            <w:noProof/>
            <w:webHidden/>
          </w:rPr>
          <w:tab/>
        </w:r>
        <w:r w:rsidR="00545038">
          <w:rPr>
            <w:noProof/>
            <w:webHidden/>
          </w:rPr>
          <w:fldChar w:fldCharType="begin"/>
        </w:r>
        <w:r w:rsidR="00545038">
          <w:rPr>
            <w:noProof/>
            <w:webHidden/>
          </w:rPr>
          <w:instrText xml:space="preserve"> PAGEREF _Toc152931432 \h </w:instrText>
        </w:r>
        <w:r w:rsidR="00545038">
          <w:rPr>
            <w:noProof/>
            <w:webHidden/>
          </w:rPr>
        </w:r>
        <w:r w:rsidR="00545038">
          <w:rPr>
            <w:noProof/>
            <w:webHidden/>
          </w:rPr>
          <w:fldChar w:fldCharType="separate"/>
        </w:r>
        <w:r w:rsidR="00545038">
          <w:rPr>
            <w:noProof/>
            <w:webHidden/>
          </w:rPr>
          <w:t>188</w:t>
        </w:r>
        <w:r w:rsidR="00545038">
          <w:rPr>
            <w:noProof/>
            <w:webHidden/>
          </w:rPr>
          <w:fldChar w:fldCharType="end"/>
        </w:r>
      </w:hyperlink>
    </w:p>
    <w:p w14:paraId="760A4BFB" w14:textId="64384C4C"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3" w:history="1">
        <w:r w:rsidR="00545038" w:rsidRPr="00051984">
          <w:rPr>
            <w:rStyle w:val="Hyperlink"/>
            <w:noProof/>
            <w:lang w:val="en-GB"/>
          </w:rPr>
          <w:t>Figure 82: Coverage and take-up map of Akhali Kselebi Group (FTTx)</w:t>
        </w:r>
        <w:r w:rsidR="00545038">
          <w:rPr>
            <w:noProof/>
            <w:webHidden/>
          </w:rPr>
          <w:tab/>
        </w:r>
        <w:r w:rsidR="00545038">
          <w:rPr>
            <w:noProof/>
            <w:webHidden/>
          </w:rPr>
          <w:fldChar w:fldCharType="begin"/>
        </w:r>
        <w:r w:rsidR="00545038">
          <w:rPr>
            <w:noProof/>
            <w:webHidden/>
          </w:rPr>
          <w:instrText xml:space="preserve"> PAGEREF _Toc152931433 \h </w:instrText>
        </w:r>
        <w:r w:rsidR="00545038">
          <w:rPr>
            <w:noProof/>
            <w:webHidden/>
          </w:rPr>
        </w:r>
        <w:r w:rsidR="00545038">
          <w:rPr>
            <w:noProof/>
            <w:webHidden/>
          </w:rPr>
          <w:fldChar w:fldCharType="separate"/>
        </w:r>
        <w:r w:rsidR="00545038">
          <w:rPr>
            <w:noProof/>
            <w:webHidden/>
          </w:rPr>
          <w:t>189</w:t>
        </w:r>
        <w:r w:rsidR="00545038">
          <w:rPr>
            <w:noProof/>
            <w:webHidden/>
          </w:rPr>
          <w:fldChar w:fldCharType="end"/>
        </w:r>
      </w:hyperlink>
    </w:p>
    <w:p w14:paraId="0411D3FF" w14:textId="6BD30E7E"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4" w:history="1">
        <w:r w:rsidR="00545038" w:rsidRPr="00051984">
          <w:rPr>
            <w:rStyle w:val="Hyperlink"/>
            <w:noProof/>
            <w:lang w:val="en-GB"/>
          </w:rPr>
          <w:t>Figure 83: Table of Skytel coverage and take-up (FTTx)</w:t>
        </w:r>
        <w:r w:rsidR="00545038">
          <w:rPr>
            <w:noProof/>
            <w:webHidden/>
          </w:rPr>
          <w:tab/>
        </w:r>
        <w:r w:rsidR="00545038">
          <w:rPr>
            <w:noProof/>
            <w:webHidden/>
          </w:rPr>
          <w:fldChar w:fldCharType="begin"/>
        </w:r>
        <w:r w:rsidR="00545038">
          <w:rPr>
            <w:noProof/>
            <w:webHidden/>
          </w:rPr>
          <w:instrText xml:space="preserve"> PAGEREF _Toc152931434 \h </w:instrText>
        </w:r>
        <w:r w:rsidR="00545038">
          <w:rPr>
            <w:noProof/>
            <w:webHidden/>
          </w:rPr>
        </w:r>
        <w:r w:rsidR="00545038">
          <w:rPr>
            <w:noProof/>
            <w:webHidden/>
          </w:rPr>
          <w:fldChar w:fldCharType="separate"/>
        </w:r>
        <w:r w:rsidR="00545038">
          <w:rPr>
            <w:noProof/>
            <w:webHidden/>
          </w:rPr>
          <w:t>190</w:t>
        </w:r>
        <w:r w:rsidR="00545038">
          <w:rPr>
            <w:noProof/>
            <w:webHidden/>
          </w:rPr>
          <w:fldChar w:fldCharType="end"/>
        </w:r>
      </w:hyperlink>
    </w:p>
    <w:p w14:paraId="3AFEA232" w14:textId="3240D630"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5" w:history="1">
        <w:r w:rsidR="00545038" w:rsidRPr="00051984">
          <w:rPr>
            <w:rStyle w:val="Hyperlink"/>
            <w:noProof/>
            <w:lang w:val="en-GB"/>
          </w:rPr>
          <w:t xml:space="preserve">Figure 84: Coverage and take-up map of Skytel (FTTx) </w:t>
        </w:r>
        <w:r w:rsidR="00545038" w:rsidRPr="00051984">
          <w:rPr>
            <w:rStyle w:val="Hyperlink"/>
            <w:rFonts w:cs="Arial"/>
            <w:noProof/>
            <w:lang w:val="en-GB"/>
          </w:rPr>
          <w:t>Source: Answers to the Questionnaire on coverage and ComCom data</w:t>
        </w:r>
        <w:r w:rsidR="00545038">
          <w:rPr>
            <w:noProof/>
            <w:webHidden/>
          </w:rPr>
          <w:tab/>
        </w:r>
        <w:r w:rsidR="00545038">
          <w:rPr>
            <w:noProof/>
            <w:webHidden/>
          </w:rPr>
          <w:fldChar w:fldCharType="begin"/>
        </w:r>
        <w:r w:rsidR="00545038">
          <w:rPr>
            <w:noProof/>
            <w:webHidden/>
          </w:rPr>
          <w:instrText xml:space="preserve"> PAGEREF _Toc152931435 \h </w:instrText>
        </w:r>
        <w:r w:rsidR="00545038">
          <w:rPr>
            <w:noProof/>
            <w:webHidden/>
          </w:rPr>
        </w:r>
        <w:r w:rsidR="00545038">
          <w:rPr>
            <w:noProof/>
            <w:webHidden/>
          </w:rPr>
          <w:fldChar w:fldCharType="separate"/>
        </w:r>
        <w:r w:rsidR="00545038">
          <w:rPr>
            <w:noProof/>
            <w:webHidden/>
          </w:rPr>
          <w:t>191</w:t>
        </w:r>
        <w:r w:rsidR="00545038">
          <w:rPr>
            <w:noProof/>
            <w:webHidden/>
          </w:rPr>
          <w:fldChar w:fldCharType="end"/>
        </w:r>
      </w:hyperlink>
    </w:p>
    <w:p w14:paraId="55A139B8" w14:textId="3DBB5A69"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6" w:history="1">
        <w:r w:rsidR="00545038" w:rsidRPr="00051984">
          <w:rPr>
            <w:rStyle w:val="Hyperlink"/>
            <w:noProof/>
            <w:lang w:val="en-GB"/>
          </w:rPr>
          <w:t>Figure 85: Table of other operator coverage and take-up (FTTx)</w:t>
        </w:r>
        <w:r w:rsidR="00545038">
          <w:rPr>
            <w:noProof/>
            <w:webHidden/>
          </w:rPr>
          <w:tab/>
        </w:r>
        <w:r w:rsidR="00545038">
          <w:rPr>
            <w:noProof/>
            <w:webHidden/>
          </w:rPr>
          <w:fldChar w:fldCharType="begin"/>
        </w:r>
        <w:r w:rsidR="00545038">
          <w:rPr>
            <w:noProof/>
            <w:webHidden/>
          </w:rPr>
          <w:instrText xml:space="preserve"> PAGEREF _Toc152931436 \h </w:instrText>
        </w:r>
        <w:r w:rsidR="00545038">
          <w:rPr>
            <w:noProof/>
            <w:webHidden/>
          </w:rPr>
        </w:r>
        <w:r w:rsidR="00545038">
          <w:rPr>
            <w:noProof/>
            <w:webHidden/>
          </w:rPr>
          <w:fldChar w:fldCharType="separate"/>
        </w:r>
        <w:r w:rsidR="00545038">
          <w:rPr>
            <w:noProof/>
            <w:webHidden/>
          </w:rPr>
          <w:t>192</w:t>
        </w:r>
        <w:r w:rsidR="00545038">
          <w:rPr>
            <w:noProof/>
            <w:webHidden/>
          </w:rPr>
          <w:fldChar w:fldCharType="end"/>
        </w:r>
      </w:hyperlink>
    </w:p>
    <w:p w14:paraId="253034B7" w14:textId="37FD62CA"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7" w:history="1">
        <w:r w:rsidR="00545038" w:rsidRPr="00051984">
          <w:rPr>
            <w:rStyle w:val="Hyperlink"/>
            <w:noProof/>
            <w:lang w:val="en-GB"/>
          </w:rPr>
          <w:t>Figure 86: Coverage and take-up map of other operators (FTTx)</w:t>
        </w:r>
        <w:r w:rsidR="00545038" w:rsidRPr="00051984">
          <w:rPr>
            <w:rStyle w:val="Hyperlink"/>
            <w:noProof/>
            <w:lang w:eastAsia="sl-SI"/>
          </w:rPr>
          <w:t xml:space="preserve"> </w:t>
        </w:r>
        <w:r w:rsidR="00545038" w:rsidRPr="00051984">
          <w:rPr>
            <w:rStyle w:val="Hyperlink"/>
            <w:rFonts w:cs="Arial"/>
            <w:noProof/>
            <w:lang w:val="en-GB"/>
          </w:rPr>
          <w:t>Source: Answers to the Questionnaire on coverage and ComCom data</w:t>
        </w:r>
        <w:r w:rsidR="00545038">
          <w:rPr>
            <w:noProof/>
            <w:webHidden/>
          </w:rPr>
          <w:tab/>
        </w:r>
        <w:r w:rsidR="00545038">
          <w:rPr>
            <w:noProof/>
            <w:webHidden/>
          </w:rPr>
          <w:fldChar w:fldCharType="begin"/>
        </w:r>
        <w:r w:rsidR="00545038">
          <w:rPr>
            <w:noProof/>
            <w:webHidden/>
          </w:rPr>
          <w:instrText xml:space="preserve"> PAGEREF _Toc152931437 \h </w:instrText>
        </w:r>
        <w:r w:rsidR="00545038">
          <w:rPr>
            <w:noProof/>
            <w:webHidden/>
          </w:rPr>
        </w:r>
        <w:r w:rsidR="00545038">
          <w:rPr>
            <w:noProof/>
            <w:webHidden/>
          </w:rPr>
          <w:fldChar w:fldCharType="separate"/>
        </w:r>
        <w:r w:rsidR="00545038">
          <w:rPr>
            <w:noProof/>
            <w:webHidden/>
          </w:rPr>
          <w:t>193</w:t>
        </w:r>
        <w:r w:rsidR="00545038">
          <w:rPr>
            <w:noProof/>
            <w:webHidden/>
          </w:rPr>
          <w:fldChar w:fldCharType="end"/>
        </w:r>
      </w:hyperlink>
    </w:p>
    <w:p w14:paraId="45632766" w14:textId="67C79195" w:rsidR="00545038" w:rsidRDefault="004B7613">
      <w:pPr>
        <w:pStyle w:val="TableofFigures"/>
        <w:tabs>
          <w:tab w:val="right" w:leader="dot" w:pos="9062"/>
        </w:tabs>
        <w:rPr>
          <w:rFonts w:asciiTheme="minorHAnsi" w:eastAsiaTheme="minorEastAsia" w:hAnsiTheme="minorHAnsi" w:cstheme="minorBidi"/>
          <w:noProof/>
          <w:kern w:val="2"/>
          <w:lang w:val="en-GB" w:eastAsia="en-GB"/>
          <w14:ligatures w14:val="standardContextual"/>
        </w:rPr>
      </w:pPr>
      <w:hyperlink w:anchor="_Toc152931438" w:history="1">
        <w:r w:rsidR="00545038" w:rsidRPr="00051984">
          <w:rPr>
            <w:rStyle w:val="Hyperlink"/>
            <w:noProof/>
            <w:lang w:val="en-GB"/>
          </w:rPr>
          <w:t>Figure 87: List of abbreviations</w:t>
        </w:r>
        <w:r w:rsidR="00545038">
          <w:rPr>
            <w:noProof/>
            <w:webHidden/>
          </w:rPr>
          <w:tab/>
        </w:r>
        <w:r w:rsidR="00545038">
          <w:rPr>
            <w:noProof/>
            <w:webHidden/>
          </w:rPr>
          <w:fldChar w:fldCharType="begin"/>
        </w:r>
        <w:r w:rsidR="00545038">
          <w:rPr>
            <w:noProof/>
            <w:webHidden/>
          </w:rPr>
          <w:instrText xml:space="preserve"> PAGEREF _Toc152931438 \h </w:instrText>
        </w:r>
        <w:r w:rsidR="00545038">
          <w:rPr>
            <w:noProof/>
            <w:webHidden/>
          </w:rPr>
        </w:r>
        <w:r w:rsidR="00545038">
          <w:rPr>
            <w:noProof/>
            <w:webHidden/>
          </w:rPr>
          <w:fldChar w:fldCharType="separate"/>
        </w:r>
        <w:r w:rsidR="00545038">
          <w:rPr>
            <w:noProof/>
            <w:webHidden/>
          </w:rPr>
          <w:t>195</w:t>
        </w:r>
        <w:r w:rsidR="00545038">
          <w:rPr>
            <w:noProof/>
            <w:webHidden/>
          </w:rPr>
          <w:fldChar w:fldCharType="end"/>
        </w:r>
      </w:hyperlink>
    </w:p>
    <w:p w14:paraId="0D1F9D42" w14:textId="07EB4282" w:rsidR="00B52ADF" w:rsidRDefault="009042E4" w:rsidP="00B52ADF">
      <w:pPr>
        <w:spacing w:after="0" w:line="240" w:lineRule="auto"/>
        <w:rPr>
          <w:b/>
          <w:bCs/>
          <w:sz w:val="24"/>
          <w:szCs w:val="24"/>
          <w:lang w:val="en-GB"/>
        </w:rPr>
      </w:pPr>
      <w:r>
        <w:rPr>
          <w:b/>
          <w:bCs/>
          <w:sz w:val="24"/>
          <w:szCs w:val="24"/>
          <w:lang w:val="en-GB"/>
        </w:rPr>
        <w:fldChar w:fldCharType="end"/>
      </w:r>
    </w:p>
    <w:p w14:paraId="2BCFF4E5" w14:textId="77777777" w:rsidR="00EC12BA" w:rsidRDefault="00EC12BA" w:rsidP="00B52ADF">
      <w:pPr>
        <w:spacing w:after="0" w:line="240" w:lineRule="auto"/>
        <w:rPr>
          <w:b/>
          <w:bCs/>
          <w:sz w:val="24"/>
          <w:szCs w:val="24"/>
          <w:lang w:val="en-GB"/>
        </w:rPr>
      </w:pPr>
    </w:p>
    <w:p w14:paraId="3F1C6CCF" w14:textId="77777777" w:rsidR="00EC12BA" w:rsidRDefault="00EC12BA" w:rsidP="00B52ADF">
      <w:pPr>
        <w:spacing w:after="0" w:line="240" w:lineRule="auto"/>
        <w:rPr>
          <w:b/>
          <w:bCs/>
          <w:sz w:val="24"/>
          <w:szCs w:val="24"/>
          <w:lang w:val="en-GB"/>
        </w:rPr>
      </w:pPr>
    </w:p>
    <w:p w14:paraId="3C361506" w14:textId="77777777" w:rsidR="00EC12BA" w:rsidRDefault="00EC12BA" w:rsidP="00B52ADF">
      <w:pPr>
        <w:spacing w:after="0" w:line="240" w:lineRule="auto"/>
        <w:rPr>
          <w:b/>
          <w:bCs/>
          <w:sz w:val="24"/>
          <w:szCs w:val="24"/>
          <w:lang w:val="en-GB"/>
        </w:rPr>
      </w:pPr>
    </w:p>
    <w:p w14:paraId="78CA07A9" w14:textId="77777777" w:rsidR="00EC12BA" w:rsidRDefault="00EC12BA" w:rsidP="00B52ADF">
      <w:pPr>
        <w:spacing w:after="0" w:line="240" w:lineRule="auto"/>
        <w:rPr>
          <w:b/>
          <w:bCs/>
          <w:sz w:val="24"/>
          <w:szCs w:val="24"/>
          <w:lang w:val="en-GB"/>
        </w:rPr>
      </w:pPr>
    </w:p>
    <w:p w14:paraId="628EE542" w14:textId="77777777" w:rsidR="00EC12BA" w:rsidRDefault="00EC12BA" w:rsidP="00B52ADF">
      <w:pPr>
        <w:spacing w:after="0" w:line="240" w:lineRule="auto"/>
        <w:rPr>
          <w:b/>
          <w:bCs/>
          <w:sz w:val="24"/>
          <w:szCs w:val="24"/>
          <w:lang w:val="en-GB"/>
        </w:rPr>
      </w:pPr>
    </w:p>
    <w:p w14:paraId="04D31A14" w14:textId="77777777" w:rsidR="00EC12BA" w:rsidRDefault="00EC12BA" w:rsidP="00B52ADF">
      <w:pPr>
        <w:spacing w:after="0" w:line="240" w:lineRule="auto"/>
        <w:rPr>
          <w:b/>
          <w:bCs/>
          <w:sz w:val="24"/>
          <w:szCs w:val="24"/>
          <w:lang w:val="en-GB"/>
        </w:rPr>
      </w:pPr>
    </w:p>
    <w:p w14:paraId="599F4839" w14:textId="77777777" w:rsidR="00EC12BA" w:rsidRDefault="00EC12BA" w:rsidP="00B52ADF">
      <w:pPr>
        <w:spacing w:after="0" w:line="240" w:lineRule="auto"/>
        <w:rPr>
          <w:b/>
          <w:bCs/>
          <w:sz w:val="24"/>
          <w:szCs w:val="24"/>
          <w:lang w:val="en-GB"/>
        </w:rPr>
      </w:pPr>
    </w:p>
    <w:p w14:paraId="2088E361" w14:textId="77777777" w:rsidR="00EC12BA" w:rsidRDefault="00EC12BA" w:rsidP="00B52ADF">
      <w:pPr>
        <w:spacing w:after="0" w:line="240" w:lineRule="auto"/>
        <w:rPr>
          <w:b/>
          <w:bCs/>
          <w:sz w:val="24"/>
          <w:szCs w:val="24"/>
          <w:lang w:val="en-GB"/>
        </w:rPr>
      </w:pPr>
    </w:p>
    <w:p w14:paraId="10B87F37" w14:textId="77777777" w:rsidR="00EC12BA" w:rsidRDefault="00EC12BA" w:rsidP="00B52ADF">
      <w:pPr>
        <w:spacing w:after="0" w:line="240" w:lineRule="auto"/>
        <w:rPr>
          <w:b/>
          <w:bCs/>
          <w:sz w:val="24"/>
          <w:szCs w:val="24"/>
          <w:lang w:val="en-GB"/>
        </w:rPr>
      </w:pPr>
    </w:p>
    <w:p w14:paraId="668DED62" w14:textId="77777777" w:rsidR="00EC12BA" w:rsidRDefault="00EC12BA" w:rsidP="00B52ADF">
      <w:pPr>
        <w:spacing w:after="0" w:line="240" w:lineRule="auto"/>
        <w:rPr>
          <w:b/>
          <w:bCs/>
          <w:sz w:val="24"/>
          <w:szCs w:val="24"/>
          <w:lang w:val="en-GB"/>
        </w:rPr>
      </w:pPr>
    </w:p>
    <w:p w14:paraId="07FDD673" w14:textId="77777777" w:rsidR="00EC12BA" w:rsidRDefault="00EC12BA" w:rsidP="00B52ADF">
      <w:pPr>
        <w:spacing w:after="0" w:line="240" w:lineRule="auto"/>
        <w:rPr>
          <w:b/>
          <w:bCs/>
          <w:sz w:val="24"/>
          <w:szCs w:val="24"/>
          <w:lang w:val="en-GB"/>
        </w:rPr>
      </w:pPr>
    </w:p>
    <w:p w14:paraId="76246896" w14:textId="77777777" w:rsidR="00EC12BA" w:rsidRDefault="00EC12BA" w:rsidP="00B52ADF">
      <w:pPr>
        <w:spacing w:after="0" w:line="240" w:lineRule="auto"/>
        <w:rPr>
          <w:b/>
          <w:bCs/>
          <w:sz w:val="24"/>
          <w:szCs w:val="24"/>
          <w:lang w:val="en-GB"/>
        </w:rPr>
      </w:pPr>
    </w:p>
    <w:p w14:paraId="324D237B" w14:textId="77777777" w:rsidR="00EC12BA" w:rsidRDefault="00EC12BA" w:rsidP="00B52ADF">
      <w:pPr>
        <w:spacing w:after="0" w:line="240" w:lineRule="auto"/>
        <w:rPr>
          <w:b/>
          <w:bCs/>
          <w:sz w:val="24"/>
          <w:szCs w:val="24"/>
          <w:lang w:val="en-GB"/>
        </w:rPr>
      </w:pPr>
    </w:p>
    <w:p w14:paraId="66BEF805" w14:textId="77777777" w:rsidR="00EC12BA" w:rsidRDefault="00EC12BA" w:rsidP="00B52ADF">
      <w:pPr>
        <w:spacing w:after="0" w:line="240" w:lineRule="auto"/>
        <w:rPr>
          <w:b/>
          <w:bCs/>
          <w:sz w:val="24"/>
          <w:szCs w:val="24"/>
          <w:lang w:val="en-GB"/>
        </w:rPr>
      </w:pPr>
    </w:p>
    <w:p w14:paraId="4580B702" w14:textId="77777777" w:rsidR="00EC12BA" w:rsidRDefault="00EC12BA" w:rsidP="00B52ADF">
      <w:pPr>
        <w:spacing w:after="0" w:line="240" w:lineRule="auto"/>
        <w:rPr>
          <w:b/>
          <w:bCs/>
          <w:sz w:val="24"/>
          <w:szCs w:val="24"/>
          <w:lang w:val="en-GB"/>
        </w:rPr>
      </w:pPr>
    </w:p>
    <w:p w14:paraId="1440F279" w14:textId="77777777" w:rsidR="00EC12BA" w:rsidRDefault="00EC12BA" w:rsidP="00B52ADF">
      <w:pPr>
        <w:spacing w:after="0" w:line="240" w:lineRule="auto"/>
        <w:rPr>
          <w:b/>
          <w:bCs/>
          <w:sz w:val="24"/>
          <w:szCs w:val="24"/>
          <w:lang w:val="en-GB"/>
        </w:rPr>
      </w:pPr>
    </w:p>
    <w:p w14:paraId="096DFC97" w14:textId="77777777" w:rsidR="00EC12BA" w:rsidRDefault="00EC12BA" w:rsidP="00B52ADF">
      <w:pPr>
        <w:spacing w:after="0" w:line="240" w:lineRule="auto"/>
        <w:rPr>
          <w:b/>
          <w:bCs/>
          <w:sz w:val="24"/>
          <w:szCs w:val="24"/>
          <w:lang w:val="en-GB"/>
        </w:rPr>
      </w:pPr>
    </w:p>
    <w:p w14:paraId="7850D18C" w14:textId="77777777" w:rsidR="00EC12BA" w:rsidRDefault="00EC12BA" w:rsidP="00B52ADF">
      <w:pPr>
        <w:spacing w:after="0" w:line="240" w:lineRule="auto"/>
        <w:rPr>
          <w:b/>
          <w:bCs/>
          <w:sz w:val="24"/>
          <w:szCs w:val="24"/>
          <w:lang w:val="en-GB"/>
        </w:rPr>
      </w:pPr>
    </w:p>
    <w:p w14:paraId="2AEDD01B" w14:textId="77777777" w:rsidR="00EC12BA" w:rsidRDefault="00EC12BA" w:rsidP="00B52ADF">
      <w:pPr>
        <w:spacing w:after="0" w:line="240" w:lineRule="auto"/>
        <w:rPr>
          <w:b/>
          <w:bCs/>
          <w:sz w:val="24"/>
          <w:szCs w:val="24"/>
          <w:lang w:val="en-GB"/>
        </w:rPr>
      </w:pPr>
    </w:p>
    <w:p w14:paraId="1CF9EBBB" w14:textId="77777777" w:rsidR="00EC12BA" w:rsidRDefault="00EC12BA" w:rsidP="00B52ADF">
      <w:pPr>
        <w:spacing w:after="0" w:line="240" w:lineRule="auto"/>
        <w:rPr>
          <w:b/>
          <w:bCs/>
          <w:sz w:val="24"/>
          <w:szCs w:val="24"/>
          <w:lang w:val="en-GB"/>
        </w:rPr>
      </w:pPr>
    </w:p>
    <w:p w14:paraId="2C51EBDC" w14:textId="77777777" w:rsidR="00EC12BA" w:rsidRDefault="00EC12BA" w:rsidP="00B52ADF">
      <w:pPr>
        <w:spacing w:after="0" w:line="240" w:lineRule="auto"/>
        <w:rPr>
          <w:b/>
          <w:bCs/>
          <w:sz w:val="24"/>
          <w:szCs w:val="24"/>
          <w:lang w:val="en-GB"/>
        </w:rPr>
      </w:pPr>
    </w:p>
    <w:p w14:paraId="1B7A5014" w14:textId="77777777" w:rsidR="00EC12BA" w:rsidRDefault="00EC12BA" w:rsidP="00B52ADF">
      <w:pPr>
        <w:spacing w:after="0" w:line="240" w:lineRule="auto"/>
        <w:rPr>
          <w:b/>
          <w:bCs/>
          <w:sz w:val="24"/>
          <w:szCs w:val="24"/>
          <w:lang w:val="en-GB"/>
        </w:rPr>
      </w:pPr>
    </w:p>
    <w:p w14:paraId="5CC345F9" w14:textId="77777777" w:rsidR="00EC12BA" w:rsidRDefault="00EC12BA" w:rsidP="00B52ADF">
      <w:pPr>
        <w:spacing w:after="0" w:line="240" w:lineRule="auto"/>
        <w:rPr>
          <w:b/>
          <w:bCs/>
          <w:sz w:val="24"/>
          <w:szCs w:val="24"/>
          <w:lang w:val="en-GB"/>
        </w:rPr>
      </w:pPr>
    </w:p>
    <w:p w14:paraId="575FA31B" w14:textId="77777777" w:rsidR="00EC12BA" w:rsidRDefault="00EC12BA" w:rsidP="00B52ADF">
      <w:pPr>
        <w:spacing w:after="0" w:line="240" w:lineRule="auto"/>
        <w:rPr>
          <w:b/>
          <w:bCs/>
          <w:sz w:val="24"/>
          <w:szCs w:val="24"/>
          <w:lang w:val="en-GB"/>
        </w:rPr>
      </w:pPr>
    </w:p>
    <w:p w14:paraId="3AC3BF18" w14:textId="77777777" w:rsidR="00EC12BA" w:rsidRDefault="00EC12BA" w:rsidP="00B52ADF">
      <w:pPr>
        <w:spacing w:after="0" w:line="240" w:lineRule="auto"/>
        <w:rPr>
          <w:b/>
          <w:bCs/>
          <w:sz w:val="24"/>
          <w:szCs w:val="24"/>
          <w:lang w:val="en-GB"/>
        </w:rPr>
      </w:pPr>
    </w:p>
    <w:p w14:paraId="16726CDA" w14:textId="77777777" w:rsidR="00EC12BA" w:rsidRDefault="00EC12BA" w:rsidP="00B52ADF">
      <w:pPr>
        <w:spacing w:after="0" w:line="240" w:lineRule="auto"/>
        <w:rPr>
          <w:b/>
          <w:bCs/>
          <w:sz w:val="24"/>
          <w:szCs w:val="24"/>
          <w:lang w:val="en-GB"/>
        </w:rPr>
      </w:pPr>
    </w:p>
    <w:p w14:paraId="4CACC301" w14:textId="77777777" w:rsidR="00EC12BA" w:rsidRDefault="00EC12BA" w:rsidP="00B52ADF">
      <w:pPr>
        <w:spacing w:after="0" w:line="240" w:lineRule="auto"/>
        <w:rPr>
          <w:b/>
          <w:bCs/>
          <w:sz w:val="24"/>
          <w:szCs w:val="24"/>
          <w:lang w:val="en-GB"/>
        </w:rPr>
      </w:pPr>
    </w:p>
    <w:p w14:paraId="0EA71066" w14:textId="77777777" w:rsidR="00EC12BA" w:rsidRDefault="00EC12BA" w:rsidP="00B52ADF">
      <w:pPr>
        <w:spacing w:after="0" w:line="240" w:lineRule="auto"/>
        <w:rPr>
          <w:b/>
          <w:bCs/>
          <w:sz w:val="24"/>
          <w:szCs w:val="24"/>
          <w:lang w:val="en-GB"/>
        </w:rPr>
      </w:pPr>
    </w:p>
    <w:p w14:paraId="5E49B873" w14:textId="77777777" w:rsidR="00EC12BA" w:rsidRDefault="00EC12BA" w:rsidP="00B52ADF">
      <w:pPr>
        <w:spacing w:after="0" w:line="240" w:lineRule="auto"/>
        <w:rPr>
          <w:b/>
          <w:bCs/>
          <w:sz w:val="24"/>
          <w:szCs w:val="24"/>
          <w:lang w:val="en-GB"/>
        </w:rPr>
      </w:pPr>
    </w:p>
    <w:p w14:paraId="71638C12" w14:textId="77777777" w:rsidR="00EC12BA" w:rsidRDefault="00EC12BA" w:rsidP="00B52ADF">
      <w:pPr>
        <w:spacing w:after="0" w:line="240" w:lineRule="auto"/>
        <w:rPr>
          <w:b/>
          <w:bCs/>
          <w:sz w:val="24"/>
          <w:szCs w:val="24"/>
          <w:lang w:val="en-GB"/>
        </w:rPr>
      </w:pPr>
    </w:p>
    <w:p w14:paraId="5614634B" w14:textId="77777777" w:rsidR="00EC12BA" w:rsidRDefault="00EC12BA" w:rsidP="00B52ADF">
      <w:pPr>
        <w:spacing w:after="0" w:line="240" w:lineRule="auto"/>
        <w:rPr>
          <w:b/>
          <w:bCs/>
          <w:sz w:val="24"/>
          <w:szCs w:val="24"/>
          <w:lang w:val="en-GB"/>
        </w:rPr>
      </w:pPr>
    </w:p>
    <w:p w14:paraId="4167365F" w14:textId="77777777" w:rsidR="00EC12BA" w:rsidRDefault="00EC12BA" w:rsidP="00B52ADF">
      <w:pPr>
        <w:spacing w:after="0" w:line="240" w:lineRule="auto"/>
        <w:rPr>
          <w:b/>
          <w:bCs/>
          <w:sz w:val="24"/>
          <w:szCs w:val="24"/>
          <w:lang w:val="en-GB"/>
        </w:rPr>
      </w:pPr>
    </w:p>
    <w:p w14:paraId="4530A447" w14:textId="77777777" w:rsidR="00C95550" w:rsidRDefault="00C95550" w:rsidP="00B52ADF">
      <w:pPr>
        <w:spacing w:after="0" w:line="240" w:lineRule="auto"/>
        <w:rPr>
          <w:b/>
          <w:bCs/>
          <w:sz w:val="24"/>
          <w:szCs w:val="24"/>
          <w:lang w:val="en-GB"/>
        </w:rPr>
      </w:pPr>
    </w:p>
    <w:p w14:paraId="345A2814" w14:textId="77B979FD" w:rsidR="00B271E6" w:rsidRPr="00091AAC" w:rsidRDefault="00C03F28">
      <w:pPr>
        <w:pStyle w:val="Heading1"/>
        <w:numPr>
          <w:ilvl w:val="0"/>
          <w:numId w:val="1"/>
        </w:numPr>
        <w:rPr>
          <w:lang w:val="en-GB"/>
        </w:rPr>
      </w:pPr>
      <w:bookmarkStart w:id="0" w:name="_Toc169258879"/>
      <w:r w:rsidRPr="00091AAC">
        <w:rPr>
          <w:lang w:val="en-GB"/>
        </w:rPr>
        <w:t>Executive summary</w:t>
      </w:r>
      <w:bookmarkEnd w:id="0"/>
    </w:p>
    <w:p w14:paraId="3FF3AD3A" w14:textId="31680BEE"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 xml:space="preserve">This document contains the analysis carried out during 2023 of the fixed broadband market in Georgia. Within the legal and regulatory framework of Georgia and in harmony with the EU’s </w:t>
      </w:r>
      <w:r w:rsidR="00E777BA">
        <w:rPr>
          <w:rFonts w:eastAsia="Times New Roman" w:cs="Arial"/>
          <w:sz w:val="24"/>
          <w:szCs w:val="24"/>
          <w:lang w:val="en-GB"/>
        </w:rPr>
        <w:t>regulatory framework and best practices</w:t>
      </w:r>
      <w:r w:rsidRPr="00524BB8">
        <w:rPr>
          <w:rFonts w:eastAsia="Times New Roman" w:cs="Arial"/>
          <w:sz w:val="24"/>
          <w:szCs w:val="24"/>
          <w:lang w:val="en-GB"/>
        </w:rPr>
        <w:t>, the retail fixed broadband access market is first defined, then the upstream wholesale market for local and central access. Both markets were found to be of national scope in Georgia.</w:t>
      </w:r>
    </w:p>
    <w:p w14:paraId="024950A8" w14:textId="04B708F9"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In the nationally defined market for wholesale local and central access at a fixed location, Magticom was found to have significant market power (SMP). This was determined using the full methodologies from the relevant Georgian and EU regulatory frameworks.</w:t>
      </w:r>
    </w:p>
    <w:p w14:paraId="51A7F48D" w14:textId="769E93D9"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As SMP has been determined, then proportionate regulatory remedies were defined that will address the potential competition problems arising from Magticom’s possession of SMP. These remedies will apply to the wholesale market in a way that recognises the different extent of the competitive services available to end-users at Georgian settlement level. In some settlements (called ‘Cluster I’) a full set of regulatory remedies has been found to be necessary to allow broadband service providers to have wholesale access to Magticom’s significant national FTTx network coverage. In other settlements (called ‘Cluster II’) the required regulations are lighter, to reflect the already better (but not fully) competitive conditions in those Georgian settlements. In the remaining settlements (called Cluster III), only the lightest wholesale access regulations will apply. The full justification of these choices of remedies and Clusters of settlements is contained in the report.</w:t>
      </w:r>
    </w:p>
    <w:p w14:paraId="335DB5EB" w14:textId="50193560"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The analysis and conclusions contained in this report are now being considered by ComCom for implementation using established procedures of public consultation, formal decision and enforcement.</w:t>
      </w:r>
    </w:p>
    <w:p w14:paraId="2D18CA0B" w14:textId="56123DBB" w:rsidR="00524BB8" w:rsidRPr="00524BB8" w:rsidRDefault="00524BB8" w:rsidP="00F80ADB">
      <w:pPr>
        <w:pStyle w:val="Heading2"/>
        <w:numPr>
          <w:ilvl w:val="1"/>
          <w:numId w:val="106"/>
        </w:numPr>
        <w:spacing w:after="240"/>
        <w:rPr>
          <w:lang w:val="en-GB"/>
        </w:rPr>
      </w:pPr>
      <w:bookmarkStart w:id="1" w:name="_Toc169258880"/>
      <w:r w:rsidRPr="00524BB8">
        <w:rPr>
          <w:lang w:val="en-GB"/>
        </w:rPr>
        <w:t>Market definitions</w:t>
      </w:r>
      <w:bookmarkEnd w:id="1"/>
    </w:p>
    <w:p w14:paraId="2B0BE163" w14:textId="72217505"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Based on the analysis undertaken, ComCom concluded that, due to the lack of demand-side or supply-side substitutes at present, the higher-speed retail fixed broadband access market in Georgia consists of the FTTx fixed broadband access service offered to residential users in the speed range above 10 Mbps. This conclusion is the same whether the specified broadband access service is offered alone or bundled with other electronic communications services and regardless of the access speeds provided within the defined speed range.</w:t>
      </w:r>
    </w:p>
    <w:p w14:paraId="01D26132" w14:textId="77777777"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The geographical dimension of the market is considered to be national because the legal and regulatory conditions, the terms and conditions of service provision and the most prevailing prices are the same throughout the whole of Georgia.</w:t>
      </w:r>
    </w:p>
    <w:p w14:paraId="7EE7608D" w14:textId="4122AD64"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 xml:space="preserve">The higher-speed retail fixed broadband market is not sufficiently competitive. This conclusion is based on </w:t>
      </w:r>
      <w:r w:rsidR="00195B2F" w:rsidRPr="00524BB8">
        <w:rPr>
          <w:rFonts w:eastAsia="Times New Roman" w:cs="Arial"/>
          <w:sz w:val="24"/>
          <w:szCs w:val="24"/>
          <w:lang w:val="en-GB"/>
        </w:rPr>
        <w:t>several</w:t>
      </w:r>
      <w:r w:rsidRPr="00524BB8">
        <w:rPr>
          <w:rFonts w:eastAsia="Times New Roman" w:cs="Arial"/>
          <w:sz w:val="24"/>
          <w:szCs w:val="24"/>
          <w:lang w:val="en-GB"/>
        </w:rPr>
        <w:t xml:space="preserve"> aspects supported by an analysis of FTTx coverage and the imbalances amongst the market players in their market shares for higher-speed broadband access services and the imbalances in the operators’ relative level of national sales and support organisations. </w:t>
      </w:r>
    </w:p>
    <w:p w14:paraId="0D6FF392" w14:textId="77777777"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The EU Guidelines on Market Analysis state that the demand for all wholesale services arises from the demand from end-users for retail services. The relevant upstream wholesale service was analysed based on the higher-speed retail broadband access market share using FTTx. This required the assessment of whether any other wholesale access services could be substitutes for supplying wholesale local and central access using FTTx, including self-supply services of the service within each operator.</w:t>
      </w:r>
    </w:p>
    <w:p w14:paraId="1ADFD346" w14:textId="01CF9CD7" w:rsidR="00524BB8" w:rsidRPr="00524BB8" w:rsidRDefault="00524BB8" w:rsidP="00524BB8">
      <w:pPr>
        <w:jc w:val="both"/>
        <w:rPr>
          <w:rFonts w:eastAsia="Times New Roman" w:cs="Arial"/>
          <w:sz w:val="24"/>
          <w:szCs w:val="24"/>
          <w:lang w:val="en-GB"/>
        </w:rPr>
      </w:pPr>
      <w:r w:rsidRPr="00524BB8">
        <w:rPr>
          <w:rFonts w:eastAsia="Times New Roman" w:cs="Arial"/>
          <w:sz w:val="24"/>
          <w:szCs w:val="24"/>
          <w:lang w:val="en-GB"/>
        </w:rPr>
        <w:t xml:space="preserve">Based on the analysis made, it was concluded that the wholesale local and central access market in Georgia </w:t>
      </w:r>
      <w:r w:rsidR="00790A4F">
        <w:rPr>
          <w:rFonts w:eastAsia="Times New Roman" w:cs="Arial"/>
          <w:sz w:val="24"/>
          <w:szCs w:val="24"/>
          <w:lang w:val="en-GB"/>
        </w:rPr>
        <w:t>at a</w:t>
      </w:r>
      <w:r w:rsidRPr="00524BB8">
        <w:rPr>
          <w:rFonts w:eastAsia="Times New Roman" w:cs="Arial"/>
          <w:sz w:val="24"/>
          <w:szCs w:val="24"/>
          <w:lang w:val="en-GB"/>
        </w:rPr>
        <w:t xml:space="preserve"> fixed location consists of following services:</w:t>
      </w:r>
    </w:p>
    <w:p w14:paraId="17B8F6DB" w14:textId="04FB144C" w:rsidR="00524BB8" w:rsidRPr="00524BB8" w:rsidRDefault="00524BB8" w:rsidP="00524BB8">
      <w:pPr>
        <w:numPr>
          <w:ilvl w:val="0"/>
          <w:numId w:val="83"/>
        </w:numPr>
        <w:contextualSpacing/>
        <w:jc w:val="both"/>
        <w:rPr>
          <w:rFonts w:eastAsia="Times New Roman" w:cs="Arial"/>
          <w:sz w:val="24"/>
          <w:szCs w:val="24"/>
          <w:lang w:val="en-GB"/>
        </w:rPr>
      </w:pPr>
      <w:r w:rsidRPr="00524BB8">
        <w:rPr>
          <w:rFonts w:eastAsia="Times New Roman" w:cs="Arial"/>
          <w:sz w:val="24"/>
          <w:szCs w:val="24"/>
          <w:lang w:val="en-GB"/>
        </w:rPr>
        <w:t>Unbundled fibre services based on FTTH P2P access network architecture</w:t>
      </w:r>
      <w:r w:rsidR="006C273F">
        <w:rPr>
          <w:rFonts w:eastAsia="Times New Roman" w:cs="Arial"/>
          <w:sz w:val="24"/>
          <w:szCs w:val="24"/>
          <w:lang w:val="en-GB"/>
        </w:rPr>
        <w:t>;</w:t>
      </w:r>
    </w:p>
    <w:p w14:paraId="2DE2DB8B" w14:textId="3B2AAAE5" w:rsidR="00524BB8" w:rsidRPr="00045321" w:rsidRDefault="00705577" w:rsidP="00705577">
      <w:pPr>
        <w:numPr>
          <w:ilvl w:val="0"/>
          <w:numId w:val="83"/>
        </w:numPr>
        <w:contextualSpacing/>
        <w:jc w:val="both"/>
        <w:rPr>
          <w:rFonts w:eastAsia="Times New Roman" w:cs="Arial"/>
          <w:sz w:val="24"/>
          <w:szCs w:val="24"/>
          <w:lang w:val="en-GB"/>
        </w:rPr>
      </w:pPr>
      <w:r w:rsidRPr="00045321">
        <w:rPr>
          <w:rFonts w:eastAsia="Times New Roman" w:cs="Arial"/>
          <w:sz w:val="24"/>
          <w:szCs w:val="24"/>
          <w:lang w:val="en-GB"/>
        </w:rPr>
        <w:t>VULA services based on FTTH (P2P and GPON) and FTTB UTP Ethernet to Home access network architectures</w:t>
      </w:r>
      <w:r w:rsidR="006C273F" w:rsidRPr="00045321">
        <w:rPr>
          <w:rFonts w:eastAsia="Times New Roman" w:cs="Arial"/>
          <w:sz w:val="24"/>
          <w:szCs w:val="24"/>
          <w:lang w:val="en-GB"/>
        </w:rPr>
        <w:t>;</w:t>
      </w:r>
    </w:p>
    <w:p w14:paraId="730D2EDF" w14:textId="77777777" w:rsidR="00524BB8" w:rsidRPr="00524BB8" w:rsidRDefault="00524BB8" w:rsidP="00524BB8">
      <w:pPr>
        <w:numPr>
          <w:ilvl w:val="0"/>
          <w:numId w:val="83"/>
        </w:numPr>
        <w:contextualSpacing/>
        <w:jc w:val="both"/>
        <w:rPr>
          <w:rFonts w:eastAsia="Times New Roman" w:cs="Arial"/>
          <w:sz w:val="24"/>
          <w:szCs w:val="24"/>
          <w:lang w:val="en-GB"/>
        </w:rPr>
      </w:pPr>
      <w:r w:rsidRPr="00524BB8">
        <w:rPr>
          <w:rFonts w:eastAsia="Times New Roman" w:cs="Arial"/>
          <w:sz w:val="24"/>
          <w:szCs w:val="24"/>
          <w:lang w:val="en-GB"/>
        </w:rPr>
        <w:t xml:space="preserve">Bitstream access service (BSA) </w:t>
      </w:r>
      <w:r w:rsidRPr="00524BB8">
        <w:rPr>
          <w:rFonts w:eastAsia="Times New Roman"/>
          <w:sz w:val="24"/>
          <w:szCs w:val="24"/>
          <w:lang w:val="en-GB"/>
        </w:rPr>
        <w:t>on the following levels (points of handover) irrespective of the technologies used in the FTTx access network:</w:t>
      </w:r>
    </w:p>
    <w:p w14:paraId="5BCC16DF" w14:textId="5DA25651" w:rsidR="00524BB8" w:rsidRPr="00524BB8" w:rsidRDefault="00524BB8" w:rsidP="00524BB8">
      <w:pPr>
        <w:numPr>
          <w:ilvl w:val="1"/>
          <w:numId w:val="82"/>
        </w:numPr>
        <w:contextualSpacing/>
        <w:jc w:val="both"/>
        <w:rPr>
          <w:rFonts w:eastAsia="Times New Roman"/>
          <w:sz w:val="24"/>
          <w:szCs w:val="24"/>
          <w:lang w:val="en-GB"/>
        </w:rPr>
      </w:pPr>
      <w:r w:rsidRPr="00524BB8">
        <w:rPr>
          <w:rFonts w:eastAsia="Times New Roman"/>
          <w:sz w:val="24"/>
          <w:szCs w:val="24"/>
          <w:lang w:val="en-GB"/>
        </w:rPr>
        <w:t>Point of Handover on local level (OLT)</w:t>
      </w:r>
      <w:r w:rsidR="006C273F">
        <w:rPr>
          <w:rFonts w:eastAsia="Times New Roman"/>
          <w:sz w:val="24"/>
          <w:szCs w:val="24"/>
          <w:lang w:val="en-GB"/>
        </w:rPr>
        <w:t>;</w:t>
      </w:r>
    </w:p>
    <w:p w14:paraId="3F965E93" w14:textId="65EB1EAB" w:rsidR="00524BB8" w:rsidRPr="00524BB8" w:rsidRDefault="00524BB8" w:rsidP="00524BB8">
      <w:pPr>
        <w:numPr>
          <w:ilvl w:val="1"/>
          <w:numId w:val="82"/>
        </w:numPr>
        <w:contextualSpacing/>
        <w:jc w:val="both"/>
        <w:rPr>
          <w:rFonts w:eastAsia="Times New Roman"/>
          <w:sz w:val="24"/>
          <w:szCs w:val="24"/>
          <w:lang w:val="en-GB"/>
        </w:rPr>
      </w:pPr>
      <w:r w:rsidRPr="00524BB8">
        <w:rPr>
          <w:rFonts w:eastAsia="Times New Roman"/>
          <w:sz w:val="24"/>
          <w:szCs w:val="24"/>
          <w:lang w:val="en-GB"/>
        </w:rPr>
        <w:t>Point of Handover on regional level (Ethernet/IP)</w:t>
      </w:r>
      <w:r w:rsidR="006C273F">
        <w:rPr>
          <w:rFonts w:eastAsia="Times New Roman"/>
          <w:sz w:val="24"/>
          <w:szCs w:val="24"/>
          <w:lang w:val="en-GB"/>
        </w:rPr>
        <w:t>;</w:t>
      </w:r>
    </w:p>
    <w:p w14:paraId="06B70705" w14:textId="427A2FFD" w:rsidR="00524BB8" w:rsidRPr="00524BB8" w:rsidRDefault="00524BB8" w:rsidP="00524BB8">
      <w:pPr>
        <w:numPr>
          <w:ilvl w:val="1"/>
          <w:numId w:val="82"/>
        </w:numPr>
        <w:contextualSpacing/>
        <w:jc w:val="both"/>
        <w:rPr>
          <w:rFonts w:eastAsia="Times New Roman" w:cs="Arial"/>
          <w:sz w:val="24"/>
          <w:szCs w:val="24"/>
          <w:lang w:val="en-GB"/>
        </w:rPr>
      </w:pPr>
      <w:r w:rsidRPr="00524BB8">
        <w:rPr>
          <w:rFonts w:eastAsia="Times New Roman"/>
          <w:sz w:val="24"/>
          <w:szCs w:val="24"/>
          <w:lang w:val="en-GB"/>
        </w:rPr>
        <w:t>Point of Handover on national level (Ethernet/IP)</w:t>
      </w:r>
      <w:r w:rsidR="006C273F">
        <w:rPr>
          <w:rFonts w:eastAsia="Times New Roman"/>
          <w:sz w:val="24"/>
          <w:szCs w:val="24"/>
          <w:lang w:val="en-GB"/>
        </w:rPr>
        <w:t>.</w:t>
      </w:r>
    </w:p>
    <w:p w14:paraId="36950796" w14:textId="77777777" w:rsidR="00524BB8" w:rsidRPr="00524BB8" w:rsidRDefault="00524BB8" w:rsidP="00524BB8">
      <w:pPr>
        <w:numPr>
          <w:ilvl w:val="0"/>
          <w:numId w:val="83"/>
        </w:numPr>
        <w:contextualSpacing/>
        <w:jc w:val="both"/>
        <w:rPr>
          <w:rFonts w:eastAsia="Times New Roman" w:cs="Arial"/>
          <w:sz w:val="24"/>
          <w:szCs w:val="24"/>
          <w:lang w:val="en-GB"/>
        </w:rPr>
      </w:pPr>
      <w:r w:rsidRPr="00524BB8">
        <w:rPr>
          <w:rFonts w:eastAsia="Times New Roman" w:cs="Arial"/>
          <w:sz w:val="24"/>
          <w:szCs w:val="24"/>
          <w:lang w:val="en-GB"/>
        </w:rPr>
        <w:t>Self-supply of FTTx from all operators within their own FTTx networks.</w:t>
      </w:r>
    </w:p>
    <w:p w14:paraId="0E50C4E3" w14:textId="77777777"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The same relevant wholesale market of local and central access was defined as a national market in geographical scope. The reasons are as follows:</w:t>
      </w:r>
    </w:p>
    <w:p w14:paraId="4B9DDF34" w14:textId="4F730CAF" w:rsidR="00524BB8" w:rsidRPr="00524BB8" w:rsidRDefault="00524BB8" w:rsidP="00524BB8">
      <w:pPr>
        <w:numPr>
          <w:ilvl w:val="0"/>
          <w:numId w:val="72"/>
        </w:numPr>
        <w:contextualSpacing/>
        <w:jc w:val="both"/>
        <w:rPr>
          <w:rFonts w:eastAsia="Times New Roman" w:cs="Arial"/>
          <w:sz w:val="24"/>
          <w:szCs w:val="24"/>
          <w:lang w:val="en-GB"/>
        </w:rPr>
      </w:pPr>
      <w:r w:rsidRPr="00524BB8">
        <w:rPr>
          <w:rFonts w:eastAsia="Times New Roman" w:cs="Arial"/>
          <w:sz w:val="24"/>
          <w:szCs w:val="24"/>
          <w:lang w:val="en-GB"/>
        </w:rPr>
        <w:t>Two main operators have national scope</w:t>
      </w:r>
      <w:r w:rsidR="006C273F">
        <w:rPr>
          <w:rFonts w:eastAsia="Times New Roman" w:cs="Arial"/>
          <w:sz w:val="24"/>
          <w:szCs w:val="24"/>
          <w:lang w:val="en-GB"/>
        </w:rPr>
        <w:t>;</w:t>
      </w:r>
    </w:p>
    <w:p w14:paraId="0288A436" w14:textId="77777777" w:rsidR="00524BB8" w:rsidRPr="00524BB8" w:rsidRDefault="00524BB8" w:rsidP="00524BB8">
      <w:pPr>
        <w:numPr>
          <w:ilvl w:val="0"/>
          <w:numId w:val="72"/>
        </w:numPr>
        <w:contextualSpacing/>
        <w:jc w:val="both"/>
        <w:rPr>
          <w:rFonts w:eastAsia="Times New Roman" w:cs="Arial"/>
          <w:sz w:val="24"/>
          <w:szCs w:val="24"/>
          <w:lang w:val="en-GB"/>
        </w:rPr>
      </w:pPr>
      <w:r w:rsidRPr="00524BB8">
        <w:rPr>
          <w:rFonts w:eastAsia="Times New Roman" w:cs="Arial"/>
          <w:sz w:val="24"/>
          <w:szCs w:val="24"/>
          <w:lang w:val="en-GB"/>
        </w:rPr>
        <w:t>There is a lack of evidence for different competitive conditions throughout Georgia mainly due to:</w:t>
      </w:r>
    </w:p>
    <w:p w14:paraId="4F1068AF" w14:textId="1F404E95" w:rsidR="00524BB8" w:rsidRPr="00524BB8" w:rsidRDefault="00524BB8" w:rsidP="00524BB8">
      <w:pPr>
        <w:numPr>
          <w:ilvl w:val="1"/>
          <w:numId w:val="72"/>
        </w:numPr>
        <w:contextualSpacing/>
        <w:jc w:val="both"/>
        <w:rPr>
          <w:rFonts w:eastAsia="Times New Roman" w:cs="Arial"/>
          <w:sz w:val="24"/>
          <w:szCs w:val="24"/>
          <w:lang w:val="en-GB"/>
        </w:rPr>
      </w:pPr>
      <w:r w:rsidRPr="00524BB8">
        <w:rPr>
          <w:rFonts w:eastAsia="Times New Roman" w:cs="Arial"/>
          <w:sz w:val="24"/>
          <w:szCs w:val="24"/>
          <w:lang w:val="en-GB"/>
        </w:rPr>
        <w:t>The non-existence of wholesale offers</w:t>
      </w:r>
      <w:r w:rsidR="006C273F">
        <w:rPr>
          <w:rFonts w:eastAsia="Times New Roman" w:cs="Arial"/>
          <w:sz w:val="24"/>
          <w:szCs w:val="24"/>
          <w:lang w:val="en-GB"/>
        </w:rPr>
        <w:t>;</w:t>
      </w:r>
    </w:p>
    <w:p w14:paraId="438CDCD7" w14:textId="464DB70B" w:rsidR="00524BB8" w:rsidRPr="00524BB8" w:rsidRDefault="00524BB8" w:rsidP="00524BB8">
      <w:pPr>
        <w:numPr>
          <w:ilvl w:val="1"/>
          <w:numId w:val="72"/>
        </w:numPr>
        <w:contextualSpacing/>
        <w:jc w:val="both"/>
        <w:rPr>
          <w:rFonts w:eastAsia="Times New Roman" w:cs="Arial"/>
          <w:sz w:val="24"/>
          <w:szCs w:val="24"/>
          <w:lang w:val="en-GB"/>
        </w:rPr>
      </w:pPr>
      <w:r w:rsidRPr="00524BB8">
        <w:rPr>
          <w:rFonts w:eastAsia="Times New Roman" w:cs="Arial"/>
          <w:sz w:val="24"/>
          <w:szCs w:val="24"/>
          <w:lang w:val="en-GB"/>
        </w:rPr>
        <w:t>The non-existence of (wholesale) access-based competition</w:t>
      </w:r>
      <w:r w:rsidR="006C273F">
        <w:rPr>
          <w:rFonts w:eastAsia="Times New Roman" w:cs="Arial"/>
          <w:sz w:val="24"/>
          <w:szCs w:val="24"/>
          <w:lang w:val="en-GB"/>
        </w:rPr>
        <w:t>;</w:t>
      </w:r>
    </w:p>
    <w:p w14:paraId="0E00F7BB" w14:textId="5FCBAAC8" w:rsidR="00524BB8" w:rsidRPr="00524BB8" w:rsidRDefault="00524BB8" w:rsidP="00524BB8">
      <w:pPr>
        <w:numPr>
          <w:ilvl w:val="1"/>
          <w:numId w:val="72"/>
        </w:numPr>
        <w:contextualSpacing/>
        <w:jc w:val="both"/>
        <w:rPr>
          <w:rFonts w:eastAsia="Times New Roman" w:cs="Arial"/>
          <w:sz w:val="24"/>
          <w:szCs w:val="24"/>
          <w:lang w:val="en-GB"/>
        </w:rPr>
      </w:pPr>
      <w:r w:rsidRPr="00524BB8">
        <w:rPr>
          <w:rFonts w:eastAsia="Times New Roman" w:cs="Arial"/>
          <w:sz w:val="24"/>
          <w:szCs w:val="24"/>
          <w:lang w:val="en-GB"/>
        </w:rPr>
        <w:t>The non-existence of open access networks at the access network level</w:t>
      </w:r>
      <w:r w:rsidR="006C273F">
        <w:rPr>
          <w:rFonts w:eastAsia="Times New Roman" w:cs="Arial"/>
          <w:sz w:val="24"/>
          <w:szCs w:val="24"/>
          <w:lang w:val="en-GB"/>
        </w:rPr>
        <w:t>;</w:t>
      </w:r>
    </w:p>
    <w:p w14:paraId="562C6952" w14:textId="71CB4E53" w:rsidR="00524BB8" w:rsidRPr="00524BB8" w:rsidRDefault="00524BB8" w:rsidP="00524BB8">
      <w:pPr>
        <w:numPr>
          <w:ilvl w:val="1"/>
          <w:numId w:val="72"/>
        </w:numPr>
        <w:contextualSpacing/>
        <w:jc w:val="both"/>
        <w:rPr>
          <w:rFonts w:eastAsia="Times New Roman" w:cs="Arial"/>
          <w:sz w:val="24"/>
          <w:szCs w:val="24"/>
          <w:lang w:val="en-GB"/>
        </w:rPr>
      </w:pPr>
      <w:r w:rsidRPr="00524BB8">
        <w:rPr>
          <w:rFonts w:eastAsia="Times New Roman" w:cs="Arial"/>
          <w:sz w:val="24"/>
          <w:szCs w:val="24"/>
          <w:lang w:val="en-GB"/>
        </w:rPr>
        <w:t>The retail market definition is a national market</w:t>
      </w:r>
      <w:r w:rsidR="006C273F">
        <w:rPr>
          <w:rFonts w:eastAsia="Times New Roman" w:cs="Arial"/>
          <w:sz w:val="24"/>
          <w:szCs w:val="24"/>
          <w:lang w:val="en-GB"/>
        </w:rPr>
        <w:t>.</w:t>
      </w:r>
    </w:p>
    <w:p w14:paraId="00D144F6" w14:textId="77777777" w:rsidR="00524BB8" w:rsidRPr="00524BB8" w:rsidRDefault="00524BB8" w:rsidP="00524BB8">
      <w:pPr>
        <w:ind w:left="1440"/>
        <w:contextualSpacing/>
        <w:jc w:val="both"/>
        <w:rPr>
          <w:rFonts w:eastAsia="Times New Roman" w:cs="Arial"/>
          <w:sz w:val="24"/>
          <w:szCs w:val="24"/>
          <w:lang w:val="en-GB"/>
        </w:rPr>
      </w:pPr>
    </w:p>
    <w:p w14:paraId="774F407E" w14:textId="09791184" w:rsidR="00524BB8" w:rsidRPr="00524BB8" w:rsidRDefault="00524BB8" w:rsidP="00F80ADB">
      <w:pPr>
        <w:pStyle w:val="Heading2"/>
        <w:numPr>
          <w:ilvl w:val="1"/>
          <w:numId w:val="106"/>
        </w:numPr>
        <w:spacing w:after="240"/>
        <w:rPr>
          <w:lang w:val="en-GB"/>
        </w:rPr>
      </w:pPr>
      <w:bookmarkStart w:id="2" w:name="_Toc169258881"/>
      <w:r w:rsidRPr="00524BB8">
        <w:rPr>
          <w:lang w:val="en-GB"/>
        </w:rPr>
        <w:t>Assessment of significant market power</w:t>
      </w:r>
      <w:bookmarkEnd w:id="2"/>
    </w:p>
    <w:p w14:paraId="366A2BA5" w14:textId="626EE81B"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In next stage, the ‘three criteria test’ was undertaken and it was concluded that that the test requirements are met (as defined by EU law)</w:t>
      </w:r>
      <w:r w:rsidR="000616DF">
        <w:rPr>
          <w:rFonts w:eastAsia="Times New Roman" w:cs="Arial"/>
          <w:sz w:val="24"/>
          <w:szCs w:val="24"/>
          <w:lang w:val="en-GB"/>
        </w:rPr>
        <w:t xml:space="preserve">. </w:t>
      </w:r>
      <w:r w:rsidRPr="00524BB8">
        <w:rPr>
          <w:rFonts w:eastAsia="Times New Roman" w:cs="Arial"/>
          <w:sz w:val="24"/>
          <w:szCs w:val="24"/>
          <w:lang w:val="en-GB"/>
        </w:rPr>
        <w:t xml:space="preserve">This means that the market of wholesale local and central access is considered to be susceptible to </w:t>
      </w:r>
      <w:r w:rsidRPr="00524BB8">
        <w:rPr>
          <w:rFonts w:eastAsia="Times New Roman" w:cs="Arial"/>
          <w:i/>
          <w:iCs/>
          <w:sz w:val="24"/>
          <w:szCs w:val="24"/>
          <w:lang w:val="en-GB"/>
        </w:rPr>
        <w:t>ex-ante</w:t>
      </w:r>
      <w:r w:rsidRPr="00524BB8">
        <w:rPr>
          <w:rFonts w:eastAsia="Times New Roman" w:cs="Arial"/>
          <w:sz w:val="24"/>
          <w:szCs w:val="24"/>
          <w:lang w:val="en-GB"/>
        </w:rPr>
        <w:t xml:space="preserve"> regulation. </w:t>
      </w:r>
    </w:p>
    <w:p w14:paraId="2219205A" w14:textId="77777777" w:rsidR="00524BB8" w:rsidRPr="00524BB8" w:rsidRDefault="00524BB8" w:rsidP="00524BB8">
      <w:pPr>
        <w:jc w:val="both"/>
        <w:rPr>
          <w:rFonts w:eastAsia="Times New Roman" w:cs="Arial"/>
          <w:sz w:val="24"/>
          <w:szCs w:val="24"/>
          <w:lang w:val="en-GB"/>
        </w:rPr>
      </w:pPr>
      <w:r w:rsidRPr="00524BB8">
        <w:rPr>
          <w:rFonts w:eastAsia="Times New Roman" w:cs="Arial"/>
          <w:sz w:val="24"/>
          <w:szCs w:val="24"/>
          <w:lang w:val="en-GB"/>
        </w:rPr>
        <w:t>In line with the next stages of the market review process used in Georgia and the EU, an assessment of competition in the relevant wholesale market of local and central access at a fixed location has been performed. It is concluded that Magticom possesses SMP in the wholesale market for local and central access at a fixed location, based on its high market shares (using both its corresponding downstream retail market share and its FTTx coverage capacity) and backed-up by an analysis of a number of secondary criteria, notably:</w:t>
      </w:r>
    </w:p>
    <w:p w14:paraId="38FAD425" w14:textId="77777777" w:rsidR="00524BB8" w:rsidRPr="00524BB8" w:rsidRDefault="00524BB8" w:rsidP="00524BB8">
      <w:pPr>
        <w:numPr>
          <w:ilvl w:val="0"/>
          <w:numId w:val="103"/>
        </w:numPr>
        <w:spacing w:line="256" w:lineRule="auto"/>
        <w:contextualSpacing/>
        <w:jc w:val="both"/>
        <w:rPr>
          <w:rFonts w:eastAsia="Times New Roman"/>
          <w:sz w:val="24"/>
          <w:szCs w:val="24"/>
          <w:lang w:val="en-GB"/>
        </w:rPr>
      </w:pPr>
      <w:r w:rsidRPr="00524BB8">
        <w:rPr>
          <w:rFonts w:eastAsia="Times New Roman"/>
          <w:sz w:val="24"/>
          <w:szCs w:val="24"/>
          <w:lang w:val="en-GB"/>
        </w:rPr>
        <w:t>The existing barriers to market entry and expansion evidenced by the lack of significant competition and potential competition within a forward-looking timescale of 3 years,</w:t>
      </w:r>
    </w:p>
    <w:p w14:paraId="09A952CE" w14:textId="77777777" w:rsidR="00524BB8" w:rsidRPr="00524BB8" w:rsidRDefault="00524BB8" w:rsidP="00524BB8">
      <w:pPr>
        <w:numPr>
          <w:ilvl w:val="0"/>
          <w:numId w:val="103"/>
        </w:numPr>
        <w:spacing w:line="256" w:lineRule="auto"/>
        <w:contextualSpacing/>
        <w:jc w:val="both"/>
        <w:rPr>
          <w:rFonts w:eastAsia="Times New Roman"/>
          <w:sz w:val="24"/>
          <w:szCs w:val="24"/>
          <w:lang w:val="en-GB"/>
        </w:rPr>
      </w:pPr>
      <w:r w:rsidRPr="00524BB8">
        <w:rPr>
          <w:rFonts w:eastAsia="Times New Roman"/>
          <w:sz w:val="24"/>
          <w:szCs w:val="24"/>
          <w:lang w:val="en-GB"/>
        </w:rPr>
        <w:t>Magticom’s absolute and relative size compared to its competitors,</w:t>
      </w:r>
    </w:p>
    <w:p w14:paraId="3FDA67A0" w14:textId="77777777" w:rsidR="00524BB8" w:rsidRPr="00524BB8" w:rsidRDefault="00524BB8" w:rsidP="00524BB8">
      <w:pPr>
        <w:numPr>
          <w:ilvl w:val="0"/>
          <w:numId w:val="103"/>
        </w:numPr>
        <w:spacing w:line="256" w:lineRule="auto"/>
        <w:contextualSpacing/>
        <w:jc w:val="both"/>
        <w:rPr>
          <w:rFonts w:eastAsia="Times New Roman"/>
          <w:sz w:val="24"/>
          <w:szCs w:val="24"/>
          <w:lang w:val="en-GB"/>
        </w:rPr>
      </w:pPr>
      <w:r w:rsidRPr="00524BB8">
        <w:rPr>
          <w:rFonts w:eastAsia="Times New Roman"/>
          <w:sz w:val="24"/>
          <w:szCs w:val="24"/>
          <w:lang w:val="en-GB"/>
        </w:rPr>
        <w:t>Magticom’s control over infrastructure not easily duplicated by its competitors in terms of the required national coverage,</w:t>
      </w:r>
    </w:p>
    <w:p w14:paraId="38C64735" w14:textId="77777777" w:rsidR="00524BB8" w:rsidRPr="00524BB8" w:rsidRDefault="00524BB8" w:rsidP="00524BB8">
      <w:pPr>
        <w:numPr>
          <w:ilvl w:val="0"/>
          <w:numId w:val="103"/>
        </w:numPr>
        <w:spacing w:line="256" w:lineRule="auto"/>
        <w:contextualSpacing/>
        <w:jc w:val="both"/>
        <w:rPr>
          <w:rFonts w:eastAsia="Times New Roman"/>
          <w:sz w:val="24"/>
          <w:szCs w:val="24"/>
          <w:lang w:val="en-GB"/>
        </w:rPr>
      </w:pPr>
      <w:r w:rsidRPr="00524BB8">
        <w:rPr>
          <w:rFonts w:eastAsia="Times New Roman"/>
          <w:sz w:val="24"/>
          <w:szCs w:val="24"/>
          <w:lang w:val="en-GB"/>
        </w:rPr>
        <w:t>Absence of countervailing buying power and Magticom’s lack of incentive to conclude long-term and sustainable wholesale agreements,</w:t>
      </w:r>
    </w:p>
    <w:p w14:paraId="7582D7C7" w14:textId="64799F4A" w:rsidR="00524BB8" w:rsidRDefault="00524BB8" w:rsidP="000616DF">
      <w:pPr>
        <w:numPr>
          <w:ilvl w:val="0"/>
          <w:numId w:val="103"/>
        </w:numPr>
        <w:spacing w:line="256" w:lineRule="auto"/>
        <w:contextualSpacing/>
        <w:jc w:val="both"/>
        <w:rPr>
          <w:rFonts w:eastAsia="Times New Roman"/>
          <w:sz w:val="24"/>
          <w:szCs w:val="24"/>
          <w:lang w:val="en-GB"/>
        </w:rPr>
      </w:pPr>
      <w:r w:rsidRPr="00524BB8">
        <w:rPr>
          <w:rFonts w:eastAsia="Times New Roman"/>
          <w:sz w:val="24"/>
          <w:szCs w:val="24"/>
          <w:lang w:val="en-GB"/>
        </w:rPr>
        <w:t>Magticom’s significant economies of scale and scope gained through its national infrastructure for both fixed and mobile services, its national distribution channels and vertical integration.</w:t>
      </w:r>
    </w:p>
    <w:p w14:paraId="5027A8B2" w14:textId="77777777" w:rsidR="000616DF" w:rsidRPr="00524BB8" w:rsidRDefault="000616DF" w:rsidP="000616DF">
      <w:pPr>
        <w:spacing w:line="256" w:lineRule="auto"/>
        <w:ind w:left="720"/>
        <w:contextualSpacing/>
        <w:jc w:val="both"/>
        <w:rPr>
          <w:rFonts w:eastAsia="Times New Roman"/>
          <w:sz w:val="24"/>
          <w:szCs w:val="24"/>
          <w:lang w:val="en-GB"/>
        </w:rPr>
      </w:pPr>
    </w:p>
    <w:p w14:paraId="379CE4BB" w14:textId="5E3BF9A1" w:rsidR="00524BB8" w:rsidRPr="00524BB8" w:rsidRDefault="00524BB8" w:rsidP="00F80ADB">
      <w:pPr>
        <w:pStyle w:val="Heading2"/>
        <w:numPr>
          <w:ilvl w:val="1"/>
          <w:numId w:val="106"/>
        </w:numPr>
        <w:spacing w:after="240"/>
        <w:rPr>
          <w:lang w:val="en-GB"/>
        </w:rPr>
      </w:pPr>
      <w:bookmarkStart w:id="3" w:name="_Toc169258882"/>
      <w:r w:rsidRPr="00524BB8">
        <w:rPr>
          <w:lang w:val="en-GB"/>
        </w:rPr>
        <w:t>The required regulatory remedies</w:t>
      </w:r>
      <w:bookmarkEnd w:id="3"/>
    </w:p>
    <w:p w14:paraId="18FFA218" w14:textId="6B56F492" w:rsidR="00524BB8" w:rsidRPr="00524BB8" w:rsidRDefault="00524BB8" w:rsidP="00524BB8">
      <w:pPr>
        <w:adjustRightInd w:val="0"/>
        <w:spacing w:after="240"/>
        <w:jc w:val="both"/>
        <w:rPr>
          <w:rFonts w:eastAsia="Times New Roman" w:cs="Arial"/>
          <w:sz w:val="24"/>
          <w:szCs w:val="24"/>
          <w:lang w:val="en-GB"/>
        </w:rPr>
      </w:pPr>
      <w:r w:rsidRPr="00524BB8">
        <w:rPr>
          <w:rFonts w:eastAsia="Times New Roman" w:cs="Arial"/>
          <w:sz w:val="24"/>
          <w:szCs w:val="24"/>
          <w:lang w:val="en-GB"/>
        </w:rPr>
        <w:t xml:space="preserve">Under the Georgian and EU frameworks, if an SMP operator is found on a relevant market, at least one regulatory obligation should be imposed on that operator. In the Georgian market for fixed broadband services, different competitive conditions are found in different settlements, depending on the number of operators present. In order to take into </w:t>
      </w:r>
      <w:r w:rsidR="006C273F" w:rsidRPr="00524BB8">
        <w:rPr>
          <w:rFonts w:eastAsia="Times New Roman" w:cs="Arial"/>
          <w:sz w:val="24"/>
          <w:szCs w:val="24"/>
          <w:lang w:val="en-GB"/>
        </w:rPr>
        <w:t>account,</w:t>
      </w:r>
      <w:r w:rsidRPr="00524BB8">
        <w:rPr>
          <w:rFonts w:eastAsia="Times New Roman" w:cs="Arial"/>
          <w:sz w:val="24"/>
          <w:szCs w:val="24"/>
          <w:lang w:val="en-GB"/>
        </w:rPr>
        <w:t xml:space="preserve"> the proportionality principle required under the Georgian and EU frameworks, a different set of regulatory remedies is needed </w:t>
      </w:r>
      <w:r w:rsidR="00292538">
        <w:rPr>
          <w:rFonts w:eastAsia="Times New Roman" w:cs="Arial"/>
          <w:sz w:val="24"/>
          <w:szCs w:val="24"/>
          <w:lang w:val="en-GB"/>
        </w:rPr>
        <w:t xml:space="preserve">to </w:t>
      </w:r>
      <w:r w:rsidRPr="00524BB8">
        <w:rPr>
          <w:rFonts w:eastAsia="Times New Roman" w:cs="Arial"/>
          <w:sz w:val="24"/>
          <w:szCs w:val="24"/>
          <w:lang w:val="en-GB"/>
        </w:rPr>
        <w:t xml:space="preserve">apply to geographical areas where the competitive conditions differ. </w:t>
      </w:r>
    </w:p>
    <w:p w14:paraId="21FA2320" w14:textId="77777777" w:rsidR="00524BB8" w:rsidRPr="00524BB8" w:rsidRDefault="00524BB8" w:rsidP="00524BB8">
      <w:pPr>
        <w:adjustRightInd w:val="0"/>
        <w:spacing w:after="240"/>
        <w:jc w:val="both"/>
        <w:rPr>
          <w:rFonts w:eastAsia="Times New Roman" w:cs="Arial"/>
          <w:sz w:val="24"/>
          <w:szCs w:val="24"/>
          <w:lang w:val="en-GB"/>
        </w:rPr>
      </w:pPr>
      <w:r w:rsidRPr="00524BB8">
        <w:rPr>
          <w:rFonts w:eastAsia="Times New Roman" w:cs="Arial"/>
          <w:sz w:val="24"/>
          <w:szCs w:val="24"/>
          <w:lang w:val="en-GB"/>
        </w:rPr>
        <w:t>A settlement is considered to be contestable (that is the existing competitive conditions in the settlement show evidence that new entrants and smaller operators may, in the forward-looking time horizon of this market analysis, successfully take hold and compete with Magticom) if the following cumulative criteria are met:</w:t>
      </w:r>
    </w:p>
    <w:p w14:paraId="14224324" w14:textId="6E8BFB8D" w:rsidR="00524BB8" w:rsidRPr="00524BB8" w:rsidRDefault="00524BB8" w:rsidP="00524BB8">
      <w:pPr>
        <w:numPr>
          <w:ilvl w:val="0"/>
          <w:numId w:val="38"/>
        </w:numPr>
        <w:adjustRightInd w:val="0"/>
        <w:spacing w:after="240"/>
        <w:contextualSpacing/>
        <w:jc w:val="both"/>
        <w:rPr>
          <w:rFonts w:eastAsia="Times New Roman" w:cs="Arial"/>
          <w:sz w:val="24"/>
          <w:szCs w:val="24"/>
          <w:lang w:val="en-GB"/>
        </w:rPr>
      </w:pPr>
      <w:r w:rsidRPr="00524BB8">
        <w:rPr>
          <w:rFonts w:eastAsia="Times New Roman" w:cs="Arial"/>
          <w:sz w:val="24"/>
          <w:szCs w:val="24"/>
          <w:lang w:val="en-GB"/>
        </w:rPr>
        <w:t>There are at least three FTTx network operators present</w:t>
      </w:r>
      <w:r w:rsidR="006C273F">
        <w:rPr>
          <w:rFonts w:eastAsia="Times New Roman" w:cs="Arial"/>
          <w:sz w:val="24"/>
          <w:szCs w:val="24"/>
          <w:lang w:val="en-GB"/>
        </w:rPr>
        <w:t>;</w:t>
      </w:r>
    </w:p>
    <w:p w14:paraId="01767E9E" w14:textId="1407AC50" w:rsidR="00524BB8" w:rsidRPr="00524BB8" w:rsidRDefault="00524BB8" w:rsidP="00524BB8">
      <w:pPr>
        <w:numPr>
          <w:ilvl w:val="0"/>
          <w:numId w:val="38"/>
        </w:numPr>
        <w:adjustRightInd w:val="0"/>
        <w:spacing w:after="240"/>
        <w:contextualSpacing/>
        <w:jc w:val="both"/>
        <w:rPr>
          <w:rFonts w:eastAsia="Times New Roman" w:cs="Arial"/>
          <w:sz w:val="24"/>
          <w:szCs w:val="24"/>
          <w:lang w:val="en-GB"/>
        </w:rPr>
      </w:pPr>
      <w:r w:rsidRPr="00524BB8">
        <w:rPr>
          <w:rFonts w:eastAsia="Times New Roman" w:cs="Arial"/>
          <w:sz w:val="24"/>
          <w:szCs w:val="24"/>
          <w:lang w:val="en-GB"/>
        </w:rPr>
        <w:t>Magticom’s share of FTTx broadband access subscribers is less than 40%</w:t>
      </w:r>
      <w:r w:rsidR="006C273F">
        <w:rPr>
          <w:rFonts w:eastAsia="Times New Roman" w:cs="Arial"/>
          <w:sz w:val="24"/>
          <w:szCs w:val="24"/>
          <w:lang w:val="en-GB"/>
        </w:rPr>
        <w:t>;</w:t>
      </w:r>
    </w:p>
    <w:p w14:paraId="39E43244" w14:textId="7BE69360" w:rsidR="00524BB8" w:rsidRPr="00524BB8" w:rsidRDefault="00524BB8" w:rsidP="00524BB8">
      <w:pPr>
        <w:numPr>
          <w:ilvl w:val="0"/>
          <w:numId w:val="38"/>
        </w:numPr>
        <w:adjustRightInd w:val="0"/>
        <w:spacing w:after="240"/>
        <w:contextualSpacing/>
        <w:jc w:val="both"/>
        <w:rPr>
          <w:rFonts w:eastAsia="Times New Roman" w:cs="Arial"/>
          <w:sz w:val="24"/>
          <w:szCs w:val="24"/>
          <w:lang w:val="en-GB"/>
        </w:rPr>
      </w:pPr>
      <w:r w:rsidRPr="00524BB8">
        <w:rPr>
          <w:rFonts w:eastAsia="Times New Roman" w:cs="Arial"/>
          <w:sz w:val="24"/>
          <w:szCs w:val="24"/>
          <w:lang w:val="en-GB"/>
        </w:rPr>
        <w:t>There are at least two additional FTTx operators each with shares of FTTx broadband access subscribers of least 10% of FTTx retail fixed broadband access subscribers</w:t>
      </w:r>
      <w:r w:rsidR="006C273F">
        <w:rPr>
          <w:rFonts w:eastAsia="Times New Roman" w:cs="Arial"/>
          <w:sz w:val="24"/>
          <w:szCs w:val="24"/>
          <w:lang w:val="en-GB"/>
        </w:rPr>
        <w:t>.</w:t>
      </w:r>
    </w:p>
    <w:p w14:paraId="02691D65" w14:textId="77777777" w:rsidR="00524BB8" w:rsidRPr="00524BB8" w:rsidRDefault="00524BB8" w:rsidP="00524BB8">
      <w:pPr>
        <w:adjustRightInd w:val="0"/>
        <w:spacing w:after="240"/>
        <w:jc w:val="both"/>
        <w:rPr>
          <w:rFonts w:eastAsia="Times New Roman" w:cs="Arial"/>
          <w:sz w:val="24"/>
          <w:szCs w:val="24"/>
          <w:lang w:val="en-GB"/>
        </w:rPr>
      </w:pPr>
      <w:r w:rsidRPr="00524BB8">
        <w:rPr>
          <w:rFonts w:eastAsia="Times New Roman" w:cs="Arial"/>
          <w:sz w:val="24"/>
          <w:szCs w:val="24"/>
          <w:lang w:val="en-GB"/>
        </w:rPr>
        <w:t xml:space="preserve">For settlements where the above cumulative criteria are not met, a complementary assessment is then made to consider the most appropriate and proportionate </w:t>
      </w:r>
      <w:r w:rsidRPr="00524BB8">
        <w:rPr>
          <w:rFonts w:eastAsia="Times New Roman" w:cs="Arial"/>
          <w:i/>
          <w:iCs/>
          <w:sz w:val="24"/>
          <w:szCs w:val="24"/>
          <w:lang w:val="en-GB"/>
        </w:rPr>
        <w:t>ex-ante</w:t>
      </w:r>
      <w:r w:rsidRPr="00524BB8">
        <w:rPr>
          <w:rFonts w:eastAsia="Times New Roman" w:cs="Arial"/>
          <w:sz w:val="24"/>
          <w:szCs w:val="24"/>
          <w:lang w:val="en-GB"/>
        </w:rPr>
        <w:t xml:space="preserve"> regulation measures:</w:t>
      </w:r>
    </w:p>
    <w:p w14:paraId="15995D99" w14:textId="48C32A68" w:rsidR="00524BB8" w:rsidRPr="00524BB8" w:rsidRDefault="00524BB8" w:rsidP="00524BB8">
      <w:pPr>
        <w:numPr>
          <w:ilvl w:val="0"/>
          <w:numId w:val="39"/>
        </w:numPr>
        <w:adjustRightInd w:val="0"/>
        <w:spacing w:after="240"/>
        <w:contextualSpacing/>
        <w:jc w:val="both"/>
        <w:rPr>
          <w:rFonts w:eastAsia="Times New Roman" w:cs="Arial"/>
          <w:sz w:val="24"/>
          <w:szCs w:val="24"/>
          <w:lang w:val="en-GB"/>
        </w:rPr>
      </w:pPr>
      <w:r w:rsidRPr="00524BB8">
        <w:rPr>
          <w:rFonts w:eastAsia="Times New Roman" w:cs="Arial"/>
          <w:sz w:val="24"/>
          <w:szCs w:val="24"/>
          <w:lang w:val="en-GB"/>
        </w:rPr>
        <w:t>Three FTTx networks are present with a Magticom’s share of FTTx broadband access users over 40%, but tending towards less than 40% within the forward-looking time horizon of this market analysis, based on the extrapolation of a stable trend from past years</w:t>
      </w:r>
      <w:r w:rsidR="00A44F66">
        <w:rPr>
          <w:rFonts w:eastAsia="Times New Roman" w:cs="Arial"/>
          <w:sz w:val="24"/>
          <w:szCs w:val="24"/>
          <w:lang w:val="en-GB"/>
        </w:rPr>
        <w:t>;</w:t>
      </w:r>
    </w:p>
    <w:p w14:paraId="37A86903" w14:textId="77777777" w:rsidR="00524BB8" w:rsidRPr="00524BB8" w:rsidRDefault="00524BB8" w:rsidP="00524BB8">
      <w:pPr>
        <w:numPr>
          <w:ilvl w:val="0"/>
          <w:numId w:val="39"/>
        </w:numPr>
        <w:adjustRightInd w:val="0"/>
        <w:spacing w:after="240"/>
        <w:contextualSpacing/>
        <w:jc w:val="both"/>
        <w:rPr>
          <w:rFonts w:eastAsia="Times New Roman" w:cs="Arial"/>
          <w:sz w:val="24"/>
          <w:szCs w:val="24"/>
          <w:lang w:val="en-GB"/>
        </w:rPr>
      </w:pPr>
      <w:r w:rsidRPr="00524BB8">
        <w:rPr>
          <w:rFonts w:eastAsia="Times New Roman" w:cs="Arial"/>
          <w:sz w:val="24"/>
          <w:szCs w:val="24"/>
          <w:lang w:val="en-GB"/>
        </w:rPr>
        <w:t>FTTx network coverage: Three operators are present (including Magticom) with at least one operator having coverage of at least 80% of premises passed and another with at least 20% of premises passed.</w:t>
      </w:r>
    </w:p>
    <w:p w14:paraId="4726937B" w14:textId="618C957D" w:rsidR="00524BB8" w:rsidRPr="00524BB8" w:rsidRDefault="00524BB8" w:rsidP="00524BB8">
      <w:pPr>
        <w:adjustRightInd w:val="0"/>
        <w:spacing w:after="240"/>
        <w:jc w:val="both"/>
        <w:rPr>
          <w:rFonts w:eastAsia="Times New Roman" w:cs="Arial"/>
          <w:sz w:val="24"/>
          <w:szCs w:val="24"/>
          <w:lang w:val="en-GB"/>
        </w:rPr>
      </w:pPr>
      <w:r w:rsidRPr="00524BB8">
        <w:rPr>
          <w:rFonts w:eastAsia="Times New Roman" w:cs="Arial"/>
          <w:sz w:val="24"/>
          <w:szCs w:val="24"/>
          <w:lang w:val="en-GB"/>
        </w:rPr>
        <w:t xml:space="preserve">A further complementary criterion is used to </w:t>
      </w:r>
      <w:r w:rsidR="007F71D9">
        <w:rPr>
          <w:rFonts w:eastAsia="Times New Roman" w:cs="Arial"/>
          <w:sz w:val="24"/>
          <w:szCs w:val="24"/>
          <w:lang w:val="en-GB"/>
        </w:rPr>
        <w:t xml:space="preserve">prevent </w:t>
      </w:r>
      <w:r w:rsidRPr="00524BB8">
        <w:rPr>
          <w:rFonts w:eastAsia="Times New Roman" w:cs="Arial"/>
          <w:sz w:val="24"/>
          <w:szCs w:val="24"/>
          <w:lang w:val="en-GB"/>
        </w:rPr>
        <w:t>unjustified deregulation:</w:t>
      </w:r>
    </w:p>
    <w:p w14:paraId="2DF49F7D" w14:textId="0E8C3D78" w:rsidR="00524BB8" w:rsidRPr="00524BB8" w:rsidRDefault="00524BB8" w:rsidP="00524BB8">
      <w:pPr>
        <w:numPr>
          <w:ilvl w:val="0"/>
          <w:numId w:val="39"/>
        </w:numPr>
        <w:adjustRightInd w:val="0"/>
        <w:spacing w:after="240"/>
        <w:contextualSpacing/>
        <w:jc w:val="both"/>
        <w:rPr>
          <w:rFonts w:eastAsia="Times New Roman" w:cs="Arial"/>
          <w:sz w:val="24"/>
          <w:szCs w:val="24"/>
          <w:lang w:val="en-GB"/>
        </w:rPr>
      </w:pPr>
      <w:r w:rsidRPr="00524BB8">
        <w:rPr>
          <w:rFonts w:eastAsia="Times New Roman" w:cs="Arial"/>
          <w:sz w:val="24"/>
          <w:szCs w:val="24"/>
          <w:lang w:val="en-GB"/>
        </w:rPr>
        <w:t xml:space="preserve">The size of </w:t>
      </w:r>
      <w:r w:rsidR="008C1245">
        <w:rPr>
          <w:rFonts w:eastAsia="Times New Roman" w:cs="Arial"/>
          <w:sz w:val="24"/>
          <w:szCs w:val="24"/>
          <w:lang w:val="en-GB"/>
        </w:rPr>
        <w:t xml:space="preserve">a </w:t>
      </w:r>
      <w:r w:rsidRPr="00524BB8">
        <w:rPr>
          <w:rFonts w:eastAsia="Times New Roman" w:cs="Arial"/>
          <w:sz w:val="24"/>
          <w:szCs w:val="24"/>
          <w:lang w:val="en-GB"/>
        </w:rPr>
        <w:t>settlement is above 100,000 inhabitants. The four Georgian cities of this size are assessed separately. If the main cumulative criteria</w:t>
      </w:r>
      <w:r w:rsidR="00B134C3">
        <w:rPr>
          <w:rFonts w:eastAsia="Times New Roman" w:cs="Arial"/>
          <w:sz w:val="24"/>
          <w:szCs w:val="24"/>
          <w:lang w:val="en-GB"/>
        </w:rPr>
        <w:t xml:space="preserve"> I, </w:t>
      </w:r>
      <w:r w:rsidRPr="00524BB8">
        <w:rPr>
          <w:rFonts w:eastAsia="Times New Roman" w:cs="Arial"/>
          <w:sz w:val="24"/>
          <w:szCs w:val="24"/>
          <w:lang w:val="en-GB"/>
        </w:rPr>
        <w:t>ii. and iii above are met, this does not mean that these cities are effectively contestable throughout each city.</w:t>
      </w:r>
    </w:p>
    <w:p w14:paraId="74A5C67B" w14:textId="692F5E83" w:rsidR="00524BB8" w:rsidRPr="00524BB8" w:rsidRDefault="00524BB8" w:rsidP="00BD5960">
      <w:pPr>
        <w:adjustRightInd w:val="0"/>
        <w:spacing w:after="240"/>
        <w:jc w:val="both"/>
        <w:rPr>
          <w:rFonts w:eastAsia="Times New Roman" w:cs="Arial"/>
          <w:sz w:val="24"/>
          <w:szCs w:val="24"/>
          <w:lang w:val="en-GB"/>
        </w:rPr>
      </w:pPr>
      <w:r w:rsidRPr="00524BB8">
        <w:rPr>
          <w:rFonts w:eastAsia="Times New Roman" w:cs="Arial"/>
          <w:sz w:val="24"/>
          <w:szCs w:val="24"/>
          <w:lang w:val="en-GB"/>
        </w:rPr>
        <w:t>Using above defined sets of criteria, the settlements that have the same level of contestability can be grouped together into 3 clusters (groups of settlements), as follows:</w:t>
      </w:r>
    </w:p>
    <w:p w14:paraId="16BC4DD4" w14:textId="77777777" w:rsidR="00524BB8" w:rsidRPr="00524BB8" w:rsidRDefault="00524BB8" w:rsidP="00524BB8">
      <w:pPr>
        <w:numPr>
          <w:ilvl w:val="0"/>
          <w:numId w:val="41"/>
        </w:numPr>
        <w:contextualSpacing/>
        <w:jc w:val="both"/>
        <w:rPr>
          <w:rFonts w:eastAsia="Times New Roman" w:cs="Arial"/>
          <w:sz w:val="24"/>
          <w:szCs w:val="24"/>
          <w:lang w:val="en-GB"/>
        </w:rPr>
      </w:pPr>
      <w:r w:rsidRPr="00524BB8">
        <w:rPr>
          <w:rFonts w:eastAsia="Times New Roman" w:cs="Arial"/>
          <w:b/>
          <w:sz w:val="24"/>
          <w:szCs w:val="24"/>
          <w:lang w:val="en-GB"/>
        </w:rPr>
        <w:t>Cluster I</w:t>
      </w:r>
      <w:r w:rsidRPr="00524BB8">
        <w:rPr>
          <w:rFonts w:eastAsia="Times New Roman" w:cs="Arial"/>
          <w:sz w:val="24"/>
          <w:szCs w:val="24"/>
          <w:lang w:val="en-GB"/>
        </w:rPr>
        <w:t xml:space="preserve">: Settlements that are not contestable or do not tend towards contestability. Settlements in "Cluster I” need to be regulated with a full set of </w:t>
      </w:r>
      <w:r w:rsidRPr="00524BB8">
        <w:rPr>
          <w:rFonts w:eastAsia="Times New Roman" w:cs="Arial"/>
          <w:i/>
          <w:iCs/>
          <w:sz w:val="24"/>
          <w:szCs w:val="24"/>
          <w:lang w:val="en-GB"/>
        </w:rPr>
        <w:t>ex-ante</w:t>
      </w:r>
      <w:r w:rsidRPr="00524BB8">
        <w:rPr>
          <w:rFonts w:eastAsia="Times New Roman" w:cs="Arial"/>
          <w:sz w:val="24"/>
          <w:szCs w:val="24"/>
          <w:lang w:val="en-GB"/>
        </w:rPr>
        <w:t xml:space="preserve"> remedies.</w:t>
      </w:r>
    </w:p>
    <w:p w14:paraId="51027C48" w14:textId="77777777" w:rsidR="00524BB8" w:rsidRPr="00524BB8" w:rsidRDefault="00524BB8" w:rsidP="00524BB8">
      <w:pPr>
        <w:numPr>
          <w:ilvl w:val="0"/>
          <w:numId w:val="41"/>
        </w:numPr>
        <w:contextualSpacing/>
        <w:jc w:val="both"/>
        <w:rPr>
          <w:rFonts w:eastAsia="Times New Roman" w:cs="Arial"/>
          <w:sz w:val="24"/>
          <w:szCs w:val="24"/>
          <w:lang w:val="en-GB"/>
        </w:rPr>
      </w:pPr>
      <w:r w:rsidRPr="00524BB8">
        <w:rPr>
          <w:rFonts w:eastAsia="Times New Roman" w:cs="Arial"/>
          <w:b/>
          <w:sz w:val="24"/>
          <w:szCs w:val="24"/>
          <w:lang w:val="en-GB"/>
        </w:rPr>
        <w:t>Cluster II</w:t>
      </w:r>
      <w:r w:rsidRPr="00524BB8">
        <w:rPr>
          <w:rFonts w:eastAsia="Times New Roman" w:cs="Arial"/>
          <w:sz w:val="24"/>
          <w:szCs w:val="24"/>
          <w:lang w:val="en-GB"/>
        </w:rPr>
        <w:t xml:space="preserve">: All settlements that tend towards contestability or in the largest cities where there is insufficient data on FTTx network coverage conditions within the city. Settlements in “Cluster II” are considered to be subject to lighter </w:t>
      </w:r>
      <w:r w:rsidRPr="00524BB8">
        <w:rPr>
          <w:rFonts w:eastAsia="Times New Roman" w:cs="Arial"/>
          <w:i/>
          <w:iCs/>
          <w:sz w:val="24"/>
          <w:szCs w:val="24"/>
          <w:lang w:val="en-GB"/>
        </w:rPr>
        <w:t>ex-ante</w:t>
      </w:r>
      <w:r w:rsidRPr="00524BB8">
        <w:rPr>
          <w:rFonts w:eastAsia="Times New Roman" w:cs="Arial"/>
          <w:sz w:val="24"/>
          <w:szCs w:val="24"/>
          <w:lang w:val="en-GB"/>
        </w:rPr>
        <w:t xml:space="preserve"> remedies.</w:t>
      </w:r>
    </w:p>
    <w:p w14:paraId="6766ADD2" w14:textId="77777777" w:rsidR="00524BB8" w:rsidRPr="00524BB8" w:rsidRDefault="00524BB8" w:rsidP="00524BB8">
      <w:pPr>
        <w:numPr>
          <w:ilvl w:val="0"/>
          <w:numId w:val="41"/>
        </w:numPr>
        <w:contextualSpacing/>
        <w:jc w:val="both"/>
        <w:rPr>
          <w:rFonts w:eastAsia="Times New Roman" w:cs="Arial"/>
          <w:sz w:val="24"/>
          <w:szCs w:val="24"/>
          <w:lang w:val="en-GB"/>
        </w:rPr>
      </w:pPr>
      <w:r w:rsidRPr="00524BB8">
        <w:rPr>
          <w:rFonts w:eastAsia="Times New Roman" w:cs="Arial"/>
          <w:b/>
          <w:sz w:val="24"/>
          <w:szCs w:val="24"/>
          <w:lang w:val="en-GB"/>
        </w:rPr>
        <w:t>Cluster III</w:t>
      </w:r>
      <w:r w:rsidRPr="00524BB8">
        <w:rPr>
          <w:rFonts w:eastAsia="Times New Roman" w:cs="Arial"/>
          <w:sz w:val="24"/>
          <w:szCs w:val="24"/>
          <w:lang w:val="en-GB"/>
        </w:rPr>
        <w:t>: All settlements which appear contestable. Settlements in “Cluster III” can be regulated with the lightest set of ex-ante remedies.</w:t>
      </w:r>
    </w:p>
    <w:p w14:paraId="21AB0043" w14:textId="6F549463" w:rsidR="00524BB8" w:rsidRPr="00524BB8" w:rsidRDefault="00524BB8" w:rsidP="00524BB8">
      <w:pPr>
        <w:adjustRightInd w:val="0"/>
        <w:spacing w:after="240"/>
        <w:jc w:val="both"/>
        <w:rPr>
          <w:rFonts w:eastAsia="Times New Roman" w:cs="Arial"/>
          <w:sz w:val="24"/>
          <w:szCs w:val="24"/>
          <w:lang w:val="en-GB"/>
        </w:rPr>
      </w:pPr>
      <w:r w:rsidRPr="00524BB8">
        <w:rPr>
          <w:rFonts w:eastAsia="Times New Roman" w:cs="Arial"/>
          <w:sz w:val="24"/>
          <w:szCs w:val="24"/>
          <w:lang w:val="en-GB"/>
        </w:rPr>
        <w:t xml:space="preserve">In the next stage of the market analysis process, potential competition problems were identified. The identified problems are likely to arise because Magticom could have the ability or intention to use its significant market power over the market. According to the </w:t>
      </w:r>
      <w:r w:rsidRPr="00524BB8">
        <w:rPr>
          <w:rFonts w:eastAsia="Times New Roman" w:cs="Arial"/>
          <w:i/>
          <w:iCs/>
          <w:sz w:val="24"/>
          <w:szCs w:val="24"/>
          <w:lang w:val="en-GB"/>
        </w:rPr>
        <w:t>Revised ERG Common Position on the Approach to Appropriate Remedies in the ECNS Regulatory Framework</w:t>
      </w:r>
      <w:r w:rsidRPr="00524BB8">
        <w:rPr>
          <w:rFonts w:eastAsia="Times New Roman" w:cs="Arial"/>
          <w:sz w:val="24"/>
          <w:szCs w:val="24"/>
          <w:lang w:val="en-GB"/>
        </w:rPr>
        <w:t xml:space="preserve"> there are four groups of standard competition problems on the market that have been identified, based on the experiences of EU regulators:</w:t>
      </w:r>
    </w:p>
    <w:p w14:paraId="3835CDB4"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Vertical leveraging;</w:t>
      </w:r>
    </w:p>
    <w:p w14:paraId="0321312F"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Horizontal leveraging;</w:t>
      </w:r>
    </w:p>
    <w:p w14:paraId="2B6893CB"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Single market dominance;</w:t>
      </w:r>
    </w:p>
    <w:p w14:paraId="65FAA3AB"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Termination.</w:t>
      </w:r>
    </w:p>
    <w:p w14:paraId="6BB20BF4" w14:textId="01F16746"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 xml:space="preserve">In the context of this market analysis, the emphasis is put on the issue of vertical leveraging, which is related to the following usual practices “... </w:t>
      </w:r>
      <w:r w:rsidRPr="00524BB8">
        <w:rPr>
          <w:rFonts w:eastAsia="Times New Roman" w:cs="Arial"/>
          <w:i/>
          <w:iCs/>
          <w:sz w:val="24"/>
          <w:szCs w:val="24"/>
          <w:lang w:val="en-GB"/>
        </w:rPr>
        <w:t>any dominant firm’s practice that denies proper access to an essential input it produces to some users of this input, with the intent of extending monopoly power from one segment of the market (the bottleneck segment) to the other (the potentially competitive segment</w:t>
      </w:r>
      <w:r w:rsidR="00A44F66" w:rsidRPr="00524BB8">
        <w:rPr>
          <w:rFonts w:eastAsia="Times New Roman" w:cs="Arial"/>
          <w:sz w:val="24"/>
          <w:szCs w:val="24"/>
          <w:lang w:val="en-GB"/>
        </w:rPr>
        <w:t>). “</w:t>
      </w:r>
    </w:p>
    <w:p w14:paraId="28817ED6" w14:textId="77777777"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There are three usual strategies to deploy vertical leveraging of a dominant position on a market:</w:t>
      </w:r>
    </w:p>
    <w:p w14:paraId="0AEBA080"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Refusal to deal/ denial of access;</w:t>
      </w:r>
    </w:p>
    <w:p w14:paraId="0C79104A"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Leveraging by means of non-price variables;</w:t>
      </w:r>
    </w:p>
    <w:p w14:paraId="1B72ACCB" w14:textId="77777777" w:rsidR="00524BB8" w:rsidRPr="00524BB8" w:rsidRDefault="00524BB8" w:rsidP="00524BB8">
      <w:pPr>
        <w:numPr>
          <w:ilvl w:val="0"/>
          <w:numId w:val="2"/>
        </w:numPr>
        <w:contextualSpacing/>
        <w:jc w:val="both"/>
        <w:rPr>
          <w:rFonts w:eastAsia="Times New Roman" w:cs="Arial"/>
          <w:sz w:val="24"/>
          <w:szCs w:val="24"/>
          <w:lang w:val="en-GB"/>
        </w:rPr>
      </w:pPr>
      <w:r w:rsidRPr="00524BB8">
        <w:rPr>
          <w:rFonts w:eastAsia="Times New Roman" w:cs="Arial"/>
          <w:sz w:val="24"/>
          <w:szCs w:val="24"/>
          <w:lang w:val="en-GB"/>
        </w:rPr>
        <w:t>Leveraging by means of pricing.</w:t>
      </w:r>
    </w:p>
    <w:p w14:paraId="195BAD48" w14:textId="77777777" w:rsidR="00524BB8" w:rsidRPr="00524BB8" w:rsidRDefault="00524BB8" w:rsidP="00524BB8">
      <w:pPr>
        <w:spacing w:before="240"/>
        <w:jc w:val="both"/>
        <w:rPr>
          <w:rFonts w:eastAsia="Times New Roman" w:cs="Arial"/>
          <w:sz w:val="24"/>
          <w:szCs w:val="24"/>
          <w:lang w:val="en-GB"/>
        </w:rPr>
      </w:pPr>
      <w:r w:rsidRPr="00524BB8">
        <w:rPr>
          <w:rFonts w:eastAsia="Times New Roman" w:cs="Arial"/>
          <w:sz w:val="24"/>
          <w:szCs w:val="24"/>
          <w:lang w:val="en-GB"/>
        </w:rPr>
        <w:t>Those possible competition problems were assessed for the wholesale local and central access market in Georgia and studied for each of Clusters I, II and III in order that regulatory obligations could be imposed taking into account the proportionality principle.</w:t>
      </w:r>
    </w:p>
    <w:p w14:paraId="6D136C35" w14:textId="77777777"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 xml:space="preserve">To respond to the different levels of infrastructure competition and the associated levels of retail competition in each settlement, the proposed remedies were chosen based on the competition problems identified together with the potential for Magticom’s misuse of its SMP. </w:t>
      </w:r>
    </w:p>
    <w:p w14:paraId="1D2B3148" w14:textId="77777777"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ComCom proposes to define the following set of regulatory remedies, for each cluster:</w:t>
      </w:r>
    </w:p>
    <w:p w14:paraId="1D0E4CBC" w14:textId="053C8619"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[Note that although the types of general regulatory obligations</w:t>
      </w:r>
      <w:r w:rsidR="006D48A5">
        <w:rPr>
          <w:rFonts w:eastAsia="Times New Roman" w:cs="Arial"/>
          <w:sz w:val="24"/>
          <w:szCs w:val="24"/>
          <w:lang w:val="en-GB"/>
        </w:rPr>
        <w:t xml:space="preserve"> stated below</w:t>
      </w:r>
      <w:r w:rsidRPr="00524BB8">
        <w:rPr>
          <w:rFonts w:eastAsia="Times New Roman" w:cs="Arial"/>
          <w:sz w:val="24"/>
          <w:szCs w:val="24"/>
          <w:lang w:val="en-GB"/>
        </w:rPr>
        <w:t xml:space="preserve"> are the same for Cluster I and Cluster II, the detailed definition of the application of these obligations (to be published by ComCom) </w:t>
      </w:r>
      <w:r w:rsidR="006D48A5">
        <w:rPr>
          <w:rFonts w:eastAsia="Times New Roman" w:cs="Arial"/>
          <w:sz w:val="24"/>
          <w:szCs w:val="24"/>
          <w:lang w:val="en-GB"/>
        </w:rPr>
        <w:t>is presented in Chapter 8</w:t>
      </w:r>
      <w:r w:rsidR="0053553A">
        <w:rPr>
          <w:rFonts w:eastAsia="Times New Roman" w:cs="Arial"/>
          <w:sz w:val="24"/>
          <w:szCs w:val="24"/>
          <w:lang w:val="en-GB"/>
        </w:rPr>
        <w:t xml:space="preserve"> of this document</w:t>
      </w:r>
      <w:r w:rsidRPr="00524BB8">
        <w:rPr>
          <w:rFonts w:eastAsia="Times New Roman" w:cs="Arial"/>
          <w:sz w:val="24"/>
          <w:szCs w:val="24"/>
          <w:lang w:val="en-GB"/>
        </w:rPr>
        <w:t>].</w:t>
      </w:r>
    </w:p>
    <w:p w14:paraId="48A276E7" w14:textId="77777777"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 xml:space="preserve">Cluster I </w:t>
      </w:r>
    </w:p>
    <w:p w14:paraId="1BB85503"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 xml:space="preserve">Access; </w:t>
      </w:r>
    </w:p>
    <w:p w14:paraId="09A20672"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Non-discrimination;</w:t>
      </w:r>
    </w:p>
    <w:p w14:paraId="27DDF94A"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Transparency;</w:t>
      </w:r>
    </w:p>
    <w:p w14:paraId="09B1565D"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Cost accounting and price control;</w:t>
      </w:r>
    </w:p>
    <w:p w14:paraId="734AF663"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Accounting separation.</w:t>
      </w:r>
    </w:p>
    <w:p w14:paraId="1DDB348B" w14:textId="77777777"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Cluster II</w:t>
      </w:r>
    </w:p>
    <w:p w14:paraId="7D7B86A5"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 xml:space="preserve">Access; </w:t>
      </w:r>
    </w:p>
    <w:p w14:paraId="06E95318"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Non-discrimination;</w:t>
      </w:r>
    </w:p>
    <w:p w14:paraId="4025699B"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Transparency;</w:t>
      </w:r>
    </w:p>
    <w:p w14:paraId="76512763" w14:textId="77777777" w:rsidR="00524BB8" w:rsidRPr="00524BB8" w:rsidRDefault="00524BB8" w:rsidP="00524BB8">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Cost accounting and price control;</w:t>
      </w:r>
    </w:p>
    <w:p w14:paraId="7CF571B2" w14:textId="7E9BE7A8" w:rsidR="00524BB8" w:rsidRPr="00524BB8" w:rsidRDefault="00524BB8" w:rsidP="00091AAC">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Accounting separation.</w:t>
      </w:r>
    </w:p>
    <w:p w14:paraId="6F17A928" w14:textId="3E13251F" w:rsidR="00524BB8" w:rsidRPr="00524BB8" w:rsidRDefault="00524BB8" w:rsidP="00524BB8">
      <w:pPr>
        <w:spacing w:line="259" w:lineRule="auto"/>
        <w:jc w:val="both"/>
        <w:rPr>
          <w:rFonts w:eastAsia="Times New Roman" w:cs="Arial"/>
          <w:sz w:val="24"/>
          <w:szCs w:val="24"/>
          <w:lang w:val="en-GB"/>
        </w:rPr>
      </w:pPr>
      <w:r w:rsidRPr="00524BB8">
        <w:rPr>
          <w:rFonts w:eastAsia="Times New Roman" w:cs="Arial"/>
          <w:sz w:val="24"/>
          <w:szCs w:val="24"/>
          <w:lang w:val="en-GB"/>
        </w:rPr>
        <w:t>Cluster III</w:t>
      </w:r>
    </w:p>
    <w:p w14:paraId="26765921" w14:textId="672E89B8" w:rsidR="000D4D41" w:rsidRPr="00091AAC" w:rsidRDefault="00524BB8" w:rsidP="00091AAC">
      <w:pPr>
        <w:numPr>
          <w:ilvl w:val="0"/>
          <w:numId w:val="8"/>
        </w:numPr>
        <w:contextualSpacing/>
        <w:jc w:val="both"/>
        <w:rPr>
          <w:rFonts w:eastAsia="Times New Roman" w:cs="Arial"/>
          <w:sz w:val="24"/>
          <w:szCs w:val="24"/>
          <w:lang w:val="en-GB"/>
        </w:rPr>
      </w:pPr>
      <w:r w:rsidRPr="00524BB8">
        <w:rPr>
          <w:rFonts w:eastAsia="Times New Roman" w:cs="Arial"/>
          <w:sz w:val="24"/>
          <w:szCs w:val="24"/>
          <w:lang w:val="en-GB"/>
        </w:rPr>
        <w:t>Access</w:t>
      </w:r>
      <w:r w:rsidR="00E67953" w:rsidRPr="00091AAC">
        <w:rPr>
          <w:rFonts w:cs="Arial"/>
          <w:sz w:val="24"/>
          <w:szCs w:val="24"/>
          <w:lang w:val="en-GB"/>
        </w:rPr>
        <w:t>.</w:t>
      </w:r>
    </w:p>
    <w:p w14:paraId="41479542" w14:textId="77777777" w:rsidR="00BD7D18" w:rsidRDefault="00BD7D18">
      <w:pPr>
        <w:spacing w:before="100" w:beforeAutospacing="1" w:after="100" w:afterAutospacing="1" w:line="240" w:lineRule="auto"/>
        <w:jc w:val="both"/>
        <w:rPr>
          <w:rFonts w:eastAsia="Times New Roman" w:cs="Arial"/>
          <w:sz w:val="24"/>
          <w:szCs w:val="24"/>
          <w:highlight w:val="yellow"/>
          <w:lang w:val="en-GB"/>
        </w:rPr>
      </w:pPr>
    </w:p>
    <w:p w14:paraId="5980D194" w14:textId="77777777" w:rsidR="00BD7D18" w:rsidRDefault="00BD7D18">
      <w:pPr>
        <w:spacing w:before="100" w:beforeAutospacing="1" w:after="100" w:afterAutospacing="1" w:line="240" w:lineRule="auto"/>
        <w:jc w:val="both"/>
        <w:rPr>
          <w:rFonts w:eastAsia="Times New Roman" w:cs="Arial"/>
          <w:sz w:val="24"/>
          <w:szCs w:val="24"/>
          <w:highlight w:val="yellow"/>
          <w:lang w:val="en-GB"/>
        </w:rPr>
      </w:pPr>
    </w:p>
    <w:p w14:paraId="5BA229EC" w14:textId="18138F15" w:rsidR="00306FB7" w:rsidRPr="002167F6" w:rsidRDefault="00BD7D18" w:rsidP="002F5AAC">
      <w:pPr>
        <w:spacing w:before="100" w:beforeAutospacing="1" w:after="100" w:afterAutospacing="1" w:line="240" w:lineRule="auto"/>
        <w:jc w:val="both"/>
        <w:rPr>
          <w:rFonts w:eastAsia="Times New Roman" w:cs="Arial"/>
          <w:i/>
          <w:iCs/>
          <w:sz w:val="24"/>
          <w:szCs w:val="24"/>
          <w:lang w:val="en-GB"/>
        </w:rPr>
      </w:pPr>
      <w:r>
        <w:rPr>
          <w:rFonts w:eastAsia="Times New Roman" w:cs="Arial"/>
          <w:i/>
          <w:iCs/>
          <w:sz w:val="24"/>
          <w:szCs w:val="24"/>
          <w:highlight w:val="yellow"/>
          <w:lang w:val="en-GB"/>
        </w:rPr>
        <w:t>[N</w:t>
      </w:r>
      <w:r w:rsidR="00306FB7" w:rsidRPr="002F5AAC">
        <w:rPr>
          <w:rFonts w:eastAsia="Times New Roman" w:cs="Arial"/>
          <w:i/>
          <w:iCs/>
          <w:sz w:val="24"/>
          <w:szCs w:val="24"/>
          <w:highlight w:val="yellow"/>
          <w:lang w:val="en-GB"/>
        </w:rPr>
        <w:t>ote: Although the main data used in this analysis represents the situation in Georgia up to end of 2022, the subsequent data throughout 2023 has been examined to check the validity of the analysis and whether any new factors indicated by the new data should influence the analysis in any material way. Having examined the newer data, we have concluded that there are no changes to the fundamental conclusions reached on market definition, susceptibility to ex-ante regulation, the finding of SMP or the choices of the recommended regulatory remedies.</w:t>
      </w:r>
      <w:r w:rsidRPr="00BD7D18">
        <w:rPr>
          <w:rFonts w:eastAsia="Times New Roman" w:cs="Arial"/>
          <w:i/>
          <w:iCs/>
          <w:sz w:val="24"/>
          <w:szCs w:val="24"/>
          <w:lang w:val="en-GB"/>
        </w:rPr>
        <w:t>]</w:t>
      </w:r>
    </w:p>
    <w:p w14:paraId="2EAC8B0B" w14:textId="77777777" w:rsidR="00E77752" w:rsidRPr="002167F6" w:rsidRDefault="00E77752" w:rsidP="00E239AA">
      <w:pPr>
        <w:rPr>
          <w:lang w:val="en-GB"/>
        </w:rPr>
      </w:pPr>
    </w:p>
    <w:p w14:paraId="01C05BB7" w14:textId="77777777" w:rsidR="00B271E6" w:rsidRPr="00BC1ABD" w:rsidRDefault="00B271E6" w:rsidP="00F80ADB">
      <w:pPr>
        <w:pStyle w:val="Heading1"/>
        <w:numPr>
          <w:ilvl w:val="0"/>
          <w:numId w:val="106"/>
        </w:numPr>
        <w:rPr>
          <w:lang w:val="en-GB"/>
        </w:rPr>
      </w:pPr>
      <w:bookmarkStart w:id="4" w:name="_Toc169258883"/>
      <w:r w:rsidRPr="00BC1ABD">
        <w:rPr>
          <w:lang w:val="en-GB"/>
        </w:rPr>
        <w:t>Description of the legal framework related to market analysis and market analysis process in Georgia</w:t>
      </w:r>
      <w:bookmarkEnd w:id="4"/>
      <w:r w:rsidRPr="00BC1ABD">
        <w:rPr>
          <w:lang w:val="en-GB"/>
        </w:rPr>
        <w:tab/>
      </w:r>
    </w:p>
    <w:p w14:paraId="63346A93" w14:textId="05869A8C" w:rsidR="00C435F6" w:rsidRPr="00BC1ABD" w:rsidRDefault="00C435F6" w:rsidP="00EB11F7">
      <w:pPr>
        <w:pStyle w:val="Heading2"/>
        <w:numPr>
          <w:ilvl w:val="1"/>
          <w:numId w:val="88"/>
        </w:numPr>
        <w:spacing w:after="240"/>
        <w:rPr>
          <w:lang w:val="en-GB"/>
        </w:rPr>
      </w:pPr>
      <w:bookmarkStart w:id="5" w:name="_Toc146107765"/>
      <w:bookmarkStart w:id="6" w:name="_Toc169258884"/>
      <w:r w:rsidRPr="00BC1ABD">
        <w:rPr>
          <w:lang w:val="en-GB"/>
        </w:rPr>
        <w:t xml:space="preserve">The </w:t>
      </w:r>
      <w:r w:rsidR="00DA349F" w:rsidRPr="00BC1ABD">
        <w:rPr>
          <w:lang w:val="en-GB"/>
        </w:rPr>
        <w:t>Association agreement</w:t>
      </w:r>
      <w:bookmarkEnd w:id="5"/>
      <w:bookmarkEnd w:id="6"/>
    </w:p>
    <w:p w14:paraId="24FDE072" w14:textId="7D27F1C8" w:rsidR="00522524" w:rsidRPr="00BC1ABD" w:rsidRDefault="00522524" w:rsidP="00522524">
      <w:pPr>
        <w:shd w:val="clear" w:color="auto" w:fill="FFFFFF"/>
        <w:spacing w:after="160" w:line="259" w:lineRule="auto"/>
        <w:jc w:val="both"/>
        <w:rPr>
          <w:rFonts w:asciiTheme="minorHAnsi" w:hAnsiTheme="minorHAnsi" w:cs="Calibri"/>
          <w:sz w:val="24"/>
          <w:szCs w:val="24"/>
          <w:lang w:val="en-GB"/>
        </w:rPr>
      </w:pPr>
      <w:r w:rsidRPr="00BC1ABD">
        <w:rPr>
          <w:rFonts w:asciiTheme="minorHAnsi" w:hAnsiTheme="minorHAnsi" w:cs="Calibri"/>
          <w:sz w:val="24"/>
          <w:szCs w:val="24"/>
          <w:lang w:val="en-GB"/>
        </w:rPr>
        <w:t>Under the Association Agreement between the European Union and Georgia</w:t>
      </w:r>
      <w:r w:rsidR="002055E6">
        <w:rPr>
          <w:rStyle w:val="FootnoteReference"/>
          <w:rFonts w:asciiTheme="minorHAnsi" w:hAnsiTheme="minorHAnsi" w:cs="Calibri"/>
          <w:sz w:val="24"/>
          <w:szCs w:val="24"/>
          <w:lang w:val="en-GB"/>
        </w:rPr>
        <w:footnoteReference w:id="2"/>
      </w:r>
      <w:r w:rsidRPr="00BC1ABD">
        <w:rPr>
          <w:rFonts w:asciiTheme="minorHAnsi" w:hAnsiTheme="minorHAnsi" w:cs="Calibri"/>
          <w:sz w:val="24"/>
          <w:szCs w:val="24"/>
          <w:lang w:val="en-GB"/>
        </w:rPr>
        <w:t xml:space="preserve"> signed in June 2014,</w:t>
      </w:r>
      <w:r w:rsidRPr="00BC1ABD">
        <w:rPr>
          <w:rStyle w:val="FootnoteReference"/>
          <w:rFonts w:asciiTheme="minorHAnsi" w:hAnsiTheme="minorHAnsi" w:cs="Calibri"/>
          <w:sz w:val="24"/>
          <w:szCs w:val="24"/>
          <w:lang w:val="en-GB"/>
        </w:rPr>
        <w:footnoteReference w:id="3"/>
      </w:r>
      <w:r w:rsidRPr="00BC1ABD">
        <w:rPr>
          <w:rFonts w:asciiTheme="minorHAnsi" w:hAnsiTheme="minorHAnsi" w:cs="Calibri"/>
          <w:sz w:val="24"/>
          <w:szCs w:val="24"/>
          <w:lang w:val="en-GB"/>
        </w:rPr>
        <w:t xml:space="preserve"> Georgia undertook gradually to approximate its legislation within stipulated timeframes</w:t>
      </w:r>
      <w:r w:rsidRPr="00BC1ABD">
        <w:rPr>
          <w:rStyle w:val="FootnoteReference"/>
          <w:rFonts w:asciiTheme="minorHAnsi" w:hAnsiTheme="minorHAnsi" w:cs="Calibri"/>
          <w:sz w:val="24"/>
          <w:szCs w:val="24"/>
          <w:lang w:val="en-GB"/>
        </w:rPr>
        <w:footnoteReference w:id="4"/>
      </w:r>
      <w:r w:rsidRPr="00BC1ABD">
        <w:rPr>
          <w:rFonts w:asciiTheme="minorHAnsi" w:hAnsiTheme="minorHAnsi" w:cs="Calibri"/>
          <w:sz w:val="24"/>
          <w:szCs w:val="24"/>
          <w:lang w:val="en-GB"/>
        </w:rPr>
        <w:t xml:space="preserve"> to incorporate (among other things) the provisions of Directive 2002/21/EC</w:t>
      </w:r>
      <w:r w:rsidR="00DC5B13">
        <w:rPr>
          <w:rFonts w:asciiTheme="minorHAnsi" w:hAnsiTheme="minorHAnsi" w:cs="Calibri"/>
          <w:sz w:val="24"/>
          <w:szCs w:val="24"/>
          <w:lang w:val="en-GB"/>
        </w:rPr>
        <w:t xml:space="preserve"> ( ‘Framework Directive’}</w:t>
      </w:r>
      <w:r w:rsidRPr="00BC1ABD">
        <w:rPr>
          <w:rFonts w:asciiTheme="minorHAnsi" w:hAnsiTheme="minorHAnsi" w:cs="Calibri"/>
          <w:sz w:val="24"/>
          <w:szCs w:val="24"/>
          <w:lang w:val="en-GB"/>
        </w:rPr>
        <w:t xml:space="preserve"> “…</w:t>
      </w:r>
      <w:r w:rsidRPr="00BC1ABD">
        <w:rPr>
          <w:rFonts w:asciiTheme="minorHAnsi" w:hAnsiTheme="minorHAnsi" w:cs="Calibri"/>
          <w:i/>
          <w:iCs/>
          <w:sz w:val="24"/>
          <w:szCs w:val="24"/>
          <w:lang w:val="en-GB"/>
        </w:rPr>
        <w:t>defining the relevant product and service markets in the electronic communications sector that are susceptible to ex-ante regulation and analyse those markets with a view to determining whether significant market power (SMP) exists on them</w:t>
      </w:r>
      <w:r w:rsidRPr="00BC1ABD">
        <w:rPr>
          <w:rFonts w:asciiTheme="minorHAnsi" w:hAnsiTheme="minorHAnsi" w:cs="Calibri"/>
          <w:sz w:val="24"/>
          <w:szCs w:val="24"/>
          <w:lang w:val="en-GB"/>
        </w:rPr>
        <w:t>“</w:t>
      </w:r>
      <w:r w:rsidRPr="00BC1ABD">
        <w:rPr>
          <w:rStyle w:val="FootnoteReference"/>
          <w:rFonts w:asciiTheme="minorHAnsi" w:hAnsiTheme="minorHAnsi" w:cs="Calibri"/>
          <w:sz w:val="24"/>
          <w:szCs w:val="24"/>
          <w:lang w:val="en-GB"/>
        </w:rPr>
        <w:footnoteReference w:id="5"/>
      </w:r>
      <w:r w:rsidRPr="00BC1ABD">
        <w:rPr>
          <w:rFonts w:asciiTheme="minorHAnsi" w:hAnsiTheme="minorHAnsi" w:cs="Calibri"/>
          <w:sz w:val="24"/>
          <w:szCs w:val="24"/>
          <w:lang w:val="en-GB"/>
        </w:rPr>
        <w:t xml:space="preserve">. The provisions concerned are Articles 14 and 15. </w:t>
      </w:r>
    </w:p>
    <w:p w14:paraId="3A982E83" w14:textId="1A5D99B2" w:rsidR="00522524" w:rsidRPr="00BC1ABD" w:rsidRDefault="00522524" w:rsidP="00522524">
      <w:pPr>
        <w:shd w:val="clear" w:color="auto" w:fill="FFFFFF"/>
        <w:spacing w:after="160" w:line="259" w:lineRule="auto"/>
        <w:jc w:val="both"/>
        <w:rPr>
          <w:rFonts w:asciiTheme="minorHAnsi" w:hAnsiTheme="minorHAnsi" w:cs="Calibri"/>
          <w:color w:val="333333"/>
          <w:sz w:val="24"/>
          <w:szCs w:val="24"/>
          <w:lang w:val="en-GB" w:eastAsia="fr-FR"/>
        </w:rPr>
      </w:pPr>
      <w:r w:rsidRPr="00BC1ABD">
        <w:rPr>
          <w:rFonts w:asciiTheme="minorHAnsi" w:hAnsiTheme="minorHAnsi" w:cs="Calibri"/>
          <w:sz w:val="24"/>
          <w:szCs w:val="24"/>
          <w:lang w:val="en-GB"/>
        </w:rPr>
        <w:t xml:space="preserve">Article 14 of the Framework Directive determines which undertakings can be designated as having significant market power (SMP) on the markets defined in accordance with the principles of competition law. The concept of SMP is equated to that of dominance under competition law: </w:t>
      </w:r>
      <w:r w:rsidRPr="00BC1ABD">
        <w:rPr>
          <w:rFonts w:asciiTheme="minorHAnsi" w:hAnsiTheme="minorHAnsi" w:cs="Calibri"/>
          <w:i/>
          <w:iCs/>
          <w:sz w:val="24"/>
          <w:szCs w:val="24"/>
          <w:lang w:val="en-GB"/>
        </w:rPr>
        <w:t>“</w:t>
      </w:r>
      <w:r w:rsidRPr="00BC1ABD">
        <w:rPr>
          <w:rFonts w:asciiTheme="minorHAnsi" w:hAnsiTheme="minorHAnsi" w:cs="Calibri"/>
          <w:i/>
          <w:iCs/>
          <w:sz w:val="24"/>
          <w:szCs w:val="24"/>
          <w:lang w:val="en-GB" w:eastAsia="fr-FR"/>
        </w:rPr>
        <w:t>An undertaking shall be deemed to have significant market power if, either individually or jointly with others, it enjoys a position equivalent to dominance, that is to say a position of economic strength affording it the power to behave to an appreciable extent independently of competitors, customers and ultimately consumers”.</w:t>
      </w:r>
    </w:p>
    <w:p w14:paraId="7B3D1ACC" w14:textId="77777777" w:rsidR="00522524" w:rsidRPr="00BC1ABD" w:rsidRDefault="00522524" w:rsidP="00522524">
      <w:pPr>
        <w:shd w:val="clear" w:color="auto" w:fill="FFFFFF"/>
        <w:spacing w:after="160" w:line="259" w:lineRule="auto"/>
        <w:jc w:val="both"/>
        <w:rPr>
          <w:rFonts w:asciiTheme="minorHAnsi" w:hAnsiTheme="minorHAnsi" w:cs="Calibri"/>
          <w:sz w:val="24"/>
          <w:szCs w:val="24"/>
          <w:lang w:val="en-GB"/>
        </w:rPr>
      </w:pPr>
      <w:r w:rsidRPr="00BC1ABD">
        <w:rPr>
          <w:rFonts w:asciiTheme="minorHAnsi" w:hAnsiTheme="minorHAnsi" w:cs="Calibri"/>
          <w:sz w:val="24"/>
          <w:szCs w:val="24"/>
          <w:lang w:val="en-GB"/>
        </w:rPr>
        <w:t xml:space="preserve">As regards joint SMP, Article 14 of the Framework Directive is complemented by Annex II which lists criteria to be used in assessing joint dominance in accordance with Article 14(2). These criteria are inspired by the case law from the EU Court of Justice. The Directive nevertheless highlights that the list of criteria </w:t>
      </w:r>
      <w:r w:rsidRPr="00BC1ABD">
        <w:rPr>
          <w:rFonts w:asciiTheme="minorHAnsi" w:hAnsiTheme="minorHAnsi" w:cs="Calibri"/>
          <w:i/>
          <w:iCs/>
          <w:sz w:val="24"/>
          <w:szCs w:val="24"/>
          <w:lang w:val="en-GB"/>
        </w:rPr>
        <w:t>“…is an indicative list and is not exhaustive, nor are the criteria cumulative. Rather, the list is intended to illustrate only the type of evidence that could be used to support assertions concerning the existence of joint dominance”.</w:t>
      </w:r>
    </w:p>
    <w:p w14:paraId="723A01B0" w14:textId="4893F5AD" w:rsidR="00522524" w:rsidRPr="00BC1ABD" w:rsidRDefault="00522524" w:rsidP="00522524">
      <w:pPr>
        <w:shd w:val="clear" w:color="auto" w:fill="FFFFFF"/>
        <w:spacing w:after="160" w:line="259" w:lineRule="auto"/>
        <w:jc w:val="both"/>
        <w:rPr>
          <w:rFonts w:asciiTheme="minorHAnsi" w:hAnsiTheme="minorHAnsi" w:cs="Calibri"/>
          <w:i/>
          <w:iCs/>
          <w:color w:val="333333"/>
          <w:sz w:val="24"/>
          <w:szCs w:val="24"/>
          <w:lang w:val="en-GB" w:eastAsia="fr-FR"/>
        </w:rPr>
      </w:pPr>
      <w:r w:rsidRPr="00BC1ABD">
        <w:rPr>
          <w:rFonts w:asciiTheme="minorHAnsi" w:hAnsiTheme="minorHAnsi" w:cs="Calibri"/>
          <w:sz w:val="24"/>
          <w:szCs w:val="24"/>
          <w:lang w:val="en-GB"/>
        </w:rPr>
        <w:t xml:space="preserve">In addition, Article 14 of the Framework Directive provides that in case </w:t>
      </w:r>
      <w:r w:rsidRPr="00BC1ABD">
        <w:rPr>
          <w:rFonts w:asciiTheme="minorHAnsi" w:hAnsiTheme="minorHAnsi" w:cs="Calibri"/>
          <w:i/>
          <w:iCs/>
          <w:sz w:val="24"/>
          <w:szCs w:val="24"/>
          <w:lang w:val="en-GB"/>
        </w:rPr>
        <w:t>“</w:t>
      </w:r>
      <w:r w:rsidR="00DC5B13">
        <w:rPr>
          <w:rFonts w:asciiTheme="minorHAnsi" w:hAnsiTheme="minorHAnsi" w:cs="Calibri"/>
          <w:i/>
          <w:iCs/>
          <w:sz w:val="24"/>
          <w:szCs w:val="24"/>
          <w:lang w:val="en-GB"/>
        </w:rPr>
        <w:t>…</w:t>
      </w:r>
      <w:r w:rsidRPr="00BC1ABD">
        <w:rPr>
          <w:rFonts w:asciiTheme="minorHAnsi" w:hAnsiTheme="minorHAnsi" w:cs="Calibri"/>
          <w:i/>
          <w:iCs/>
          <w:sz w:val="24"/>
          <w:szCs w:val="24"/>
          <w:lang w:val="en-GB" w:eastAsia="fr-FR"/>
        </w:rPr>
        <w:t>an undertaking has significant market power on a specific market (the first market), it may also be designated as having significant market power on a closely related market (the second market), where the links between the two markets are such as to allow the market power held in the first market to be leveraged into the second market, thereby strengthening the market power of the undertaking”.</w:t>
      </w:r>
    </w:p>
    <w:p w14:paraId="0EA08597" w14:textId="7C9618CC" w:rsidR="00522524" w:rsidRPr="00BC1ABD" w:rsidRDefault="00522524" w:rsidP="00522524">
      <w:pPr>
        <w:shd w:val="clear" w:color="auto" w:fill="FFFFFF"/>
        <w:spacing w:after="160" w:line="259" w:lineRule="auto"/>
        <w:jc w:val="both"/>
        <w:rPr>
          <w:rFonts w:asciiTheme="minorHAnsi" w:hAnsiTheme="minorHAnsi" w:cs="Calibri"/>
          <w:sz w:val="24"/>
          <w:szCs w:val="24"/>
          <w:lang w:val="en-GB"/>
        </w:rPr>
      </w:pPr>
      <w:r w:rsidRPr="00BC1ABD">
        <w:rPr>
          <w:rFonts w:asciiTheme="minorHAnsi" w:hAnsiTheme="minorHAnsi" w:cs="Calibri"/>
          <w:sz w:val="24"/>
          <w:szCs w:val="24"/>
          <w:lang w:val="en-GB"/>
        </w:rPr>
        <w:t>The ‘</w:t>
      </w:r>
      <w:r w:rsidR="00DC5B13">
        <w:rPr>
          <w:rFonts w:asciiTheme="minorHAnsi" w:hAnsiTheme="minorHAnsi" w:cs="Calibri"/>
          <w:sz w:val="24"/>
          <w:szCs w:val="24"/>
          <w:lang w:val="en-GB"/>
        </w:rPr>
        <w:t>T</w:t>
      </w:r>
      <w:r w:rsidRPr="00BC1ABD">
        <w:rPr>
          <w:rFonts w:asciiTheme="minorHAnsi" w:hAnsiTheme="minorHAnsi" w:cs="Calibri"/>
          <w:sz w:val="24"/>
          <w:szCs w:val="24"/>
          <w:lang w:val="en-GB"/>
        </w:rPr>
        <w:t xml:space="preserve">hree </w:t>
      </w:r>
      <w:r w:rsidR="00DC5B13">
        <w:rPr>
          <w:rFonts w:asciiTheme="minorHAnsi" w:hAnsiTheme="minorHAnsi" w:cs="Calibri"/>
          <w:sz w:val="24"/>
          <w:szCs w:val="24"/>
          <w:lang w:val="en-GB"/>
        </w:rPr>
        <w:t>C</w:t>
      </w:r>
      <w:r w:rsidRPr="00BC1ABD">
        <w:rPr>
          <w:rFonts w:asciiTheme="minorHAnsi" w:hAnsiTheme="minorHAnsi" w:cs="Calibri"/>
          <w:sz w:val="24"/>
          <w:szCs w:val="24"/>
          <w:lang w:val="en-GB"/>
        </w:rPr>
        <w:t xml:space="preserve">riteria </w:t>
      </w:r>
      <w:r w:rsidR="00DC5B13">
        <w:rPr>
          <w:rFonts w:asciiTheme="minorHAnsi" w:hAnsiTheme="minorHAnsi" w:cs="Calibri"/>
          <w:sz w:val="24"/>
          <w:szCs w:val="24"/>
          <w:lang w:val="en-GB"/>
        </w:rPr>
        <w:t>T</w:t>
      </w:r>
      <w:r w:rsidRPr="00BC1ABD">
        <w:rPr>
          <w:rFonts w:asciiTheme="minorHAnsi" w:hAnsiTheme="minorHAnsi" w:cs="Calibri"/>
          <w:sz w:val="24"/>
          <w:szCs w:val="24"/>
          <w:lang w:val="en-GB"/>
        </w:rPr>
        <w:t>est’ was not mentioned in the relevant provisions of the Framework Directive,</w:t>
      </w:r>
      <w:r w:rsidRPr="00BC1ABD">
        <w:rPr>
          <w:rStyle w:val="FootnoteReference"/>
          <w:rFonts w:asciiTheme="minorHAnsi" w:hAnsiTheme="minorHAnsi" w:cs="Calibri"/>
          <w:sz w:val="24"/>
          <w:szCs w:val="24"/>
          <w:lang w:val="en-GB"/>
        </w:rPr>
        <w:footnoteReference w:id="6"/>
      </w:r>
      <w:r w:rsidRPr="00BC1ABD">
        <w:rPr>
          <w:rFonts w:asciiTheme="minorHAnsi" w:hAnsiTheme="minorHAnsi" w:cs="Calibri"/>
          <w:sz w:val="24"/>
          <w:szCs w:val="24"/>
          <w:lang w:val="en-GB"/>
        </w:rPr>
        <w:t xml:space="preserve"> and does therefore not need to be carried over into the Georgian legislation under the Association Agreement. This being said, the first two criteria of the test correspond to standard competition law market assessment and should therefore be mandated also in Georgia, taking into account the requirement to define markets </w:t>
      </w:r>
      <w:r w:rsidRPr="00BC1ABD">
        <w:rPr>
          <w:rFonts w:asciiTheme="minorHAnsi" w:hAnsiTheme="minorHAnsi" w:cs="Calibri"/>
          <w:i/>
          <w:iCs/>
          <w:sz w:val="24"/>
          <w:szCs w:val="24"/>
          <w:lang w:val="en-GB"/>
        </w:rPr>
        <w:t>“in accordance with the principles of competition law”</w:t>
      </w:r>
      <w:r w:rsidRPr="00BC1ABD">
        <w:rPr>
          <w:rFonts w:asciiTheme="minorHAnsi" w:hAnsiTheme="minorHAnsi" w:cs="Calibri"/>
          <w:sz w:val="24"/>
          <w:szCs w:val="24"/>
          <w:lang w:val="en-GB"/>
        </w:rPr>
        <w:t xml:space="preserve">. </w:t>
      </w:r>
    </w:p>
    <w:p w14:paraId="3F31B9F0" w14:textId="2A97A114" w:rsidR="00522524" w:rsidRPr="00BC1ABD" w:rsidRDefault="00522524" w:rsidP="00522524">
      <w:pPr>
        <w:shd w:val="clear" w:color="auto" w:fill="FFFFFF"/>
        <w:spacing w:after="160" w:line="259" w:lineRule="auto"/>
        <w:jc w:val="both"/>
        <w:rPr>
          <w:rFonts w:asciiTheme="minorHAnsi" w:hAnsiTheme="minorHAnsi" w:cs="Calibri"/>
          <w:sz w:val="24"/>
          <w:szCs w:val="24"/>
          <w:lang w:val="en-GB"/>
        </w:rPr>
      </w:pPr>
      <w:r w:rsidRPr="00BC1ABD">
        <w:rPr>
          <w:rFonts w:asciiTheme="minorHAnsi" w:hAnsiTheme="minorHAnsi" w:cs="Calibri"/>
          <w:sz w:val="24"/>
          <w:szCs w:val="24"/>
          <w:lang w:val="en-GB"/>
        </w:rPr>
        <w:t xml:space="preserve">Article 15 of the Framework Directive establishes the procedure for the identification and definition of markets. The main element is the requirement in paragraph 3 that National regulatory authorities should be </w:t>
      </w:r>
      <w:r w:rsidRPr="00BC1ABD">
        <w:rPr>
          <w:rFonts w:asciiTheme="minorHAnsi" w:hAnsiTheme="minorHAnsi" w:cs="Calibri"/>
          <w:i/>
          <w:iCs/>
          <w:sz w:val="24"/>
          <w:szCs w:val="24"/>
          <w:lang w:val="en-GB"/>
        </w:rPr>
        <w:t>“</w:t>
      </w:r>
      <w:r w:rsidR="00EE4002">
        <w:rPr>
          <w:rFonts w:asciiTheme="minorHAnsi" w:hAnsiTheme="minorHAnsi" w:cs="Calibri"/>
          <w:i/>
          <w:iCs/>
          <w:sz w:val="24"/>
          <w:szCs w:val="24"/>
          <w:lang w:val="en-GB"/>
        </w:rPr>
        <w:t>…</w:t>
      </w:r>
      <w:r w:rsidRPr="00BC1ABD">
        <w:rPr>
          <w:rFonts w:asciiTheme="minorHAnsi" w:hAnsiTheme="minorHAnsi" w:cs="Calibri"/>
          <w:i/>
          <w:iCs/>
          <w:sz w:val="24"/>
          <w:szCs w:val="24"/>
          <w:lang w:val="en-GB"/>
        </w:rPr>
        <w:t>taking the utmost account of the Recommendation and the Guidelines, define relevant markets appropriate to national circumstances, in particular relevant geographic markets within their territory, in accordance with the principles of competition law”.</w:t>
      </w:r>
      <w:r w:rsidRPr="00BC1ABD">
        <w:rPr>
          <w:rFonts w:asciiTheme="minorHAnsi" w:hAnsiTheme="minorHAnsi" w:cs="Calibri"/>
          <w:sz w:val="24"/>
          <w:szCs w:val="24"/>
          <w:lang w:val="en-GB"/>
        </w:rPr>
        <w:t xml:space="preserve"> Neither the EU Commission recommendations on markets susceptible to </w:t>
      </w:r>
      <w:r w:rsidRPr="00BC1ABD">
        <w:rPr>
          <w:rFonts w:asciiTheme="minorHAnsi" w:hAnsiTheme="minorHAnsi" w:cs="Calibri"/>
          <w:i/>
          <w:iCs/>
          <w:sz w:val="24"/>
          <w:szCs w:val="24"/>
          <w:lang w:val="en-GB"/>
        </w:rPr>
        <w:t>ex-ante</w:t>
      </w:r>
      <w:r w:rsidRPr="00BC1ABD">
        <w:rPr>
          <w:rFonts w:asciiTheme="minorHAnsi" w:hAnsiTheme="minorHAnsi" w:cs="Calibri"/>
          <w:sz w:val="24"/>
          <w:szCs w:val="24"/>
          <w:lang w:val="en-GB"/>
        </w:rPr>
        <w:t xml:space="preserve"> regulation, nor the SMP guidelines are legally binding. It does therefore not seem that there would be any international law obligation resting upon Georgia to ‘integrate’ them into the national legal order. At the same time, the Association Agreement contains a clear commitment by Georgia to define markets </w:t>
      </w:r>
      <w:r w:rsidRPr="00BC1ABD">
        <w:rPr>
          <w:rFonts w:asciiTheme="minorHAnsi" w:hAnsiTheme="minorHAnsi" w:cs="Calibri"/>
          <w:i/>
          <w:iCs/>
          <w:sz w:val="24"/>
          <w:szCs w:val="24"/>
          <w:lang w:val="en-GB"/>
        </w:rPr>
        <w:t>“</w:t>
      </w:r>
      <w:r w:rsidR="00EE4002">
        <w:rPr>
          <w:rFonts w:asciiTheme="minorHAnsi" w:hAnsiTheme="minorHAnsi" w:cs="Calibri"/>
          <w:i/>
          <w:iCs/>
          <w:sz w:val="24"/>
          <w:szCs w:val="24"/>
          <w:lang w:val="en-GB"/>
        </w:rPr>
        <w:t>...</w:t>
      </w:r>
      <w:r w:rsidRPr="00BC1ABD">
        <w:rPr>
          <w:rFonts w:asciiTheme="minorHAnsi" w:hAnsiTheme="minorHAnsi" w:cs="Calibri"/>
          <w:i/>
          <w:iCs/>
          <w:sz w:val="24"/>
          <w:szCs w:val="24"/>
          <w:lang w:val="en-GB"/>
        </w:rPr>
        <w:t>in accordance with the principles of competition law”</w:t>
      </w:r>
      <w:r w:rsidRPr="00BC1ABD">
        <w:rPr>
          <w:rFonts w:asciiTheme="minorHAnsi" w:hAnsiTheme="minorHAnsi" w:cs="Calibri"/>
          <w:sz w:val="24"/>
          <w:szCs w:val="24"/>
          <w:lang w:val="en-GB"/>
        </w:rPr>
        <w:t xml:space="preserve">. Therefore, provisions of the </w:t>
      </w:r>
      <w:r w:rsidR="00EE4002">
        <w:rPr>
          <w:rFonts w:asciiTheme="minorHAnsi" w:hAnsiTheme="minorHAnsi" w:cs="Calibri"/>
          <w:sz w:val="24"/>
          <w:szCs w:val="24"/>
          <w:lang w:val="en-GB"/>
        </w:rPr>
        <w:t xml:space="preserve">EU </w:t>
      </w:r>
      <w:r w:rsidRPr="00BC1ABD">
        <w:rPr>
          <w:rFonts w:asciiTheme="minorHAnsi" w:hAnsiTheme="minorHAnsi" w:cs="Calibri"/>
          <w:sz w:val="24"/>
          <w:szCs w:val="24"/>
          <w:lang w:val="en-GB"/>
        </w:rPr>
        <w:t>Commission recommendations explaining the principles of competition law, relevant for market definitions and SMP designation should be ‘integrated’ in Georgian regulation or, at least, complied with.</w:t>
      </w:r>
    </w:p>
    <w:p w14:paraId="4BBAC033" w14:textId="5BF866B1" w:rsidR="00C435F6" w:rsidRPr="00BC1ABD" w:rsidRDefault="00522524" w:rsidP="00522524">
      <w:pPr>
        <w:shd w:val="clear" w:color="auto" w:fill="FFFFFF"/>
        <w:spacing w:after="160" w:line="259" w:lineRule="auto"/>
        <w:jc w:val="both"/>
        <w:rPr>
          <w:rFonts w:asciiTheme="minorHAnsi" w:hAnsiTheme="minorHAnsi" w:cs="Calibri"/>
          <w:sz w:val="24"/>
          <w:szCs w:val="24"/>
          <w:lang w:val="en-GB"/>
        </w:rPr>
      </w:pPr>
      <w:r w:rsidRPr="00BC1ABD">
        <w:rPr>
          <w:rFonts w:asciiTheme="minorHAnsi" w:hAnsiTheme="minorHAnsi" w:cs="Calibri"/>
          <w:sz w:val="24"/>
          <w:szCs w:val="24"/>
          <w:lang w:val="en-GB"/>
        </w:rPr>
        <w:t>At the same time, international agreements such as Association Agreements have no ‘direct effect’, if not explicitly provided for. According to the case law of the EU Court of Justice, signatory Parties to international treaties are, under international law, free to agree on the effects those agreements will give rise to in their respective internal legal orders.</w:t>
      </w:r>
      <w:r w:rsidRPr="00BC1ABD">
        <w:rPr>
          <w:rStyle w:val="FootnoteReference"/>
          <w:rFonts w:asciiTheme="minorHAnsi" w:hAnsiTheme="minorHAnsi" w:cs="Calibri"/>
          <w:sz w:val="24"/>
          <w:szCs w:val="24"/>
          <w:lang w:val="en-GB"/>
        </w:rPr>
        <w:footnoteReference w:id="7"/>
      </w:r>
      <w:r w:rsidRPr="00BC1ABD">
        <w:rPr>
          <w:rFonts w:asciiTheme="minorHAnsi" w:hAnsiTheme="minorHAnsi" w:cs="Calibri"/>
          <w:sz w:val="24"/>
          <w:szCs w:val="24"/>
          <w:lang w:val="en-GB"/>
        </w:rPr>
        <w:t xml:space="preserve"> In the case of Georgia, the organic law on normative acts</w:t>
      </w:r>
      <w:r w:rsidRPr="00BC1ABD">
        <w:rPr>
          <w:rStyle w:val="FootnoteReference"/>
          <w:rFonts w:asciiTheme="minorHAnsi" w:hAnsiTheme="minorHAnsi" w:cs="Calibri"/>
          <w:sz w:val="24"/>
          <w:szCs w:val="24"/>
          <w:lang w:val="en-GB"/>
        </w:rPr>
        <w:footnoteReference w:id="8"/>
      </w:r>
      <w:r w:rsidRPr="00BC1ABD">
        <w:rPr>
          <w:rFonts w:asciiTheme="minorHAnsi" w:hAnsiTheme="minorHAnsi" w:cs="Calibri"/>
          <w:sz w:val="24"/>
          <w:szCs w:val="24"/>
          <w:lang w:val="en-GB"/>
        </w:rPr>
        <w:t xml:space="preserve"> is however equating into national treaties with “normative acts”. Therefore, international treaty provisions which are specific enough may potentially have direct effect</w:t>
      </w:r>
      <w:r w:rsidR="00C435F6" w:rsidRPr="00BC1ABD">
        <w:rPr>
          <w:rFonts w:asciiTheme="minorHAnsi" w:hAnsiTheme="minorHAnsi" w:cstheme="minorHAnsi"/>
          <w:sz w:val="24"/>
          <w:szCs w:val="24"/>
          <w:lang w:val="en-GB"/>
        </w:rPr>
        <w:t>.</w:t>
      </w:r>
    </w:p>
    <w:p w14:paraId="566C3393" w14:textId="77777777" w:rsidR="00C435F6" w:rsidRPr="00BC1ABD" w:rsidRDefault="00C435F6" w:rsidP="00EB11F7">
      <w:pPr>
        <w:pStyle w:val="Heading2"/>
        <w:numPr>
          <w:ilvl w:val="1"/>
          <w:numId w:val="88"/>
        </w:numPr>
        <w:spacing w:after="240"/>
        <w:rPr>
          <w:lang w:val="en-GB"/>
        </w:rPr>
      </w:pPr>
      <w:bookmarkStart w:id="7" w:name="_Toc146107767"/>
      <w:bookmarkStart w:id="8" w:name="_Toc169258885"/>
      <w:r w:rsidRPr="00BC1ABD">
        <w:rPr>
          <w:lang w:val="en-GB"/>
        </w:rPr>
        <w:t>Applicable provisions from the Georgian ‘Law on Electronic Communications’</w:t>
      </w:r>
      <w:bookmarkEnd w:id="7"/>
      <w:bookmarkEnd w:id="8"/>
    </w:p>
    <w:p w14:paraId="13767B64" w14:textId="3AAA3701"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Before examining the provisions of the law governing market definition and SMP designation, it is necessary to mention that the Georgian law is currently under revision, with the aim to further approximate its provisions to the </w:t>
      </w:r>
      <w:r w:rsidR="00EE4002">
        <w:rPr>
          <w:rFonts w:asciiTheme="minorHAnsi" w:eastAsia="Times New Roman" w:hAnsiTheme="minorHAnsi" w:cs="Calibri"/>
          <w:sz w:val="24"/>
          <w:szCs w:val="24"/>
          <w:lang w:val="en-GB"/>
        </w:rPr>
        <w:t>EU</w:t>
      </w:r>
      <w:r w:rsidR="00EE4002" w:rsidRPr="00BC1ABD">
        <w:rPr>
          <w:rFonts w:asciiTheme="minorHAnsi" w:eastAsia="Times New Roman" w:hAnsiTheme="minorHAnsi" w:cs="Calibri"/>
          <w:sz w:val="24"/>
          <w:szCs w:val="24"/>
          <w:lang w:val="en-GB"/>
        </w:rPr>
        <w:t xml:space="preserve"> </w:t>
      </w:r>
      <w:r w:rsidRPr="00BC1ABD">
        <w:rPr>
          <w:rFonts w:asciiTheme="minorHAnsi" w:eastAsia="Times New Roman" w:hAnsiTheme="minorHAnsi" w:cs="Calibri"/>
          <w:i/>
          <w:iCs/>
          <w:sz w:val="24"/>
          <w:szCs w:val="24"/>
          <w:lang w:val="en-GB"/>
        </w:rPr>
        <w:t>acquis</w:t>
      </w:r>
      <w:r w:rsidRPr="00BC1ABD">
        <w:rPr>
          <w:rFonts w:asciiTheme="minorHAnsi" w:eastAsia="Times New Roman" w:hAnsiTheme="minorHAnsi" w:cs="Calibri"/>
          <w:sz w:val="24"/>
          <w:szCs w:val="24"/>
          <w:lang w:val="en-GB"/>
        </w:rPr>
        <w:t xml:space="preserve"> included in the Annex XV-B to the Association Agreement in accordance with Article 113 of the latter.</w:t>
      </w:r>
      <w:r w:rsidRPr="00BC1ABD">
        <w:rPr>
          <w:rFonts w:asciiTheme="minorHAnsi" w:eastAsia="Times New Roman" w:hAnsiTheme="minorHAnsi" w:cs="Calibri"/>
          <w:sz w:val="24"/>
          <w:szCs w:val="24"/>
          <w:vertAlign w:val="superscript"/>
          <w:lang w:val="en-GB"/>
        </w:rPr>
        <w:footnoteReference w:id="9"/>
      </w:r>
    </w:p>
    <w:p w14:paraId="43686480" w14:textId="77777777"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In its current wording, Article 2 of the Law on Electronic Communications provides definitions of a number of competition law concepts (the individual paragraph references are given below following each definition):</w:t>
      </w:r>
    </w:p>
    <w:p w14:paraId="16E44CAF" w14:textId="77777777" w:rsidR="002E1DD2" w:rsidRPr="00BC1ABD"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033918">
        <w:rPr>
          <w:rFonts w:asciiTheme="minorHAnsi" w:eastAsia="Times New Roman" w:hAnsiTheme="minorHAnsi" w:cs="Calibri"/>
          <w:i/>
          <w:iCs/>
          <w:sz w:val="24"/>
          <w:szCs w:val="24"/>
          <w:lang w:val="en-GB"/>
        </w:rPr>
        <w:t>Significant joint market power of authorised persons</w:t>
      </w:r>
      <w:r w:rsidRPr="00BC1ABD">
        <w:rPr>
          <w:rFonts w:asciiTheme="minorHAnsi" w:eastAsia="Times New Roman" w:hAnsiTheme="minorHAnsi" w:cs="Calibri"/>
          <w:sz w:val="24"/>
          <w:szCs w:val="24"/>
          <w:lang w:val="en-GB"/>
        </w:rPr>
        <w:t>: A significant joint market power of two or more authorised persons over a relevant segment of the service market, which is a situation where an analysis conducted by the Georgian National Communications Commission confirms that the situation created in this segment of the market and characteristics of competition allow them to act in concert and obtain a joint non-competitive advantage in the market even when there are no structural or other types of links, including contractual relations, between them (g)</w:t>
      </w:r>
    </w:p>
    <w:p w14:paraId="4F5E824E" w14:textId="6571917A" w:rsidR="002E1DD2" w:rsidRPr="00BC1ABD"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Supply-side substitution</w:t>
      </w:r>
      <w:r w:rsidRPr="00BC1ABD">
        <w:rPr>
          <w:rFonts w:asciiTheme="minorHAnsi" w:eastAsia="Times New Roman" w:hAnsiTheme="minorHAnsi" w:cs="Calibri"/>
          <w:sz w:val="24"/>
          <w:szCs w:val="24"/>
          <w:lang w:val="en-GB"/>
        </w:rPr>
        <w:t xml:space="preserve">: </w:t>
      </w:r>
      <w:r w:rsidR="00EE4002">
        <w:rPr>
          <w:rFonts w:asciiTheme="minorHAnsi" w:eastAsia="Times New Roman" w:hAnsiTheme="minorHAnsi" w:cs="Calibri"/>
          <w:sz w:val="24"/>
          <w:szCs w:val="24"/>
          <w:lang w:val="en-GB"/>
        </w:rPr>
        <w:t>T</w:t>
      </w:r>
      <w:r w:rsidRPr="00BC1ABD">
        <w:rPr>
          <w:rFonts w:asciiTheme="minorHAnsi" w:eastAsia="Times New Roman" w:hAnsiTheme="minorHAnsi" w:cs="Calibri"/>
          <w:sz w:val="24"/>
          <w:szCs w:val="24"/>
          <w:lang w:val="en-GB"/>
        </w:rPr>
        <w:t>he possibility of providing interchangeable service types to users by authorised persons in a competitive service market (z</w:t>
      </w:r>
      <w:r w:rsidRPr="00BC1ABD">
        <w:rPr>
          <w:rFonts w:asciiTheme="minorHAnsi" w:eastAsia="Times New Roman" w:hAnsiTheme="minorHAnsi" w:cs="Calibri"/>
          <w:sz w:val="24"/>
          <w:szCs w:val="24"/>
          <w:vertAlign w:val="superscript"/>
          <w:lang w:val="en-GB"/>
        </w:rPr>
        <w:t>11</w:t>
      </w:r>
      <w:r w:rsidR="000C1A5D">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lang w:val="en-GB"/>
        </w:rPr>
        <w:t>;</w:t>
      </w:r>
    </w:p>
    <w:p w14:paraId="77B9D508" w14:textId="3276BF16" w:rsidR="002E1DD2" w:rsidRPr="00BC1ABD"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Significant market power</w:t>
      </w:r>
      <w:r w:rsidRPr="00BC1ABD">
        <w:rPr>
          <w:rFonts w:asciiTheme="minorHAnsi" w:eastAsia="Times New Roman" w:hAnsiTheme="minorHAnsi" w:cs="Calibri"/>
          <w:sz w:val="24"/>
          <w:szCs w:val="24"/>
          <w:lang w:val="en-GB"/>
        </w:rPr>
        <w:t xml:space="preserve">: </w:t>
      </w:r>
      <w:r w:rsidR="00EE4002">
        <w:rPr>
          <w:rFonts w:asciiTheme="minorHAnsi" w:eastAsia="Times New Roman" w:hAnsiTheme="minorHAnsi" w:cs="Calibri"/>
          <w:sz w:val="24"/>
          <w:szCs w:val="24"/>
          <w:lang w:val="en-GB"/>
        </w:rPr>
        <w:t>A</w:t>
      </w:r>
      <w:r w:rsidRPr="00BC1ABD">
        <w:rPr>
          <w:rFonts w:asciiTheme="minorHAnsi" w:eastAsia="Times New Roman" w:hAnsiTheme="minorHAnsi" w:cs="Calibri"/>
          <w:sz w:val="24"/>
          <w:szCs w:val="24"/>
          <w:lang w:val="en-GB"/>
        </w:rPr>
        <w:t xml:space="preserve"> significant market power of an authorised person over a relevant segment of the service market, which is a situation where the analysis conducted by the Commission confirms that an authorised person has no competitors, is protected from significant competition or its competitive position allows it to have unilateral substantial influence over this segment of the market and to limit competition (z</w:t>
      </w:r>
      <w:r w:rsidRPr="00BC1ABD">
        <w:rPr>
          <w:rFonts w:asciiTheme="minorHAnsi" w:eastAsia="Times New Roman" w:hAnsiTheme="minorHAnsi" w:cs="Calibri"/>
          <w:sz w:val="24"/>
          <w:szCs w:val="24"/>
          <w:vertAlign w:val="superscript"/>
          <w:lang w:val="en-GB"/>
        </w:rPr>
        <w:t>13</w:t>
      </w:r>
      <w:r w:rsidRPr="00BC1ABD">
        <w:rPr>
          <w:rFonts w:asciiTheme="minorHAnsi" w:eastAsia="Times New Roman" w:hAnsiTheme="minorHAnsi" w:cs="Calibri"/>
          <w:sz w:val="24"/>
          <w:szCs w:val="24"/>
          <w:lang w:val="en-GB"/>
        </w:rPr>
        <w:t>)</w:t>
      </w:r>
    </w:p>
    <w:p w14:paraId="2F2E86EC" w14:textId="168946A9" w:rsidR="002E1DD2" w:rsidRPr="00BC1ABD"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Relevant segments of a service market</w:t>
      </w:r>
      <w:r w:rsidRPr="00BC1ABD">
        <w:rPr>
          <w:rFonts w:asciiTheme="minorHAnsi" w:eastAsia="Times New Roman" w:hAnsiTheme="minorHAnsi" w:cs="Calibri"/>
          <w:sz w:val="24"/>
          <w:szCs w:val="24"/>
          <w:lang w:val="en-GB"/>
        </w:rPr>
        <w:t xml:space="preserve">: </w:t>
      </w:r>
      <w:r w:rsidR="00EE4002">
        <w:rPr>
          <w:rFonts w:asciiTheme="minorHAnsi" w:eastAsia="Times New Roman" w:hAnsiTheme="minorHAnsi" w:cs="Calibri"/>
          <w:sz w:val="24"/>
          <w:szCs w:val="24"/>
          <w:lang w:val="en-GB"/>
        </w:rPr>
        <w:t>S</w:t>
      </w:r>
      <w:r w:rsidRPr="00BC1ABD">
        <w:rPr>
          <w:rFonts w:asciiTheme="minorHAnsi" w:eastAsia="Times New Roman" w:hAnsiTheme="minorHAnsi" w:cs="Calibri"/>
          <w:sz w:val="24"/>
          <w:szCs w:val="24"/>
          <w:lang w:val="en-GB"/>
        </w:rPr>
        <w:t>ervice types, including interchangeable service types, identified by taking into account factors such as tariffs, conditions, competition, and demand-side and supply-side substitution</w:t>
      </w:r>
      <w:r w:rsidR="000C1A5D">
        <w:rPr>
          <w:rFonts w:asciiTheme="minorHAnsi" w:eastAsia="Times New Roman" w:hAnsiTheme="minorHAnsi" w:cs="Calibri"/>
          <w:sz w:val="24"/>
          <w:szCs w:val="24"/>
          <w:lang w:val="en-GB"/>
        </w:rPr>
        <w:t xml:space="preserve"> </w:t>
      </w:r>
      <w:r w:rsidRPr="00BC1ABD">
        <w:rPr>
          <w:rFonts w:asciiTheme="minorHAnsi" w:eastAsia="Times New Roman" w:hAnsiTheme="minorHAnsi" w:cs="Calibri"/>
          <w:sz w:val="24"/>
          <w:szCs w:val="24"/>
          <w:lang w:val="en-GB"/>
        </w:rPr>
        <w:t>(z</w:t>
      </w:r>
      <w:r w:rsidRPr="00BC1ABD">
        <w:rPr>
          <w:rFonts w:asciiTheme="minorHAnsi" w:eastAsia="Times New Roman" w:hAnsiTheme="minorHAnsi" w:cs="Calibri"/>
          <w:sz w:val="24"/>
          <w:szCs w:val="24"/>
          <w:vertAlign w:val="superscript"/>
          <w:lang w:val="en-GB"/>
        </w:rPr>
        <w:t>14</w:t>
      </w:r>
      <w:r w:rsidRPr="00BC1ABD">
        <w:rPr>
          <w:rFonts w:asciiTheme="minorHAnsi" w:eastAsia="Times New Roman" w:hAnsiTheme="minorHAnsi" w:cs="Calibri"/>
          <w:sz w:val="24"/>
          <w:szCs w:val="24"/>
          <w:lang w:val="en-GB"/>
        </w:rPr>
        <w:t>)</w:t>
      </w:r>
    </w:p>
    <w:p w14:paraId="26FADEAF" w14:textId="2070E8EF" w:rsidR="002E1DD2" w:rsidRPr="00BC1ABD"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Relevant geographic boundaries</w:t>
      </w:r>
      <w:r w:rsidRPr="00BC1ABD">
        <w:rPr>
          <w:rFonts w:asciiTheme="minorHAnsi" w:eastAsia="Times New Roman" w:hAnsiTheme="minorHAnsi" w:cs="Calibri"/>
          <w:sz w:val="24"/>
          <w:szCs w:val="24"/>
          <w:lang w:val="en-GB"/>
        </w:rPr>
        <w:t xml:space="preserve"> of a service market: </w:t>
      </w:r>
      <w:r w:rsidR="00EE4002">
        <w:rPr>
          <w:rFonts w:asciiTheme="minorHAnsi" w:eastAsia="Times New Roman" w:hAnsiTheme="minorHAnsi" w:cs="Calibri"/>
          <w:sz w:val="24"/>
          <w:szCs w:val="24"/>
          <w:lang w:val="en-GB"/>
        </w:rPr>
        <w:t>A</w:t>
      </w:r>
      <w:r w:rsidRPr="00BC1ABD">
        <w:rPr>
          <w:rFonts w:asciiTheme="minorHAnsi" w:eastAsia="Times New Roman" w:hAnsiTheme="minorHAnsi" w:cs="Calibri"/>
          <w:sz w:val="24"/>
          <w:szCs w:val="24"/>
          <w:lang w:val="en-GB"/>
        </w:rPr>
        <w:t xml:space="preserve"> geographical (territorial) segment with homogeneous competitive conditions (z</w:t>
      </w:r>
      <w:r w:rsidRPr="00BC1ABD">
        <w:rPr>
          <w:rFonts w:asciiTheme="minorHAnsi" w:eastAsia="Times New Roman" w:hAnsiTheme="minorHAnsi" w:cs="Calibri"/>
          <w:sz w:val="24"/>
          <w:szCs w:val="24"/>
          <w:vertAlign w:val="superscript"/>
          <w:lang w:val="en-GB"/>
        </w:rPr>
        <w:t>15</w:t>
      </w:r>
      <w:r w:rsidRPr="00BC1ABD">
        <w:rPr>
          <w:rFonts w:asciiTheme="minorHAnsi" w:eastAsia="Times New Roman" w:hAnsiTheme="minorHAnsi" w:cs="Calibri"/>
          <w:sz w:val="24"/>
          <w:szCs w:val="24"/>
          <w:lang w:val="en-GB"/>
        </w:rPr>
        <w:t>)</w:t>
      </w:r>
    </w:p>
    <w:p w14:paraId="013D95FA" w14:textId="26A4D465" w:rsidR="002E1DD2" w:rsidRPr="00BC1ABD"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Demand-side substitution</w:t>
      </w:r>
      <w:r w:rsidRPr="00BC1ABD">
        <w:rPr>
          <w:rFonts w:asciiTheme="minorHAnsi" w:eastAsia="Times New Roman" w:hAnsiTheme="minorHAnsi" w:cs="Calibri"/>
          <w:sz w:val="24"/>
          <w:szCs w:val="24"/>
          <w:lang w:val="en-GB"/>
        </w:rPr>
        <w:t xml:space="preserve">: </w:t>
      </w:r>
      <w:r w:rsidR="00EE4002">
        <w:rPr>
          <w:rFonts w:asciiTheme="minorHAnsi" w:eastAsia="Times New Roman" w:hAnsiTheme="minorHAnsi" w:cs="Calibri"/>
          <w:sz w:val="24"/>
          <w:szCs w:val="24"/>
          <w:lang w:val="en-GB"/>
        </w:rPr>
        <w:t>A</w:t>
      </w:r>
      <w:r w:rsidRPr="00BC1ABD">
        <w:rPr>
          <w:rFonts w:asciiTheme="minorHAnsi" w:eastAsia="Times New Roman" w:hAnsiTheme="minorHAnsi" w:cs="Calibri"/>
          <w:sz w:val="24"/>
          <w:szCs w:val="24"/>
          <w:lang w:val="en-GB"/>
        </w:rPr>
        <w:t>bility of a user to switch to available substitute services that satisfy their requirements with a similar price, quality and volume (z</w:t>
      </w:r>
      <w:r w:rsidRPr="00BC1ABD">
        <w:rPr>
          <w:rFonts w:asciiTheme="minorHAnsi" w:eastAsia="Times New Roman" w:hAnsiTheme="minorHAnsi" w:cs="Calibri"/>
          <w:sz w:val="24"/>
          <w:szCs w:val="24"/>
          <w:vertAlign w:val="superscript"/>
          <w:lang w:val="en-GB"/>
        </w:rPr>
        <w:t>18</w:t>
      </w:r>
      <w:r w:rsidRPr="00BC1ABD">
        <w:rPr>
          <w:rFonts w:asciiTheme="minorHAnsi" w:eastAsia="Times New Roman" w:hAnsiTheme="minorHAnsi" w:cs="Calibri"/>
          <w:sz w:val="24"/>
          <w:szCs w:val="24"/>
          <w:lang w:val="en-GB"/>
        </w:rPr>
        <w:t>)</w:t>
      </w:r>
    </w:p>
    <w:p w14:paraId="24528D36" w14:textId="5557EB7F" w:rsidR="00EE4002" w:rsidRDefault="002E1DD2" w:rsidP="002E1DD2">
      <w:pPr>
        <w:numPr>
          <w:ilvl w:val="0"/>
          <w:numId w:val="55"/>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 xml:space="preserve">Closely related segments </w:t>
      </w:r>
      <w:r w:rsidRPr="00BC1ABD">
        <w:rPr>
          <w:rFonts w:asciiTheme="minorHAnsi" w:eastAsia="Times New Roman" w:hAnsiTheme="minorHAnsi" w:cs="Calibri"/>
          <w:sz w:val="24"/>
          <w:szCs w:val="24"/>
          <w:lang w:val="en-GB"/>
        </w:rPr>
        <w:t xml:space="preserve">of a service market: </w:t>
      </w:r>
      <w:r w:rsidR="00EE4002">
        <w:rPr>
          <w:rFonts w:asciiTheme="minorHAnsi" w:eastAsia="Times New Roman" w:hAnsiTheme="minorHAnsi" w:cs="Calibri"/>
          <w:sz w:val="24"/>
          <w:szCs w:val="24"/>
          <w:lang w:val="en-GB"/>
        </w:rPr>
        <w:t>R</w:t>
      </w:r>
      <w:r w:rsidRPr="00BC1ABD">
        <w:rPr>
          <w:rFonts w:asciiTheme="minorHAnsi" w:eastAsia="Times New Roman" w:hAnsiTheme="minorHAnsi" w:cs="Calibri"/>
          <w:sz w:val="24"/>
          <w:szCs w:val="24"/>
          <w:lang w:val="en-GB"/>
        </w:rPr>
        <w:t>elevant segments of a service market where, due to contractual relationships among one or more authorised persons or due to a structural link among their networks, authorised persons may use, separately or in concert, their significant market power in one market segment in order to obtain or strengthen their significant market power in another segment (z</w:t>
      </w:r>
      <w:r w:rsidRPr="00BC1ABD">
        <w:rPr>
          <w:rFonts w:asciiTheme="minorHAnsi" w:eastAsia="Times New Roman" w:hAnsiTheme="minorHAnsi" w:cs="Calibri"/>
          <w:sz w:val="24"/>
          <w:szCs w:val="24"/>
          <w:vertAlign w:val="superscript"/>
          <w:lang w:val="en-GB"/>
        </w:rPr>
        <w:t>19</w:t>
      </w:r>
      <w:r w:rsidRPr="00BC1ABD">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vertAlign w:val="superscript"/>
          <w:lang w:val="en-GB"/>
        </w:rPr>
        <w:footnoteReference w:id="10"/>
      </w:r>
    </w:p>
    <w:p w14:paraId="68AD1F68" w14:textId="77777777" w:rsidR="00045321" w:rsidRPr="00045321" w:rsidRDefault="00045321" w:rsidP="00045321">
      <w:pPr>
        <w:shd w:val="clear" w:color="auto" w:fill="FFFFFF"/>
        <w:spacing w:after="160" w:line="259" w:lineRule="auto"/>
        <w:ind w:left="720"/>
        <w:contextualSpacing/>
        <w:jc w:val="both"/>
        <w:rPr>
          <w:rFonts w:asciiTheme="minorHAnsi" w:eastAsia="Times New Roman" w:hAnsiTheme="minorHAnsi" w:cs="Calibri"/>
          <w:sz w:val="24"/>
          <w:szCs w:val="24"/>
          <w:lang w:val="en-GB"/>
        </w:rPr>
      </w:pPr>
    </w:p>
    <w:p w14:paraId="092ABCD2" w14:textId="12056DB4" w:rsidR="002E1DD2" w:rsidRPr="002167F6" w:rsidRDefault="002E1DD2" w:rsidP="002E1DD2">
      <w:pPr>
        <w:shd w:val="clear" w:color="auto" w:fill="FFFFFF"/>
        <w:spacing w:after="160" w:line="259" w:lineRule="auto"/>
        <w:jc w:val="both"/>
        <w:rPr>
          <w:rFonts w:asciiTheme="minorHAnsi" w:eastAsia="Times New Roman" w:hAnsiTheme="minorHAnsi" w:cs="Calibri"/>
          <w:bCs/>
          <w:iCs/>
          <w:sz w:val="24"/>
          <w:szCs w:val="24"/>
          <w:highlight w:val="yellow"/>
          <w:lang w:val="en-GB"/>
        </w:rPr>
      </w:pPr>
      <w:r w:rsidRPr="00BC1ABD">
        <w:rPr>
          <w:rFonts w:asciiTheme="minorHAnsi" w:eastAsia="Times New Roman" w:hAnsiTheme="minorHAnsi" w:cs="Calibri"/>
          <w:bCs/>
          <w:iCs/>
          <w:sz w:val="24"/>
          <w:szCs w:val="24"/>
          <w:lang w:val="en-GB"/>
        </w:rPr>
        <w:t xml:space="preserve">The </w:t>
      </w:r>
      <w:r w:rsidRPr="00BC1ABD">
        <w:rPr>
          <w:rFonts w:asciiTheme="minorHAnsi" w:eastAsia="Times New Roman" w:hAnsiTheme="minorHAnsi" w:cs="Calibri"/>
          <w:bCs/>
          <w:i/>
          <w:sz w:val="24"/>
          <w:szCs w:val="24"/>
          <w:lang w:val="en-GB"/>
        </w:rPr>
        <w:t>ex-ante</w:t>
      </w:r>
      <w:r w:rsidRPr="00BC1ABD">
        <w:rPr>
          <w:rFonts w:asciiTheme="minorHAnsi" w:eastAsia="Times New Roman" w:hAnsiTheme="minorHAnsi" w:cs="Calibri"/>
          <w:bCs/>
          <w:iCs/>
          <w:sz w:val="24"/>
          <w:szCs w:val="24"/>
          <w:lang w:val="en-GB"/>
        </w:rPr>
        <w:t xml:space="preserve"> market review procedure and rules are set out specifically in Articles 21 and 22 of the law.</w:t>
      </w:r>
      <w:r w:rsidRPr="00BC1ABD">
        <w:rPr>
          <w:rFonts w:asciiTheme="minorHAnsi" w:eastAsia="Times New Roman" w:hAnsiTheme="minorHAnsi" w:cs="Calibri"/>
          <w:bCs/>
          <w:iCs/>
          <w:sz w:val="24"/>
          <w:szCs w:val="24"/>
          <w:vertAlign w:val="superscript"/>
          <w:lang w:val="en-GB"/>
        </w:rPr>
        <w:footnoteReference w:id="11"/>
      </w:r>
      <w:r w:rsidRPr="00BC1ABD">
        <w:rPr>
          <w:rFonts w:asciiTheme="minorHAnsi" w:eastAsia="Times New Roman" w:hAnsiTheme="minorHAnsi" w:cs="Calibri"/>
          <w:bCs/>
          <w:iCs/>
          <w:sz w:val="24"/>
          <w:szCs w:val="24"/>
          <w:lang w:val="en-GB"/>
        </w:rPr>
        <w:t xml:space="preserve"> Article 21(3) of the law provides that the market reviews shall be conducted by ComCom on the basis of the methodology approved by a resolution of ComCom. Under Article 64(1) e) of the law, the </w:t>
      </w:r>
      <w:r w:rsidRPr="00BC1ABD">
        <w:rPr>
          <w:rFonts w:asciiTheme="minorHAnsi" w:eastAsia="Times New Roman" w:hAnsiTheme="minorHAnsi" w:cs="Calibri"/>
          <w:bCs/>
          <w:i/>
          <w:sz w:val="24"/>
          <w:szCs w:val="24"/>
          <w:lang w:val="en-GB"/>
        </w:rPr>
        <w:t>‘Methodological Rules for Determining Appropriate Segments of the Service Market and for Analysing Competition’</w:t>
      </w:r>
      <w:r w:rsidRPr="00BC1ABD">
        <w:rPr>
          <w:rFonts w:asciiTheme="minorHAnsi" w:eastAsia="Times New Roman" w:hAnsiTheme="minorHAnsi" w:cs="Calibri"/>
          <w:bCs/>
          <w:iCs/>
          <w:sz w:val="24"/>
          <w:szCs w:val="24"/>
          <w:lang w:val="en-GB"/>
        </w:rPr>
        <w:t xml:space="preserve"> had to be adopted within one year after the entry into force of the law. The methodological rules (“ComCom’s Methodology</w:t>
      </w:r>
      <w:r w:rsidRPr="00BC1ABD">
        <w:rPr>
          <w:rFonts w:asciiTheme="minorHAnsi" w:eastAsia="Times New Roman" w:hAnsiTheme="minorHAnsi" w:cs="Calibri"/>
          <w:bCs/>
          <w:iCs/>
          <w:lang w:val="en-GB"/>
        </w:rPr>
        <w:t xml:space="preserve">”) </w:t>
      </w:r>
      <w:r w:rsidRPr="00BC1ABD">
        <w:rPr>
          <w:rFonts w:asciiTheme="minorHAnsi" w:eastAsia="Times New Roman" w:hAnsiTheme="minorHAnsi" w:cs="Calibri"/>
          <w:bCs/>
          <w:iCs/>
          <w:sz w:val="24"/>
          <w:szCs w:val="24"/>
          <w:lang w:val="en-GB"/>
        </w:rPr>
        <w:t xml:space="preserve">were eventually enacted on 31 August 2007 by Resolution No.5 </w:t>
      </w:r>
      <w:r w:rsidRPr="00BC1ABD">
        <w:rPr>
          <w:rFonts w:asciiTheme="minorHAnsi" w:eastAsia="Times New Roman" w:hAnsiTheme="minorHAnsi" w:cs="Calibri"/>
          <w:bCs/>
          <w:i/>
          <w:sz w:val="24"/>
          <w:szCs w:val="24"/>
          <w:lang w:val="en-GB"/>
        </w:rPr>
        <w:t>‘On Approval of the Methodological Rules for Determination of Relevant Market Segments and Analysis of Competitiveness’</w:t>
      </w:r>
      <w:r w:rsidRPr="00BC1ABD">
        <w:rPr>
          <w:rFonts w:asciiTheme="minorHAnsi" w:eastAsia="Times New Roman" w:hAnsiTheme="minorHAnsi" w:cs="Calibri"/>
          <w:bCs/>
          <w:iCs/>
          <w:sz w:val="24"/>
          <w:szCs w:val="24"/>
          <w:lang w:val="en-GB"/>
        </w:rPr>
        <w:t>.</w:t>
      </w:r>
      <w:r w:rsidRPr="00BC1ABD">
        <w:rPr>
          <w:rFonts w:asciiTheme="minorHAnsi" w:eastAsia="Times New Roman" w:hAnsiTheme="minorHAnsi" w:cs="Calibri"/>
          <w:bCs/>
          <w:iCs/>
          <w:sz w:val="24"/>
          <w:szCs w:val="24"/>
          <w:vertAlign w:val="superscript"/>
          <w:lang w:val="en-GB"/>
        </w:rPr>
        <w:footnoteReference w:id="12"/>
      </w:r>
      <w:r w:rsidRPr="00BC1ABD">
        <w:rPr>
          <w:rFonts w:asciiTheme="minorHAnsi" w:eastAsia="Times New Roman" w:hAnsiTheme="minorHAnsi" w:cs="Calibri"/>
          <w:bCs/>
          <w:iCs/>
          <w:sz w:val="24"/>
          <w:szCs w:val="24"/>
          <w:lang w:val="en-GB"/>
        </w:rPr>
        <w:t xml:space="preserve"> This Methodology has been reviewed based on a study financed by the EBRD, drafted by Grant Thornton, Pierstone </w:t>
      </w:r>
      <w:r w:rsidRPr="002167F6">
        <w:rPr>
          <w:rFonts w:asciiTheme="minorHAnsi" w:eastAsia="Times New Roman" w:hAnsiTheme="minorHAnsi" w:cs="Calibri"/>
          <w:bCs/>
          <w:iCs/>
          <w:sz w:val="24"/>
          <w:szCs w:val="24"/>
          <w:highlight w:val="green"/>
          <w:lang w:val="en-GB"/>
        </w:rPr>
        <w:t xml:space="preserve">and Analysys Mason, and </w:t>
      </w:r>
      <w:r w:rsidR="00BD7D18" w:rsidRPr="002167F6">
        <w:rPr>
          <w:rFonts w:asciiTheme="minorHAnsi" w:eastAsia="Times New Roman" w:hAnsiTheme="minorHAnsi" w:cs="Calibri"/>
          <w:bCs/>
          <w:iCs/>
          <w:sz w:val="24"/>
          <w:szCs w:val="24"/>
          <w:highlight w:val="green"/>
          <w:lang w:val="en-GB"/>
        </w:rPr>
        <w:t>was</w:t>
      </w:r>
      <w:r w:rsidRPr="002167F6">
        <w:rPr>
          <w:rFonts w:asciiTheme="minorHAnsi" w:eastAsia="Times New Roman" w:hAnsiTheme="minorHAnsi" w:cs="Calibri"/>
          <w:bCs/>
          <w:iCs/>
          <w:sz w:val="24"/>
          <w:szCs w:val="24"/>
          <w:highlight w:val="green"/>
          <w:lang w:val="en-GB"/>
        </w:rPr>
        <w:t xml:space="preserve"> </w:t>
      </w:r>
      <w:r w:rsidR="002207AC" w:rsidRPr="002167F6">
        <w:rPr>
          <w:rFonts w:asciiTheme="minorHAnsi" w:eastAsia="Times New Roman" w:hAnsiTheme="minorHAnsi" w:cs="Calibri"/>
          <w:bCs/>
          <w:iCs/>
          <w:sz w:val="24"/>
          <w:szCs w:val="24"/>
          <w:highlight w:val="green"/>
          <w:lang w:val="en-GB"/>
        </w:rPr>
        <w:t xml:space="preserve">amended </w:t>
      </w:r>
      <w:r w:rsidR="00EE28FF" w:rsidRPr="002167F6">
        <w:rPr>
          <w:rFonts w:asciiTheme="minorHAnsi" w:eastAsia="Times New Roman" w:hAnsiTheme="minorHAnsi" w:cs="Calibri"/>
          <w:bCs/>
          <w:iCs/>
          <w:sz w:val="24"/>
          <w:szCs w:val="24"/>
          <w:highlight w:val="green"/>
          <w:lang w:val="en-GB"/>
        </w:rPr>
        <w:t xml:space="preserve">on 22 February 2024 </w:t>
      </w:r>
      <w:r w:rsidR="002207AC" w:rsidRPr="002167F6">
        <w:rPr>
          <w:rFonts w:asciiTheme="minorHAnsi" w:eastAsia="Times New Roman" w:hAnsiTheme="minorHAnsi" w:cs="Calibri"/>
          <w:bCs/>
          <w:iCs/>
          <w:sz w:val="24"/>
          <w:szCs w:val="24"/>
          <w:highlight w:val="green"/>
          <w:lang w:val="en-GB"/>
        </w:rPr>
        <w:t xml:space="preserve">by means of </w:t>
      </w:r>
      <w:r w:rsidR="00BD7D18" w:rsidRPr="002167F6">
        <w:rPr>
          <w:rFonts w:asciiTheme="minorHAnsi" w:eastAsia="Times New Roman" w:hAnsiTheme="minorHAnsi" w:cs="Calibri"/>
          <w:bCs/>
          <w:iCs/>
          <w:sz w:val="24"/>
          <w:szCs w:val="24"/>
          <w:highlight w:val="green"/>
          <w:lang w:val="en-GB"/>
        </w:rPr>
        <w:t xml:space="preserve">a ComCom </w:t>
      </w:r>
      <w:r w:rsidR="002207AC" w:rsidRPr="002167F6">
        <w:rPr>
          <w:rFonts w:asciiTheme="minorHAnsi" w:eastAsia="Times New Roman" w:hAnsiTheme="minorHAnsi" w:cs="Calibri"/>
          <w:bCs/>
          <w:iCs/>
          <w:sz w:val="24"/>
          <w:szCs w:val="24"/>
          <w:highlight w:val="green"/>
          <w:lang w:val="en-GB"/>
        </w:rPr>
        <w:t>resolution</w:t>
      </w:r>
      <w:r w:rsidR="002207AC" w:rsidRPr="002167F6">
        <w:rPr>
          <w:rStyle w:val="FootnoteReference"/>
          <w:rFonts w:asciiTheme="minorHAnsi" w:eastAsia="Times New Roman" w:hAnsiTheme="minorHAnsi" w:cs="Calibri"/>
          <w:bCs/>
          <w:iCs/>
          <w:sz w:val="24"/>
          <w:szCs w:val="24"/>
          <w:highlight w:val="green"/>
          <w:lang w:val="en-GB"/>
        </w:rPr>
        <w:footnoteReference w:id="13"/>
      </w:r>
      <w:r w:rsidR="002207AC" w:rsidRPr="002167F6">
        <w:rPr>
          <w:rFonts w:asciiTheme="minorHAnsi" w:eastAsia="Times New Roman" w:hAnsiTheme="minorHAnsi" w:cs="Calibri"/>
          <w:bCs/>
          <w:iCs/>
          <w:sz w:val="24"/>
          <w:szCs w:val="24"/>
          <w:highlight w:val="green"/>
          <w:lang w:val="en-GB"/>
        </w:rPr>
        <w:t xml:space="preserve"> establishing the rules applicable for market reviews</w:t>
      </w:r>
      <w:r w:rsidR="00EE28FF" w:rsidRPr="002167F6">
        <w:rPr>
          <w:rFonts w:asciiTheme="minorHAnsi" w:eastAsia="Times New Roman" w:hAnsiTheme="minorHAnsi" w:cs="Calibri"/>
          <w:bCs/>
          <w:iCs/>
          <w:sz w:val="24"/>
          <w:szCs w:val="24"/>
          <w:highlight w:val="green"/>
          <w:lang w:val="en-GB"/>
        </w:rPr>
        <w:t xml:space="preserve"> (hereafter “ComCom’s revised methodological rules”)</w:t>
      </w:r>
      <w:r w:rsidRPr="002167F6">
        <w:rPr>
          <w:rFonts w:asciiTheme="minorHAnsi" w:eastAsia="Times New Roman" w:hAnsiTheme="minorHAnsi" w:cs="Calibri"/>
          <w:bCs/>
          <w:iCs/>
          <w:sz w:val="24"/>
          <w:szCs w:val="24"/>
          <w:highlight w:val="green"/>
          <w:lang w:val="en-GB"/>
        </w:rPr>
        <w:t xml:space="preserve"> aiming to align the approach fully with the methodology recommended by the EU Commission to the EU national regulators in its SMP guidelines</w:t>
      </w:r>
      <w:r w:rsidR="00804D47" w:rsidRPr="002167F6">
        <w:rPr>
          <w:rFonts w:asciiTheme="minorHAnsi" w:eastAsia="Times New Roman" w:hAnsiTheme="minorHAnsi" w:cs="Calibri"/>
          <w:bCs/>
          <w:iCs/>
          <w:sz w:val="24"/>
          <w:szCs w:val="24"/>
          <w:highlight w:val="green"/>
          <w:lang w:val="en-GB"/>
        </w:rPr>
        <w:t>.</w:t>
      </w:r>
      <w:r w:rsidRPr="002167F6">
        <w:rPr>
          <w:rFonts w:asciiTheme="minorHAnsi" w:eastAsia="Times New Roman" w:hAnsiTheme="minorHAnsi" w:cs="Calibri"/>
          <w:bCs/>
          <w:iCs/>
          <w:sz w:val="24"/>
          <w:szCs w:val="24"/>
          <w:highlight w:val="green"/>
          <w:vertAlign w:val="superscript"/>
          <w:lang w:val="en-GB"/>
        </w:rPr>
        <w:footnoteReference w:id="14"/>
      </w:r>
      <w:r w:rsidR="002207AC" w:rsidRPr="002167F6">
        <w:rPr>
          <w:rFonts w:asciiTheme="minorHAnsi" w:eastAsia="Times New Roman" w:hAnsiTheme="minorHAnsi" w:cs="Calibri"/>
          <w:bCs/>
          <w:iCs/>
          <w:sz w:val="24"/>
          <w:szCs w:val="24"/>
          <w:highlight w:val="green"/>
          <w:lang w:val="en-GB"/>
        </w:rPr>
        <w:t xml:space="preserve"> This </w:t>
      </w:r>
      <w:r w:rsidR="00BD7D18" w:rsidRPr="002167F6">
        <w:rPr>
          <w:rFonts w:asciiTheme="minorHAnsi" w:eastAsia="Times New Roman" w:hAnsiTheme="minorHAnsi" w:cs="Calibri"/>
          <w:bCs/>
          <w:iCs/>
          <w:sz w:val="24"/>
          <w:szCs w:val="24"/>
          <w:highlight w:val="green"/>
          <w:lang w:val="en-GB"/>
        </w:rPr>
        <w:t xml:space="preserve">ComCom </w:t>
      </w:r>
      <w:r w:rsidR="002207AC" w:rsidRPr="002167F6">
        <w:rPr>
          <w:rFonts w:asciiTheme="minorHAnsi" w:eastAsia="Times New Roman" w:hAnsiTheme="minorHAnsi" w:cs="Calibri"/>
          <w:bCs/>
          <w:iCs/>
          <w:sz w:val="24"/>
          <w:szCs w:val="24"/>
          <w:highlight w:val="green"/>
          <w:lang w:val="en-GB"/>
        </w:rPr>
        <w:t>resolution does not revoke Resolution No.5 but supersedes the latter’s provisions relating to market reviews. A consolidated version of the methodological rules could be enacted in the future.</w:t>
      </w:r>
    </w:p>
    <w:p w14:paraId="479A8643" w14:textId="77777777" w:rsidR="002E1DD2" w:rsidRPr="00BC1ABD" w:rsidRDefault="002E1DD2" w:rsidP="002E1DD2">
      <w:pPr>
        <w:shd w:val="clear" w:color="auto" w:fill="FFFFFF"/>
        <w:spacing w:after="160" w:line="259" w:lineRule="auto"/>
        <w:jc w:val="both"/>
        <w:rPr>
          <w:rFonts w:asciiTheme="minorHAnsi" w:eastAsia="Times New Roman" w:hAnsiTheme="minorHAnsi" w:cs="Calibri"/>
          <w:bCs/>
          <w:iCs/>
          <w:sz w:val="24"/>
          <w:szCs w:val="24"/>
          <w:lang w:val="en-GB"/>
        </w:rPr>
      </w:pPr>
      <w:r w:rsidRPr="002167F6">
        <w:rPr>
          <w:rFonts w:asciiTheme="minorHAnsi" w:eastAsia="Times New Roman" w:hAnsiTheme="minorHAnsi" w:cs="Calibri"/>
          <w:bCs/>
          <w:iCs/>
          <w:sz w:val="24"/>
          <w:szCs w:val="24"/>
          <w:lang w:val="en-GB"/>
        </w:rPr>
        <w:t>Key provisions governing the market</w:t>
      </w:r>
      <w:r w:rsidRPr="00BC1ABD">
        <w:rPr>
          <w:rFonts w:asciiTheme="minorHAnsi" w:eastAsia="Times New Roman" w:hAnsiTheme="minorHAnsi" w:cs="Calibri"/>
          <w:bCs/>
          <w:iCs/>
          <w:sz w:val="24"/>
          <w:szCs w:val="24"/>
          <w:lang w:val="en-GB"/>
        </w:rPr>
        <w:t xml:space="preserve"> reviews are the following.</w:t>
      </w:r>
    </w:p>
    <w:p w14:paraId="0E1DA2DB" w14:textId="77777777" w:rsidR="002E1DD2" w:rsidRPr="00BC1ABD" w:rsidRDefault="002E1DD2" w:rsidP="002E1DD2">
      <w:pPr>
        <w:numPr>
          <w:ilvl w:val="0"/>
          <w:numId w:val="56"/>
        </w:numPr>
        <w:tabs>
          <w:tab w:val="num" w:pos="360"/>
        </w:tabs>
        <w:spacing w:before="240" w:after="160" w:line="259" w:lineRule="auto"/>
        <w:ind w:left="0" w:firstLine="0"/>
        <w:jc w:val="both"/>
        <w:rPr>
          <w:rFonts w:asciiTheme="minorHAnsi" w:eastAsia="Times New Roman" w:hAnsiTheme="minorHAnsi" w:cs="Calibri"/>
          <w:bCs/>
          <w:i/>
          <w:iCs/>
          <w:sz w:val="24"/>
          <w:szCs w:val="24"/>
          <w:u w:val="single"/>
          <w:lang w:val="en-GB"/>
        </w:rPr>
      </w:pPr>
      <w:r w:rsidRPr="00BC1ABD">
        <w:rPr>
          <w:rFonts w:asciiTheme="minorHAnsi" w:eastAsia="Times New Roman" w:hAnsiTheme="minorHAnsi" w:cs="Calibri"/>
          <w:bCs/>
          <w:i/>
          <w:iCs/>
          <w:sz w:val="24"/>
          <w:szCs w:val="24"/>
          <w:u w:val="single"/>
          <w:lang w:val="en-GB"/>
        </w:rPr>
        <w:t>The criteria for assessing significant market power (SMP)</w:t>
      </w:r>
    </w:p>
    <w:p w14:paraId="0E7BE1BB" w14:textId="24CDC6D4" w:rsidR="002E1DD2" w:rsidRDefault="002E1DD2" w:rsidP="002E1DD2">
      <w:pPr>
        <w:shd w:val="clear" w:color="auto" w:fill="FFFFFF"/>
        <w:spacing w:after="160" w:line="259" w:lineRule="auto"/>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Article 21(4) of the law lists the principles</w:t>
      </w:r>
      <w:r w:rsidRPr="00BC1ABD">
        <w:rPr>
          <w:rFonts w:asciiTheme="minorHAnsi" w:eastAsia="Times New Roman" w:hAnsiTheme="minorHAnsi" w:cs="Calibri"/>
          <w:bCs/>
          <w:iCs/>
          <w:sz w:val="24"/>
          <w:szCs w:val="24"/>
          <w:vertAlign w:val="superscript"/>
          <w:lang w:val="en-GB"/>
        </w:rPr>
        <w:footnoteReference w:id="15"/>
      </w:r>
      <w:r w:rsidRPr="00BC1ABD">
        <w:rPr>
          <w:rFonts w:asciiTheme="minorHAnsi" w:eastAsia="Times New Roman" w:hAnsiTheme="minorHAnsi" w:cs="Calibri"/>
          <w:bCs/>
          <w:iCs/>
          <w:sz w:val="24"/>
          <w:szCs w:val="24"/>
          <w:lang w:val="en-GB"/>
        </w:rPr>
        <w:t xml:space="preserve"> under which, among other, </w:t>
      </w:r>
      <w:r w:rsidRPr="00BC1ABD">
        <w:rPr>
          <w:rFonts w:asciiTheme="minorHAnsi" w:eastAsia="Times New Roman" w:hAnsiTheme="minorHAnsi" w:cs="Calibri"/>
          <w:bCs/>
          <w:i/>
          <w:sz w:val="24"/>
          <w:szCs w:val="24"/>
          <w:lang w:val="en-GB"/>
        </w:rPr>
        <w:t>“</w:t>
      </w:r>
      <w:r w:rsidR="00EE4002">
        <w:rPr>
          <w:rFonts w:asciiTheme="minorHAnsi" w:eastAsia="Times New Roman" w:hAnsiTheme="minorHAnsi" w:cs="Calibri"/>
          <w:bCs/>
          <w:i/>
          <w:sz w:val="24"/>
          <w:szCs w:val="24"/>
          <w:lang w:val="en-GB"/>
        </w:rPr>
        <w:t>…</w:t>
      </w:r>
      <w:r w:rsidRPr="00BC1ABD">
        <w:rPr>
          <w:rFonts w:asciiTheme="minorHAnsi" w:eastAsia="Times New Roman" w:hAnsiTheme="minorHAnsi" w:cs="Calibri"/>
          <w:bCs/>
          <w:i/>
          <w:sz w:val="24"/>
          <w:szCs w:val="24"/>
          <w:lang w:val="en-GB"/>
        </w:rPr>
        <w:t>the identification of authorised persons with significant market power (…) in accordance with the primary and secondary criteria shall be carried out</w:t>
      </w:r>
      <w:r w:rsidRPr="00BC1ABD">
        <w:rPr>
          <w:rFonts w:asciiTheme="minorHAnsi" w:eastAsia="Times New Roman" w:hAnsiTheme="minorHAnsi" w:cs="Calibri"/>
          <w:bCs/>
          <w:iCs/>
          <w:sz w:val="24"/>
          <w:szCs w:val="24"/>
          <w:lang w:val="en-GB"/>
        </w:rPr>
        <w:t xml:space="preserve">”. </w:t>
      </w:r>
    </w:p>
    <w:p w14:paraId="4E48659F" w14:textId="77777777" w:rsidR="005E16B9" w:rsidRPr="00BC1ABD" w:rsidRDefault="005E16B9" w:rsidP="002E1DD2">
      <w:pPr>
        <w:shd w:val="clear" w:color="auto" w:fill="FFFFFF"/>
        <w:spacing w:after="160" w:line="259" w:lineRule="auto"/>
        <w:jc w:val="both"/>
        <w:rPr>
          <w:rFonts w:asciiTheme="minorHAnsi" w:eastAsia="Times New Roman" w:hAnsiTheme="minorHAnsi" w:cs="Calibri"/>
          <w:bCs/>
          <w:iCs/>
          <w:sz w:val="24"/>
          <w:szCs w:val="24"/>
          <w:lang w:val="en-GB"/>
        </w:rPr>
      </w:pPr>
    </w:p>
    <w:p w14:paraId="418F86AB" w14:textId="77777777" w:rsidR="002E1DD2" w:rsidRPr="00BC1ABD" w:rsidRDefault="002E1DD2" w:rsidP="002E1DD2">
      <w:pPr>
        <w:numPr>
          <w:ilvl w:val="0"/>
          <w:numId w:val="56"/>
        </w:numPr>
        <w:tabs>
          <w:tab w:val="num" w:pos="360"/>
        </w:tabs>
        <w:spacing w:before="240" w:after="160" w:line="259" w:lineRule="auto"/>
        <w:ind w:left="0" w:firstLine="0"/>
        <w:jc w:val="both"/>
        <w:rPr>
          <w:rFonts w:asciiTheme="minorHAnsi" w:eastAsia="Times New Roman" w:hAnsiTheme="minorHAnsi" w:cs="Calibri"/>
          <w:bCs/>
          <w:i/>
          <w:iCs/>
          <w:sz w:val="24"/>
          <w:szCs w:val="24"/>
          <w:u w:val="single"/>
          <w:lang w:val="en-GB"/>
        </w:rPr>
      </w:pPr>
      <w:r w:rsidRPr="00BC1ABD">
        <w:rPr>
          <w:rFonts w:asciiTheme="minorHAnsi" w:eastAsia="Times New Roman" w:hAnsiTheme="minorHAnsi" w:cs="Calibri"/>
          <w:bCs/>
          <w:i/>
          <w:iCs/>
          <w:sz w:val="24"/>
          <w:szCs w:val="24"/>
          <w:u w:val="single"/>
          <w:lang w:val="en-GB"/>
        </w:rPr>
        <w:t>Primary criteria to identify significant market power</w:t>
      </w:r>
    </w:p>
    <w:p w14:paraId="3A2E2FC1" w14:textId="75423BC7" w:rsidR="002E1DD2" w:rsidRPr="00BC1ABD" w:rsidRDefault="002E1DD2" w:rsidP="002E1DD2">
      <w:pPr>
        <w:shd w:val="clear" w:color="auto" w:fill="FFFFFF"/>
        <w:spacing w:after="160" w:line="259" w:lineRule="auto"/>
        <w:jc w:val="both"/>
        <w:rPr>
          <w:rFonts w:asciiTheme="minorHAnsi" w:eastAsia="Times New Roman" w:hAnsiTheme="minorHAnsi" w:cs="Calibri"/>
          <w:bCs/>
          <w:i/>
          <w:sz w:val="24"/>
          <w:szCs w:val="24"/>
          <w:lang w:val="en-GB"/>
        </w:rPr>
      </w:pPr>
      <w:r w:rsidRPr="00BC1ABD">
        <w:rPr>
          <w:rFonts w:asciiTheme="minorHAnsi" w:eastAsia="Times New Roman" w:hAnsiTheme="minorHAnsi" w:cs="Calibri"/>
          <w:bCs/>
          <w:iCs/>
          <w:sz w:val="24"/>
          <w:szCs w:val="24"/>
          <w:lang w:val="en-GB"/>
        </w:rPr>
        <w:t>Article 22 (8) refers to the primary criterion as follows: “</w:t>
      </w:r>
      <w:r w:rsidRPr="00BC1ABD">
        <w:rPr>
          <w:rFonts w:asciiTheme="minorHAnsi" w:eastAsia="Times New Roman" w:hAnsiTheme="minorHAnsi" w:cs="Calibri"/>
          <w:bCs/>
          <w:i/>
          <w:sz w:val="24"/>
          <w:szCs w:val="24"/>
          <w:lang w:val="en-GB"/>
        </w:rPr>
        <w:t>In the process of the study and analysis of the competitiveness of a relevant segment of the service market, the main criterion for designating a person as having significant market power shall be the relative market share held by the authorised person or by a group of interrelated persons in this segment of the market. The relative market share held by an authorised person in the relevant segment of the market shall be determined by the income received by the person, by the number of end-users or subscribers or by the percentage of the total volume (traffic) of service provided in the specified period, as well as by taking into account the loaded and free capacities or the functional resources of the relevant elements of the network held or owned by the authorised person. Taking into account the characteristics of the relevant segment of the market, the Commission shall, in each specific case, on the basis of the principle of objectivity, make a decision to measure the share held by the authorised person in the relevant segment of the market and to apply the relevant primary </w:t>
      </w:r>
      <w:r w:rsidR="00A44F66" w:rsidRPr="00BC1ABD">
        <w:rPr>
          <w:rFonts w:asciiTheme="minorHAnsi" w:eastAsia="Times New Roman" w:hAnsiTheme="minorHAnsi" w:cs="Calibri"/>
          <w:bCs/>
          <w:i/>
          <w:sz w:val="24"/>
          <w:szCs w:val="24"/>
          <w:lang w:val="en-GB"/>
        </w:rPr>
        <w:t>criteria.“</w:t>
      </w:r>
    </w:p>
    <w:p w14:paraId="18EACC98" w14:textId="77777777" w:rsidR="002E1DD2" w:rsidRPr="00BC1ABD" w:rsidRDefault="002E1DD2" w:rsidP="002E1DD2">
      <w:pPr>
        <w:shd w:val="clear" w:color="auto" w:fill="FFFFFF"/>
        <w:spacing w:after="160" w:line="259" w:lineRule="auto"/>
        <w:jc w:val="both"/>
        <w:rPr>
          <w:rFonts w:asciiTheme="minorHAnsi" w:eastAsia="Times New Roman" w:hAnsiTheme="minorHAnsi" w:cs="Calibri"/>
          <w:bCs/>
          <w:i/>
          <w:sz w:val="24"/>
          <w:szCs w:val="24"/>
          <w:lang w:val="en-GB"/>
        </w:rPr>
      </w:pPr>
      <w:r w:rsidRPr="00BC1ABD">
        <w:rPr>
          <w:rFonts w:asciiTheme="minorHAnsi" w:eastAsia="Times New Roman" w:hAnsiTheme="minorHAnsi" w:cs="Calibri"/>
          <w:bCs/>
          <w:i/>
          <w:sz w:val="24"/>
          <w:szCs w:val="24"/>
          <w:lang w:val="en-GB"/>
        </w:rPr>
        <w:t>Article 22(10) provides the definition of the market share requirements for a finding of significant market power as follows: “In accordance with the primary criterion for determining a significant market power in the relevant segment of the service market, an authorised person shall be designated as having significant market power if it holds at least 40 per cent of the market share in the relevant segment of the market.</w:t>
      </w:r>
    </w:p>
    <w:p w14:paraId="02B78FA8" w14:textId="77777777" w:rsidR="002E1DD2" w:rsidRPr="00BC1ABD" w:rsidDel="00F42CBD" w:rsidRDefault="002E1DD2" w:rsidP="002E1DD2">
      <w:pPr>
        <w:numPr>
          <w:ilvl w:val="0"/>
          <w:numId w:val="56"/>
        </w:numPr>
        <w:tabs>
          <w:tab w:val="num" w:pos="360"/>
        </w:tabs>
        <w:spacing w:before="240" w:after="160" w:line="259" w:lineRule="auto"/>
        <w:ind w:left="0" w:firstLine="0"/>
        <w:jc w:val="both"/>
        <w:rPr>
          <w:rFonts w:asciiTheme="minorHAnsi" w:eastAsia="Times New Roman" w:hAnsiTheme="minorHAnsi" w:cs="Calibri"/>
          <w:bCs/>
          <w:i/>
          <w:iCs/>
          <w:sz w:val="24"/>
          <w:szCs w:val="24"/>
          <w:u w:val="single"/>
          <w:lang w:val="en-GB"/>
        </w:rPr>
      </w:pPr>
      <w:r w:rsidRPr="00BC1ABD">
        <w:rPr>
          <w:rFonts w:asciiTheme="minorHAnsi" w:eastAsia="Times New Roman" w:hAnsiTheme="minorHAnsi" w:cs="Calibri"/>
          <w:bCs/>
          <w:i/>
          <w:iCs/>
          <w:sz w:val="24"/>
          <w:szCs w:val="24"/>
          <w:u w:val="single"/>
          <w:lang w:val="en-GB"/>
        </w:rPr>
        <w:t>The definition of joint dominance in Georgia</w:t>
      </w:r>
    </w:p>
    <w:p w14:paraId="570EC87E" w14:textId="116E4FB2" w:rsidR="002E1DD2" w:rsidRPr="00BC1ABD" w:rsidRDefault="002E1DD2" w:rsidP="002E1DD2">
      <w:pPr>
        <w:shd w:val="clear" w:color="auto" w:fill="FFFFFF"/>
        <w:spacing w:after="160" w:line="259" w:lineRule="auto"/>
        <w:jc w:val="both"/>
        <w:rPr>
          <w:rFonts w:asciiTheme="minorHAnsi" w:eastAsia="Times New Roman" w:hAnsiTheme="minorHAnsi" w:cs="Calibri"/>
          <w:bCs/>
          <w:i/>
          <w:sz w:val="24"/>
          <w:szCs w:val="24"/>
          <w:lang w:val="en-GB"/>
        </w:rPr>
      </w:pPr>
      <w:r w:rsidRPr="00BC1ABD">
        <w:rPr>
          <w:rFonts w:asciiTheme="minorHAnsi" w:eastAsia="Times New Roman" w:hAnsiTheme="minorHAnsi" w:cs="Calibri"/>
          <w:bCs/>
          <w:iCs/>
          <w:sz w:val="24"/>
          <w:szCs w:val="24"/>
          <w:lang w:val="en-GB"/>
        </w:rPr>
        <w:t xml:space="preserve">Article 22(11) states that several </w:t>
      </w:r>
      <w:r w:rsidRPr="00BC1ABD">
        <w:rPr>
          <w:rFonts w:asciiTheme="minorHAnsi" w:eastAsia="Times New Roman" w:hAnsiTheme="minorHAnsi" w:cs="Calibri"/>
          <w:bCs/>
          <w:i/>
          <w:sz w:val="24"/>
          <w:szCs w:val="24"/>
          <w:lang w:val="en-GB"/>
        </w:rPr>
        <w:t>“</w:t>
      </w:r>
      <w:r w:rsidR="00EE4002">
        <w:rPr>
          <w:rFonts w:asciiTheme="minorHAnsi" w:eastAsia="Times New Roman" w:hAnsiTheme="minorHAnsi" w:cs="Calibri"/>
          <w:bCs/>
          <w:i/>
          <w:sz w:val="24"/>
          <w:szCs w:val="24"/>
          <w:lang w:val="en-GB"/>
        </w:rPr>
        <w:t>…</w:t>
      </w:r>
      <w:r w:rsidRPr="00BC1ABD">
        <w:rPr>
          <w:rFonts w:asciiTheme="minorHAnsi" w:eastAsia="Times New Roman" w:hAnsiTheme="minorHAnsi" w:cs="Calibri"/>
          <w:bCs/>
          <w:i/>
          <w:sz w:val="24"/>
          <w:szCs w:val="24"/>
          <w:lang w:val="en-GB"/>
        </w:rPr>
        <w:t>authorised persons shall be considered as persons having joint significant market power if in the relevant segment of the service market:</w:t>
      </w:r>
    </w:p>
    <w:p w14:paraId="6D2E66E9" w14:textId="77777777" w:rsidR="002E1DD2" w:rsidRPr="00BC1ABD" w:rsidRDefault="002E1DD2" w:rsidP="00EB11F7">
      <w:pPr>
        <w:numPr>
          <w:ilvl w:val="0"/>
          <w:numId w:val="89"/>
        </w:numPr>
        <w:shd w:val="clear" w:color="auto" w:fill="FFFFFF"/>
        <w:tabs>
          <w:tab w:val="num" w:pos="360"/>
        </w:tabs>
        <w:spacing w:after="160" w:line="259" w:lineRule="auto"/>
        <w:ind w:left="0" w:firstLine="0"/>
        <w:jc w:val="both"/>
        <w:rPr>
          <w:rFonts w:asciiTheme="minorHAnsi" w:eastAsia="Times New Roman" w:hAnsiTheme="minorHAnsi" w:cs="Calibri"/>
          <w:bCs/>
          <w:i/>
          <w:sz w:val="24"/>
          <w:szCs w:val="24"/>
          <w:lang w:val="en-GB"/>
        </w:rPr>
      </w:pPr>
      <w:r w:rsidRPr="00BC1ABD">
        <w:rPr>
          <w:rFonts w:asciiTheme="minorHAnsi" w:eastAsia="Times New Roman" w:hAnsiTheme="minorHAnsi" w:cs="Calibri"/>
          <w:bCs/>
          <w:i/>
          <w:sz w:val="24"/>
          <w:szCs w:val="24"/>
          <w:lang w:val="en-GB"/>
        </w:rPr>
        <w:t>the total market share of two authorised persons is at least 60 per cent; at the same time, the market share of each of them must be at least 25 percent;</w:t>
      </w:r>
    </w:p>
    <w:p w14:paraId="282EE105" w14:textId="77777777" w:rsidR="002E1DD2" w:rsidRPr="00BC1ABD" w:rsidRDefault="002E1DD2" w:rsidP="00EB11F7">
      <w:pPr>
        <w:numPr>
          <w:ilvl w:val="0"/>
          <w:numId w:val="89"/>
        </w:numPr>
        <w:shd w:val="clear" w:color="auto" w:fill="FFFFFF"/>
        <w:tabs>
          <w:tab w:val="num" w:pos="360"/>
        </w:tabs>
        <w:spacing w:after="160" w:line="259" w:lineRule="auto"/>
        <w:ind w:left="0" w:firstLine="0"/>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
          <w:sz w:val="24"/>
          <w:szCs w:val="24"/>
          <w:lang w:val="en-GB"/>
        </w:rPr>
        <w:t>the total market share of three authorised persons is at least 80 per cent; at the same time, the market share of each of them must be at least 15 percent</w:t>
      </w:r>
      <w:r w:rsidRPr="00BC1ABD">
        <w:rPr>
          <w:rFonts w:asciiTheme="minorHAnsi" w:eastAsia="Times New Roman" w:hAnsiTheme="minorHAnsi" w:cs="Calibri"/>
          <w:bCs/>
          <w:iCs/>
          <w:sz w:val="24"/>
          <w:szCs w:val="24"/>
          <w:lang w:val="en-GB"/>
        </w:rPr>
        <w:t>”.</w:t>
      </w:r>
    </w:p>
    <w:p w14:paraId="297B57B5" w14:textId="08FC37D5" w:rsidR="002E1DD2" w:rsidRPr="00BC1ABD" w:rsidRDefault="002E1DD2" w:rsidP="002E1DD2">
      <w:pPr>
        <w:numPr>
          <w:ilvl w:val="0"/>
          <w:numId w:val="56"/>
        </w:numPr>
        <w:tabs>
          <w:tab w:val="num" w:pos="360"/>
        </w:tabs>
        <w:spacing w:before="240" w:after="160" w:line="259" w:lineRule="auto"/>
        <w:ind w:left="0" w:firstLine="0"/>
        <w:jc w:val="both"/>
        <w:rPr>
          <w:rFonts w:asciiTheme="minorHAnsi" w:eastAsia="Times New Roman" w:hAnsiTheme="minorHAnsi" w:cs="Calibri"/>
          <w:bCs/>
          <w:i/>
          <w:iCs/>
          <w:sz w:val="24"/>
          <w:szCs w:val="24"/>
          <w:u w:val="single"/>
          <w:lang w:val="en-GB"/>
        </w:rPr>
      </w:pPr>
      <w:r w:rsidRPr="00BC1ABD">
        <w:rPr>
          <w:rFonts w:asciiTheme="minorHAnsi" w:eastAsia="Times New Roman" w:hAnsiTheme="minorHAnsi" w:cs="Calibri"/>
          <w:bCs/>
          <w:i/>
          <w:iCs/>
          <w:sz w:val="24"/>
          <w:szCs w:val="24"/>
          <w:u w:val="single"/>
          <w:lang w:val="en-GB"/>
        </w:rPr>
        <w:t xml:space="preserve">Secondary criteria to identify significant market </w:t>
      </w:r>
      <w:r w:rsidR="00A1535B" w:rsidRPr="00BC1ABD">
        <w:rPr>
          <w:rFonts w:asciiTheme="minorHAnsi" w:eastAsia="Times New Roman" w:hAnsiTheme="minorHAnsi" w:cs="Calibri"/>
          <w:bCs/>
          <w:i/>
          <w:iCs/>
          <w:sz w:val="24"/>
          <w:szCs w:val="24"/>
          <w:u w:val="single"/>
          <w:lang w:val="en-GB"/>
        </w:rPr>
        <w:t>power.</w:t>
      </w:r>
    </w:p>
    <w:p w14:paraId="7BE07AE4" w14:textId="140905B7" w:rsidR="002E1DD2" w:rsidRPr="00BC1ABD" w:rsidRDefault="002E1DD2" w:rsidP="002E1DD2">
      <w:pPr>
        <w:shd w:val="clear" w:color="auto" w:fill="FFFFFF"/>
        <w:spacing w:after="160" w:line="259" w:lineRule="auto"/>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 xml:space="preserve">According to Article 22(12) </w:t>
      </w:r>
      <w:r w:rsidRPr="00BC1ABD">
        <w:rPr>
          <w:rFonts w:asciiTheme="minorHAnsi" w:eastAsia="Times New Roman" w:hAnsiTheme="minorHAnsi" w:cs="Calibri"/>
          <w:bCs/>
          <w:i/>
          <w:sz w:val="24"/>
          <w:szCs w:val="24"/>
          <w:lang w:val="en-GB"/>
        </w:rPr>
        <w:t>“…in addition to the primary criteria, use shall be made of secondary criteria which, in accordance with primary criteria, objectively determines the possibilities of persons with significant market power to restrict competition and carry out non-competitive actions in the relevant segment of the service market. Secondary criteria shall be determined by the Commission taking into account analytical factors”.</w:t>
      </w:r>
    </w:p>
    <w:p w14:paraId="0D29FF23" w14:textId="0F6EF2C9" w:rsidR="00804D47" w:rsidRDefault="002E1DD2" w:rsidP="0014487F">
      <w:pPr>
        <w:shd w:val="clear" w:color="auto" w:fill="FFFFFF"/>
        <w:spacing w:after="160" w:line="259" w:lineRule="auto"/>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These secondary criteria are further detailed in</w:t>
      </w:r>
      <w:r w:rsidR="0014487F">
        <w:rPr>
          <w:rFonts w:asciiTheme="minorHAnsi" w:eastAsia="Times New Roman" w:hAnsiTheme="minorHAnsi" w:cs="Calibri"/>
          <w:bCs/>
          <w:iCs/>
          <w:sz w:val="24"/>
          <w:szCs w:val="24"/>
          <w:lang w:val="en-GB"/>
        </w:rPr>
        <w:t xml:space="preserve"> </w:t>
      </w:r>
      <w:r w:rsidR="00EE4002">
        <w:rPr>
          <w:rFonts w:asciiTheme="minorHAnsi" w:eastAsia="Times New Roman" w:hAnsiTheme="minorHAnsi" w:cs="Calibri"/>
          <w:bCs/>
          <w:iCs/>
          <w:sz w:val="24"/>
          <w:szCs w:val="24"/>
          <w:lang w:val="en-GB"/>
        </w:rPr>
        <w:t>ComCom’s</w:t>
      </w:r>
      <w:r w:rsidRPr="00BC1ABD">
        <w:rPr>
          <w:rFonts w:asciiTheme="minorHAnsi" w:eastAsia="Times New Roman" w:hAnsiTheme="minorHAnsi" w:cs="Calibri"/>
          <w:bCs/>
          <w:iCs/>
          <w:sz w:val="24"/>
          <w:szCs w:val="24"/>
          <w:lang w:val="en-GB"/>
        </w:rPr>
        <w:t xml:space="preserve"> Methodological Rules.</w:t>
      </w:r>
    </w:p>
    <w:p w14:paraId="490BDEF3" w14:textId="7DD3485E" w:rsidR="004C3063" w:rsidRPr="00BC1ABD" w:rsidRDefault="004C3063" w:rsidP="004C3063">
      <w:pPr>
        <w:pStyle w:val="Heading2"/>
        <w:numPr>
          <w:ilvl w:val="1"/>
          <w:numId w:val="88"/>
        </w:numPr>
        <w:spacing w:after="240"/>
        <w:rPr>
          <w:lang w:val="en-GB"/>
        </w:rPr>
      </w:pPr>
      <w:bookmarkStart w:id="9" w:name="_Toc169258886"/>
      <w:r>
        <w:rPr>
          <w:lang w:val="en-GB"/>
        </w:rPr>
        <w:t>Main divergences between the ‘</w:t>
      </w:r>
      <w:r w:rsidRPr="00BC1ABD">
        <w:rPr>
          <w:lang w:val="en-GB"/>
        </w:rPr>
        <w:t xml:space="preserve">Law </w:t>
      </w:r>
      <w:r>
        <w:rPr>
          <w:lang w:val="en-GB"/>
        </w:rPr>
        <w:t xml:space="preserve">of Georgia </w:t>
      </w:r>
      <w:r w:rsidRPr="00BC1ABD">
        <w:rPr>
          <w:lang w:val="en-GB"/>
        </w:rPr>
        <w:t>on Electronic Communications’</w:t>
      </w:r>
      <w:r>
        <w:rPr>
          <w:lang w:val="en-GB"/>
        </w:rPr>
        <w:t xml:space="preserve"> and the EU Framework</w:t>
      </w:r>
      <w:bookmarkEnd w:id="9"/>
    </w:p>
    <w:p w14:paraId="10D263CE" w14:textId="4EF6A7A4" w:rsidR="00B700F5" w:rsidRPr="00B700F5" w:rsidRDefault="002E1DD2" w:rsidP="00B700F5">
      <w:pPr>
        <w:pStyle w:val="Heading2"/>
        <w:numPr>
          <w:ilvl w:val="2"/>
          <w:numId w:val="88"/>
        </w:numPr>
        <w:spacing w:after="240"/>
        <w:rPr>
          <w:lang w:val="en-GB"/>
        </w:rPr>
      </w:pPr>
      <w:r w:rsidRPr="002465A7">
        <w:rPr>
          <w:lang w:val="en-GB"/>
        </w:rPr>
        <w:t xml:space="preserve"> </w:t>
      </w:r>
      <w:bookmarkStart w:id="10" w:name="_Toc169258887"/>
      <w:r w:rsidRPr="002465A7">
        <w:rPr>
          <w:lang w:val="en-GB"/>
        </w:rPr>
        <w:t xml:space="preserve">Joint dominance is not (yet) clearly distinguished from </w:t>
      </w:r>
      <w:r w:rsidR="00A1535B" w:rsidRPr="002465A7">
        <w:rPr>
          <w:lang w:val="en-GB"/>
        </w:rPr>
        <w:t>collusion.</w:t>
      </w:r>
      <w:bookmarkEnd w:id="10"/>
    </w:p>
    <w:p w14:paraId="7BED8FCB" w14:textId="77777777"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bCs/>
          <w:iCs/>
          <w:sz w:val="24"/>
          <w:szCs w:val="24"/>
          <w:lang w:val="en-GB"/>
        </w:rPr>
        <w:t xml:space="preserve">Joint dominance is defined in Article 2(g) of the law as a </w:t>
      </w:r>
      <w:r w:rsidRPr="00BC1ABD">
        <w:rPr>
          <w:rFonts w:asciiTheme="minorHAnsi" w:eastAsia="Times New Roman" w:hAnsiTheme="minorHAnsi" w:cs="Calibri"/>
          <w:bCs/>
          <w:i/>
          <w:sz w:val="24"/>
          <w:szCs w:val="24"/>
          <w:lang w:val="en-GB"/>
        </w:rPr>
        <w:t>“</w:t>
      </w:r>
      <w:r w:rsidRPr="00BC1ABD">
        <w:rPr>
          <w:rFonts w:asciiTheme="minorHAnsi" w:eastAsia="Times New Roman" w:hAnsiTheme="minorHAnsi" w:cs="Calibri"/>
          <w:i/>
          <w:sz w:val="24"/>
          <w:szCs w:val="24"/>
          <w:lang w:val="en-GB"/>
        </w:rPr>
        <w:t xml:space="preserve">situation created in this segment of the market and characteristics of competition allow them </w:t>
      </w:r>
      <w:r w:rsidRPr="00BC1ABD">
        <w:rPr>
          <w:rFonts w:asciiTheme="minorHAnsi" w:eastAsia="Times New Roman" w:hAnsiTheme="minorHAnsi" w:cs="Calibri"/>
          <w:bCs/>
          <w:i/>
          <w:sz w:val="24"/>
          <w:szCs w:val="24"/>
          <w:lang w:val="en-GB"/>
        </w:rPr>
        <w:t>to act in concert</w:t>
      </w:r>
      <w:r w:rsidRPr="00BC1ABD">
        <w:rPr>
          <w:rFonts w:asciiTheme="minorHAnsi" w:eastAsia="Times New Roman" w:hAnsiTheme="minorHAnsi" w:cs="Calibri"/>
          <w:i/>
          <w:sz w:val="24"/>
          <w:szCs w:val="24"/>
          <w:lang w:val="en-GB"/>
        </w:rPr>
        <w:t xml:space="preserve"> and obtain a joint non-competitive advantage in the market even when there are no structural or other types of links, including contractual relations, between them”</w:t>
      </w:r>
      <w:r w:rsidRPr="00BC1ABD">
        <w:rPr>
          <w:rFonts w:asciiTheme="minorHAnsi" w:eastAsia="Times New Roman" w:hAnsiTheme="minorHAnsi" w:cs="Calibri"/>
          <w:sz w:val="24"/>
          <w:szCs w:val="24"/>
          <w:lang w:val="en-GB"/>
        </w:rPr>
        <w:t>.</w:t>
      </w:r>
    </w:p>
    <w:p w14:paraId="63B24CF7" w14:textId="033735C8"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This definition deviates from the competition law acceptance of the concept, i.e. where </w:t>
      </w:r>
      <w:r w:rsidRPr="00BC1ABD">
        <w:rPr>
          <w:rFonts w:asciiTheme="minorHAnsi" w:eastAsia="Times New Roman" w:hAnsiTheme="minorHAnsi" w:cs="Calibri"/>
          <w:i/>
          <w:iCs/>
          <w:sz w:val="24"/>
          <w:szCs w:val="24"/>
          <w:lang w:val="en-GB"/>
        </w:rPr>
        <w:t>“even in the absence of structural or other links between them, [two or more undertakings] operate in a market the structure of which is considered to be conducive to coordinated effects. (…) this is likely to be the case where the market satisfies a number of appropriate characteristics, in particular in terms of market concentration, transparency and other characteristics</w:t>
      </w:r>
      <w:r w:rsidRPr="00BC1ABD">
        <w:rPr>
          <w:rFonts w:asciiTheme="minorHAnsi" w:eastAsia="Times New Roman" w:hAnsiTheme="minorHAnsi" w:cs="Calibri"/>
          <w:sz w:val="24"/>
          <w:szCs w:val="24"/>
          <w:lang w:val="en-GB"/>
        </w:rPr>
        <w:t>”</w:t>
      </w:r>
      <w:r w:rsidR="00C26AFF">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vertAlign w:val="superscript"/>
          <w:lang w:val="en-GB"/>
        </w:rPr>
        <w:footnoteReference w:id="16"/>
      </w:r>
    </w:p>
    <w:p w14:paraId="4A3F8110" w14:textId="7923EA4C"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Under EU competition law, a clear distinction is drawn between, on the one hand, </w:t>
      </w:r>
      <w:r w:rsidRPr="00BC1ABD">
        <w:rPr>
          <w:rFonts w:asciiTheme="minorHAnsi" w:eastAsia="Times New Roman" w:hAnsiTheme="minorHAnsi" w:cs="Calibri"/>
          <w:i/>
          <w:iCs/>
          <w:sz w:val="24"/>
          <w:szCs w:val="24"/>
          <w:lang w:val="en-GB"/>
        </w:rPr>
        <w:t>‘concerted practices’</w:t>
      </w:r>
      <w:r w:rsidRPr="00BC1ABD">
        <w:rPr>
          <w:rFonts w:asciiTheme="minorHAnsi" w:eastAsia="Times New Roman" w:hAnsiTheme="minorHAnsi" w:cs="Calibri"/>
          <w:sz w:val="24"/>
          <w:szCs w:val="24"/>
          <w:lang w:val="en-GB"/>
        </w:rPr>
        <w:t xml:space="preserve"> which are considered as potentially anticompetitive collusion and on the other</w:t>
      </w:r>
      <w:r w:rsidR="00817F16">
        <w:rPr>
          <w:rFonts w:asciiTheme="minorHAnsi" w:eastAsia="Times New Roman" w:hAnsiTheme="minorHAnsi" w:cs="Calibri"/>
          <w:sz w:val="24"/>
          <w:szCs w:val="24"/>
          <w:lang w:val="en-GB"/>
        </w:rPr>
        <w:t xml:space="preserve"> hand</w:t>
      </w:r>
      <w:r w:rsidRPr="00BC1ABD">
        <w:rPr>
          <w:rFonts w:asciiTheme="minorHAnsi" w:eastAsia="Times New Roman" w:hAnsiTheme="minorHAnsi" w:cs="Calibri"/>
          <w:sz w:val="24"/>
          <w:szCs w:val="24"/>
          <w:lang w:val="en-GB"/>
        </w:rPr>
        <w:t xml:space="preserve"> situations where </w:t>
      </w:r>
      <w:r w:rsidRPr="00BC1ABD">
        <w:rPr>
          <w:rFonts w:asciiTheme="minorHAnsi" w:eastAsia="Times New Roman" w:hAnsiTheme="minorHAnsi" w:cs="Calibri"/>
          <w:i/>
          <w:iCs/>
          <w:sz w:val="24"/>
          <w:szCs w:val="24"/>
          <w:lang w:val="en-GB"/>
        </w:rPr>
        <w:t>“</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as a result of the characteristics of the limited marketplace, these same companies indirectly synchroni</w:t>
      </w:r>
      <w:r w:rsidR="00817F16">
        <w:rPr>
          <w:rFonts w:asciiTheme="minorHAnsi" w:eastAsia="Times New Roman" w:hAnsiTheme="minorHAnsi" w:cs="Calibri"/>
          <w:i/>
          <w:iCs/>
          <w:sz w:val="24"/>
          <w:szCs w:val="24"/>
          <w:lang w:val="en-GB"/>
        </w:rPr>
        <w:t>s</w:t>
      </w:r>
      <w:r w:rsidRPr="00BC1ABD">
        <w:rPr>
          <w:rFonts w:asciiTheme="minorHAnsi" w:eastAsia="Times New Roman" w:hAnsiTheme="minorHAnsi" w:cs="Calibri"/>
          <w:i/>
          <w:iCs/>
          <w:sz w:val="24"/>
          <w:szCs w:val="24"/>
          <w:lang w:val="en-GB"/>
        </w:rPr>
        <w:t>e the pricing and policy decisions they make, an action often labelled ‘tacit coordination’ or ‘conscious parallelism’</w:t>
      </w:r>
      <w:r w:rsidRPr="00BC1ABD">
        <w:rPr>
          <w:rFonts w:asciiTheme="minorHAnsi" w:eastAsia="Times New Roman" w:hAnsiTheme="minorHAnsi" w:cs="Calibri"/>
          <w:sz w:val="24"/>
          <w:szCs w:val="24"/>
          <w:lang w:val="en-GB"/>
        </w:rPr>
        <w:t xml:space="preserve"> </w:t>
      </w:r>
      <w:r w:rsidRPr="00BC1ABD">
        <w:rPr>
          <w:rFonts w:asciiTheme="minorHAnsi" w:eastAsia="Times New Roman" w:hAnsiTheme="minorHAnsi" w:cs="Calibri"/>
          <w:i/>
          <w:iCs/>
          <w:sz w:val="24"/>
          <w:szCs w:val="24"/>
          <w:lang w:val="en-GB"/>
        </w:rPr>
        <w:t>(…) an oligopoly does not necessarily intend collectively to raise prices and consequently harm consumers. It is perhaps natural that participants in ‘tight’ oligopolistic markets (markets where only a few undertakings dominate) subtly observe and monitor each other’s actions in order to calculate and predict each other’s behaviour and adjust and adapt their own products, services, and prices accordingly</w:t>
      </w:r>
      <w:r w:rsidRPr="00BC1ABD">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vertAlign w:val="superscript"/>
          <w:lang w:val="en-GB"/>
        </w:rPr>
        <w:footnoteReference w:id="17"/>
      </w:r>
    </w:p>
    <w:p w14:paraId="01471AC8" w14:textId="7816EABB"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The difference of approaches between Georgian and EU law ha</w:t>
      </w:r>
      <w:r w:rsidR="00C5016C">
        <w:rPr>
          <w:rFonts w:asciiTheme="minorHAnsi" w:eastAsia="Times New Roman" w:hAnsiTheme="minorHAnsi" w:cs="Calibri"/>
          <w:sz w:val="24"/>
          <w:szCs w:val="24"/>
          <w:lang w:val="en-GB"/>
        </w:rPr>
        <w:t>d</w:t>
      </w:r>
      <w:r w:rsidRPr="00BC1ABD">
        <w:rPr>
          <w:rFonts w:asciiTheme="minorHAnsi" w:eastAsia="Times New Roman" w:hAnsiTheme="minorHAnsi" w:cs="Calibri"/>
          <w:sz w:val="24"/>
          <w:szCs w:val="24"/>
          <w:lang w:val="en-GB"/>
        </w:rPr>
        <w:t xml:space="preserve"> repercussions on the criteria used to find joint dominance. </w:t>
      </w:r>
    </w:p>
    <w:p w14:paraId="1FDB2793" w14:textId="2238072B" w:rsidR="002E1DD2" w:rsidRPr="00BC1ABD" w:rsidRDefault="002E1DD2" w:rsidP="002E1DD2">
      <w:pPr>
        <w:shd w:val="clear" w:color="auto" w:fill="FFFFFF"/>
        <w:spacing w:after="160" w:line="259" w:lineRule="auto"/>
        <w:jc w:val="both"/>
        <w:rPr>
          <w:rFonts w:asciiTheme="minorHAnsi" w:eastAsia="Times New Roman" w:hAnsiTheme="minorHAnsi" w:cs="Calibri"/>
          <w:i/>
          <w:iCs/>
          <w:sz w:val="24"/>
          <w:szCs w:val="24"/>
          <w:lang w:val="en-GB"/>
        </w:rPr>
      </w:pPr>
      <w:r w:rsidRPr="00BC1ABD">
        <w:rPr>
          <w:rFonts w:asciiTheme="minorHAnsi" w:eastAsia="Times New Roman" w:hAnsiTheme="minorHAnsi" w:cs="Calibri"/>
          <w:sz w:val="24"/>
          <w:szCs w:val="24"/>
          <w:lang w:val="en-GB"/>
        </w:rPr>
        <w:t xml:space="preserve">The Georgian law </w:t>
      </w:r>
      <w:r w:rsidR="00C5016C">
        <w:rPr>
          <w:rFonts w:asciiTheme="minorHAnsi" w:eastAsia="Times New Roman" w:hAnsiTheme="minorHAnsi" w:cs="Calibri"/>
          <w:sz w:val="24"/>
          <w:szCs w:val="24"/>
          <w:lang w:val="en-GB"/>
        </w:rPr>
        <w:t>wa</w:t>
      </w:r>
      <w:r w:rsidRPr="00BC1ABD">
        <w:rPr>
          <w:rFonts w:asciiTheme="minorHAnsi" w:eastAsia="Times New Roman" w:hAnsiTheme="minorHAnsi" w:cs="Calibri"/>
          <w:sz w:val="24"/>
          <w:szCs w:val="24"/>
          <w:lang w:val="en-GB"/>
        </w:rPr>
        <w:t>s setting the legal test at a lower level than in the EU, by considering any ability to collude (“</w:t>
      </w:r>
      <w:r w:rsidR="00817F16">
        <w:rPr>
          <w:rFonts w:asciiTheme="minorHAnsi" w:eastAsia="Times New Roman" w:hAnsiTheme="minorHAnsi" w:cs="Calibri"/>
          <w:sz w:val="24"/>
          <w:szCs w:val="24"/>
          <w:lang w:val="en-GB"/>
        </w:rPr>
        <w:t>…</w:t>
      </w:r>
      <w:r w:rsidRPr="00BC1ABD">
        <w:rPr>
          <w:rFonts w:asciiTheme="minorHAnsi" w:eastAsia="Times New Roman" w:hAnsiTheme="minorHAnsi" w:cs="Calibri"/>
          <w:i/>
          <w:sz w:val="24"/>
          <w:szCs w:val="24"/>
          <w:lang w:val="en-GB"/>
        </w:rPr>
        <w:t xml:space="preserve">allow them </w:t>
      </w:r>
      <w:r w:rsidRPr="00BC1ABD">
        <w:rPr>
          <w:rFonts w:asciiTheme="minorHAnsi" w:eastAsia="Times New Roman" w:hAnsiTheme="minorHAnsi" w:cs="Calibri"/>
          <w:bCs/>
          <w:i/>
          <w:sz w:val="24"/>
          <w:szCs w:val="24"/>
          <w:lang w:val="en-GB"/>
        </w:rPr>
        <w:t>to act in concert</w:t>
      </w:r>
      <w:r w:rsidRPr="00BC1ABD">
        <w:rPr>
          <w:rFonts w:asciiTheme="minorHAnsi" w:eastAsia="Times New Roman" w:hAnsiTheme="minorHAnsi" w:cs="Calibri"/>
          <w:i/>
          <w:sz w:val="24"/>
          <w:szCs w:val="24"/>
          <w:lang w:val="en-GB"/>
        </w:rPr>
        <w:t xml:space="preserve"> and obtain a joint non-competitive advantage</w:t>
      </w:r>
      <w:r w:rsidRPr="00BC1ABD">
        <w:rPr>
          <w:rFonts w:asciiTheme="minorHAnsi" w:eastAsia="Times New Roman" w:hAnsiTheme="minorHAnsi" w:cs="Calibri"/>
          <w:sz w:val="24"/>
          <w:szCs w:val="24"/>
          <w:lang w:val="en-GB"/>
        </w:rPr>
        <w:t xml:space="preserve">”) as sufficient to conclude joint dominance. Conversely, in the EU, </w:t>
      </w:r>
      <w:r w:rsidRPr="00BC1ABD">
        <w:rPr>
          <w:rFonts w:asciiTheme="minorHAnsi" w:eastAsia="Times New Roman" w:hAnsiTheme="minorHAnsi" w:cs="Calibri"/>
          <w:i/>
          <w:iCs/>
          <w:sz w:val="24"/>
          <w:szCs w:val="24"/>
          <w:lang w:val="en-GB"/>
        </w:rPr>
        <w:t>“</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 xml:space="preserve">three cumulative conditions are necessary for a finding of collective dominance (…): </w:t>
      </w:r>
    </w:p>
    <w:p w14:paraId="3589FFBB" w14:textId="77777777" w:rsidR="002E1DD2" w:rsidRPr="00BC1ABD" w:rsidRDefault="002E1DD2" w:rsidP="00EB11F7">
      <w:pPr>
        <w:numPr>
          <w:ilvl w:val="0"/>
          <w:numId w:val="57"/>
        </w:numPr>
        <w:shd w:val="clear" w:color="auto" w:fill="FFFFFF"/>
        <w:spacing w:after="160" w:line="259" w:lineRule="auto"/>
        <w:contextualSpacing/>
        <w:jc w:val="both"/>
        <w:rPr>
          <w:rFonts w:asciiTheme="minorHAnsi" w:eastAsia="Times New Roman" w:hAnsiTheme="minorHAnsi" w:cs="Calibri"/>
          <w:i/>
          <w:iCs/>
          <w:sz w:val="24"/>
          <w:szCs w:val="24"/>
          <w:lang w:val="en-GB"/>
        </w:rPr>
      </w:pPr>
      <w:r w:rsidRPr="00BC1ABD">
        <w:rPr>
          <w:rFonts w:asciiTheme="minorHAnsi" w:eastAsia="Times New Roman" w:hAnsiTheme="minorHAnsi" w:cs="Calibri"/>
          <w:i/>
          <w:iCs/>
          <w:sz w:val="24"/>
          <w:szCs w:val="24"/>
          <w:lang w:val="en-GB"/>
        </w:rPr>
        <w:t>First, each member of the dominant oligopoly must have the ability to know how the other members are behaving in order to monitor whether or not they are adopting a common policy. It is not enough for each member of the dominant oligopoly to be aware that interdependent market conduct is profitable for all of them but each member must also have a means of knowing whether the other operators are adopting the same strategy and whether they are maintaining it. There must, therefore, be sufficient market transparency (…).</w:t>
      </w:r>
    </w:p>
    <w:p w14:paraId="0A24794C" w14:textId="77777777" w:rsidR="002E1DD2" w:rsidRPr="00BC1ABD" w:rsidRDefault="002E1DD2" w:rsidP="00EB11F7">
      <w:pPr>
        <w:numPr>
          <w:ilvl w:val="0"/>
          <w:numId w:val="57"/>
        </w:numPr>
        <w:shd w:val="clear" w:color="auto" w:fill="FFFFFF"/>
        <w:spacing w:after="160" w:line="259" w:lineRule="auto"/>
        <w:contextualSpacing/>
        <w:jc w:val="both"/>
        <w:rPr>
          <w:rFonts w:asciiTheme="minorHAnsi" w:eastAsia="Times New Roman" w:hAnsiTheme="minorHAnsi" w:cs="Calibri"/>
          <w:i/>
          <w:iCs/>
          <w:sz w:val="24"/>
          <w:szCs w:val="24"/>
          <w:lang w:val="en-GB"/>
        </w:rPr>
      </w:pPr>
      <w:r w:rsidRPr="00BC1ABD">
        <w:rPr>
          <w:rFonts w:asciiTheme="minorHAnsi" w:eastAsia="Times New Roman" w:hAnsiTheme="minorHAnsi" w:cs="Calibri"/>
          <w:i/>
          <w:iCs/>
          <w:sz w:val="24"/>
          <w:szCs w:val="24"/>
          <w:lang w:val="en-GB"/>
        </w:rPr>
        <w:t>Second, the situation of tacit coordination must be sustainable over time, that is to say, there must be an incentive not to depart from the common policy in the market. (…) The notion of retaliation in respect of conduct deviating from the common policy is thus inherent in this condition. (…)</w:t>
      </w:r>
    </w:p>
    <w:p w14:paraId="344E1800" w14:textId="77777777" w:rsidR="002E1DD2" w:rsidRPr="00BC1ABD" w:rsidRDefault="002E1DD2" w:rsidP="00EB11F7">
      <w:pPr>
        <w:numPr>
          <w:ilvl w:val="0"/>
          <w:numId w:val="57"/>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iCs/>
          <w:sz w:val="24"/>
          <w:szCs w:val="24"/>
          <w:lang w:val="en-GB"/>
        </w:rPr>
        <w:t>Third, to prove the existence of a dominant position to the requisite legal standard, it must also be established that the foreseeable reaction of current and future competitors, as well as customers, would not jeopardise the results expected from the common policy</w:t>
      </w:r>
      <w:r w:rsidRPr="00BC1ABD">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vertAlign w:val="superscript"/>
          <w:lang w:val="en-GB"/>
        </w:rPr>
        <w:footnoteReference w:id="18"/>
      </w:r>
      <w:r w:rsidRPr="00BC1ABD">
        <w:rPr>
          <w:rFonts w:asciiTheme="minorHAnsi" w:eastAsia="Times New Roman" w:hAnsiTheme="minorHAnsi" w:cs="Calibri"/>
          <w:sz w:val="24"/>
          <w:szCs w:val="24"/>
          <w:lang w:val="en-GB"/>
        </w:rPr>
        <w:t xml:space="preserve"> </w:t>
      </w:r>
    </w:p>
    <w:p w14:paraId="32FB851A" w14:textId="3CD3BEF2" w:rsidR="002E1DD2" w:rsidRPr="006067AA"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To address this divergence, ComCom </w:t>
      </w:r>
      <w:r w:rsidR="006067AA">
        <w:rPr>
          <w:rFonts w:asciiTheme="minorHAnsi" w:eastAsia="Times New Roman" w:hAnsiTheme="minorHAnsi" w:cs="Calibri"/>
          <w:sz w:val="24"/>
          <w:szCs w:val="24"/>
          <w:lang w:val="en-GB"/>
        </w:rPr>
        <w:t>has</w:t>
      </w:r>
      <w:r w:rsidRPr="00BC1ABD">
        <w:rPr>
          <w:rFonts w:asciiTheme="minorHAnsi" w:eastAsia="Times New Roman" w:hAnsiTheme="minorHAnsi" w:cs="Calibri"/>
          <w:sz w:val="24"/>
          <w:szCs w:val="24"/>
          <w:lang w:val="en-GB"/>
        </w:rPr>
        <w:t xml:space="preserve"> </w:t>
      </w:r>
      <w:r w:rsidR="003B53CB" w:rsidRPr="00BC1ABD">
        <w:rPr>
          <w:rFonts w:asciiTheme="minorHAnsi" w:eastAsia="Times New Roman" w:hAnsiTheme="minorHAnsi" w:cs="Calibri"/>
          <w:sz w:val="24"/>
          <w:szCs w:val="24"/>
          <w:lang w:val="en-GB"/>
        </w:rPr>
        <w:t>integrat</w:t>
      </w:r>
      <w:r w:rsidR="006067AA">
        <w:rPr>
          <w:rFonts w:asciiTheme="minorHAnsi" w:eastAsia="Times New Roman" w:hAnsiTheme="minorHAnsi" w:cs="Calibri"/>
          <w:sz w:val="24"/>
          <w:szCs w:val="24"/>
          <w:lang w:val="en-GB"/>
        </w:rPr>
        <w:t>ed</w:t>
      </w:r>
      <w:r w:rsidRPr="00BC1ABD">
        <w:rPr>
          <w:rFonts w:asciiTheme="minorHAnsi" w:eastAsia="Times New Roman" w:hAnsiTheme="minorHAnsi" w:cs="Calibri"/>
          <w:sz w:val="24"/>
          <w:szCs w:val="24"/>
          <w:lang w:val="en-GB"/>
        </w:rPr>
        <w:t xml:space="preserve"> these three criteria in its revised methodological rules.</w:t>
      </w:r>
      <w:r w:rsidR="003B53CB" w:rsidRPr="003B53CB">
        <w:rPr>
          <w:rStyle w:val="FootnoteReference"/>
          <w:rFonts w:asciiTheme="minorHAnsi" w:eastAsia="Times New Roman" w:hAnsiTheme="minorHAnsi" w:cs="Calibri"/>
          <w:sz w:val="24"/>
          <w:szCs w:val="24"/>
          <w:lang w:val="en-GB"/>
        </w:rPr>
        <w:t xml:space="preserve"> </w:t>
      </w:r>
      <w:r w:rsidR="003B53CB">
        <w:rPr>
          <w:rStyle w:val="FootnoteReference"/>
          <w:rFonts w:asciiTheme="minorHAnsi" w:eastAsia="Times New Roman" w:hAnsiTheme="minorHAnsi" w:cs="Calibri"/>
          <w:sz w:val="24"/>
          <w:szCs w:val="24"/>
          <w:lang w:val="en-GB"/>
        </w:rPr>
        <w:footnoteReference w:id="19"/>
      </w:r>
      <w:r w:rsidR="00AC43F1">
        <w:rPr>
          <w:rFonts w:asciiTheme="minorHAnsi" w:eastAsia="Times New Roman" w:hAnsiTheme="minorHAnsi" w:cs="Calibri"/>
          <w:sz w:val="24"/>
          <w:szCs w:val="24"/>
          <w:lang w:val="en-GB"/>
        </w:rPr>
        <w:t xml:space="preserve"> In this market review, though not necessary, these criteria have nonetheless been applied to the market reviewed (see </w:t>
      </w:r>
      <w:r w:rsidR="00817F16">
        <w:rPr>
          <w:rFonts w:asciiTheme="minorHAnsi" w:eastAsia="Times New Roman" w:hAnsiTheme="minorHAnsi" w:cs="Calibri"/>
          <w:sz w:val="24"/>
          <w:szCs w:val="24"/>
          <w:lang w:val="en-GB"/>
        </w:rPr>
        <w:t>Chapter</w:t>
      </w:r>
      <w:r w:rsidR="00AC43F1">
        <w:rPr>
          <w:rFonts w:asciiTheme="minorHAnsi" w:eastAsia="Times New Roman" w:hAnsiTheme="minorHAnsi" w:cs="Calibri"/>
          <w:sz w:val="24"/>
          <w:szCs w:val="24"/>
          <w:lang w:val="en-GB"/>
        </w:rPr>
        <w:t xml:space="preserve"> 5.5).</w:t>
      </w:r>
    </w:p>
    <w:p w14:paraId="762E0CC2" w14:textId="64AB4451"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2167F6">
        <w:rPr>
          <w:rFonts w:asciiTheme="minorHAnsi" w:eastAsia="Times New Roman" w:hAnsiTheme="minorHAnsi" w:cs="Calibri"/>
          <w:sz w:val="24"/>
          <w:szCs w:val="24"/>
          <w:highlight w:val="green"/>
          <w:lang w:val="en-GB"/>
        </w:rPr>
        <w:t xml:space="preserve">The </w:t>
      </w:r>
      <w:r w:rsidR="00C5016C" w:rsidRPr="002167F6">
        <w:rPr>
          <w:rFonts w:asciiTheme="minorHAnsi" w:eastAsia="Times New Roman" w:hAnsiTheme="minorHAnsi" w:cs="Calibri"/>
          <w:sz w:val="24"/>
          <w:szCs w:val="24"/>
          <w:highlight w:val="green"/>
          <w:lang w:val="en-GB"/>
        </w:rPr>
        <w:t xml:space="preserve">Georgian </w:t>
      </w:r>
      <w:r w:rsidR="001760C7" w:rsidRPr="002167F6">
        <w:rPr>
          <w:rFonts w:asciiTheme="minorHAnsi" w:eastAsia="Times New Roman" w:hAnsiTheme="minorHAnsi" w:cs="Calibri"/>
          <w:sz w:val="24"/>
          <w:szCs w:val="24"/>
          <w:highlight w:val="green"/>
          <w:lang w:val="en-GB"/>
        </w:rPr>
        <w:t>methodological</w:t>
      </w:r>
      <w:r w:rsidR="001760C7" w:rsidRPr="002167F6">
        <w:rPr>
          <w:rFonts w:asciiTheme="minorHAnsi" w:eastAsia="Times New Roman" w:hAnsiTheme="minorHAnsi" w:cs="Calibri"/>
          <w:b/>
          <w:bCs/>
          <w:sz w:val="24"/>
          <w:szCs w:val="24"/>
          <w:highlight w:val="green"/>
          <w:lang w:val="en-GB"/>
        </w:rPr>
        <w:t xml:space="preserve"> r</w:t>
      </w:r>
      <w:r w:rsidR="001760C7">
        <w:rPr>
          <w:rFonts w:asciiTheme="minorHAnsi" w:eastAsia="Times New Roman" w:hAnsiTheme="minorHAnsi" w:cs="Calibri"/>
          <w:sz w:val="24"/>
          <w:szCs w:val="24"/>
          <w:highlight w:val="green"/>
          <w:lang w:val="en-GB"/>
        </w:rPr>
        <w:t xml:space="preserve">ules </w:t>
      </w:r>
      <w:r w:rsidR="00C5016C" w:rsidRPr="002167F6">
        <w:rPr>
          <w:rFonts w:asciiTheme="minorHAnsi" w:eastAsia="Times New Roman" w:hAnsiTheme="minorHAnsi" w:cs="Calibri"/>
          <w:sz w:val="24"/>
          <w:szCs w:val="24"/>
          <w:highlight w:val="green"/>
          <w:lang w:val="en-GB"/>
        </w:rPr>
        <w:t>did also</w:t>
      </w:r>
      <w:r w:rsidR="006067AA" w:rsidRPr="002167F6">
        <w:rPr>
          <w:rFonts w:asciiTheme="minorHAnsi" w:eastAsia="Times New Roman" w:hAnsiTheme="minorHAnsi" w:cs="Calibri"/>
          <w:sz w:val="24"/>
          <w:szCs w:val="24"/>
          <w:highlight w:val="green"/>
          <w:lang w:val="en-GB"/>
        </w:rPr>
        <w:t xml:space="preserve"> not reflect </w:t>
      </w:r>
      <w:r w:rsidRPr="002167F6">
        <w:rPr>
          <w:rFonts w:asciiTheme="minorHAnsi" w:eastAsia="Times New Roman" w:hAnsiTheme="minorHAnsi" w:cs="Calibri"/>
          <w:sz w:val="24"/>
          <w:szCs w:val="24"/>
          <w:highlight w:val="green"/>
          <w:lang w:val="en-GB"/>
        </w:rPr>
        <w:t xml:space="preserve">the prospective assessment put forward in the EU approach, where, </w:t>
      </w:r>
      <w:r w:rsidRPr="002167F6">
        <w:rPr>
          <w:rFonts w:asciiTheme="minorHAnsi" w:eastAsia="Times New Roman" w:hAnsiTheme="minorHAnsi" w:cs="Calibri"/>
          <w:i/>
          <w:iCs/>
          <w:sz w:val="24"/>
          <w:szCs w:val="24"/>
          <w:highlight w:val="green"/>
          <w:lang w:val="en-GB"/>
        </w:rPr>
        <w:t>“</w:t>
      </w:r>
      <w:r w:rsidR="00817F16" w:rsidRPr="002167F6">
        <w:rPr>
          <w:rFonts w:asciiTheme="minorHAnsi" w:eastAsia="Times New Roman" w:hAnsiTheme="minorHAnsi" w:cs="Calibri"/>
          <w:i/>
          <w:iCs/>
          <w:sz w:val="24"/>
          <w:szCs w:val="24"/>
          <w:highlight w:val="green"/>
          <w:lang w:val="en-GB"/>
        </w:rPr>
        <w:t>…</w:t>
      </w:r>
      <w:r w:rsidRPr="002167F6">
        <w:rPr>
          <w:rFonts w:asciiTheme="minorHAnsi" w:eastAsia="Times New Roman" w:hAnsiTheme="minorHAnsi" w:cs="Calibri"/>
          <w:i/>
          <w:iCs/>
          <w:sz w:val="24"/>
          <w:szCs w:val="24"/>
          <w:highlight w:val="green"/>
          <w:lang w:val="en-GB"/>
        </w:rPr>
        <w:t>for the purposes of determining whether to impose ex</w:t>
      </w:r>
      <w:r w:rsidR="00817F16" w:rsidRPr="002167F6">
        <w:rPr>
          <w:rFonts w:asciiTheme="minorHAnsi" w:eastAsia="Times New Roman" w:hAnsiTheme="minorHAnsi" w:cs="Calibri"/>
          <w:i/>
          <w:iCs/>
          <w:sz w:val="24"/>
          <w:szCs w:val="24"/>
          <w:highlight w:val="green"/>
          <w:lang w:val="en-GB"/>
        </w:rPr>
        <w:t>-</w:t>
      </w:r>
      <w:r w:rsidRPr="002167F6">
        <w:rPr>
          <w:rFonts w:asciiTheme="minorHAnsi" w:eastAsia="Times New Roman" w:hAnsiTheme="minorHAnsi" w:cs="Calibri"/>
          <w:i/>
          <w:iCs/>
          <w:sz w:val="24"/>
          <w:szCs w:val="24"/>
          <w:highlight w:val="green"/>
          <w:lang w:val="en-GB"/>
        </w:rPr>
        <w:t xml:space="preserve">ante regulatory obligations on </w:t>
      </w:r>
      <w:r w:rsidRPr="002167F6">
        <w:rPr>
          <w:rFonts w:asciiTheme="minorHAnsi" w:eastAsia="Times New Roman" w:hAnsiTheme="minorHAnsi" w:cs="Calibri"/>
          <w:sz w:val="24"/>
          <w:szCs w:val="24"/>
          <w:highlight w:val="green"/>
          <w:lang w:val="en-GB"/>
        </w:rPr>
        <w:t>[undertakings having joint SMP]</w:t>
      </w:r>
      <w:r w:rsidRPr="002167F6">
        <w:rPr>
          <w:rFonts w:asciiTheme="minorHAnsi" w:eastAsia="Times New Roman" w:hAnsiTheme="minorHAnsi" w:cs="Calibri"/>
          <w:i/>
          <w:iCs/>
          <w:sz w:val="24"/>
          <w:szCs w:val="24"/>
          <w:highlight w:val="green"/>
          <w:lang w:val="en-GB"/>
        </w:rPr>
        <w:t>, NRAs</w:t>
      </w:r>
      <w:r w:rsidR="00817F16" w:rsidRPr="002167F6">
        <w:rPr>
          <w:rStyle w:val="FootnoteReference"/>
          <w:rFonts w:asciiTheme="minorHAnsi" w:eastAsia="Times New Roman" w:hAnsiTheme="minorHAnsi" w:cs="Calibri"/>
          <w:i/>
          <w:iCs/>
          <w:sz w:val="24"/>
          <w:szCs w:val="24"/>
          <w:highlight w:val="green"/>
          <w:lang w:val="en-GB"/>
        </w:rPr>
        <w:footnoteReference w:id="20"/>
      </w:r>
      <w:r w:rsidRPr="002167F6">
        <w:rPr>
          <w:rFonts w:asciiTheme="minorHAnsi" w:eastAsia="Times New Roman" w:hAnsiTheme="minorHAnsi" w:cs="Calibri"/>
          <w:i/>
          <w:iCs/>
          <w:sz w:val="24"/>
          <w:szCs w:val="24"/>
          <w:highlight w:val="green"/>
          <w:lang w:val="en-GB"/>
        </w:rPr>
        <w:t xml:space="preserve"> must conduct an analysis of likely developments during the next review period</w:t>
      </w:r>
      <w:r w:rsidRPr="002167F6">
        <w:rPr>
          <w:rFonts w:asciiTheme="minorHAnsi" w:eastAsia="Times New Roman" w:hAnsiTheme="minorHAnsi" w:cs="Calibri"/>
          <w:sz w:val="24"/>
          <w:szCs w:val="24"/>
          <w:highlight w:val="green"/>
          <w:lang w:val="en-GB"/>
        </w:rPr>
        <w:t>”.</w:t>
      </w:r>
      <w:r w:rsidRPr="002167F6">
        <w:rPr>
          <w:rFonts w:asciiTheme="minorHAnsi" w:eastAsia="Times New Roman" w:hAnsiTheme="minorHAnsi" w:cs="Calibri"/>
          <w:sz w:val="24"/>
          <w:szCs w:val="24"/>
          <w:highlight w:val="green"/>
          <w:vertAlign w:val="superscript"/>
          <w:lang w:val="en-GB"/>
        </w:rPr>
        <w:footnoteReference w:id="21"/>
      </w:r>
      <w:r w:rsidRPr="002167F6">
        <w:rPr>
          <w:rFonts w:asciiTheme="minorHAnsi" w:eastAsia="Times New Roman" w:hAnsiTheme="minorHAnsi" w:cs="Calibri"/>
          <w:sz w:val="24"/>
          <w:szCs w:val="24"/>
          <w:highlight w:val="green"/>
          <w:lang w:val="en-GB"/>
        </w:rPr>
        <w:t xml:space="preserve"> This forward-looking dimension is </w:t>
      </w:r>
      <w:r w:rsidR="00C5016C" w:rsidRPr="002167F6">
        <w:rPr>
          <w:rFonts w:asciiTheme="minorHAnsi" w:eastAsia="Times New Roman" w:hAnsiTheme="minorHAnsi" w:cs="Calibri"/>
          <w:sz w:val="24"/>
          <w:szCs w:val="24"/>
          <w:highlight w:val="green"/>
          <w:lang w:val="en-GB"/>
        </w:rPr>
        <w:t>has</w:t>
      </w:r>
      <w:r w:rsidR="006067AA" w:rsidRPr="002167F6">
        <w:rPr>
          <w:rFonts w:asciiTheme="minorHAnsi" w:eastAsia="Times New Roman" w:hAnsiTheme="minorHAnsi" w:cs="Calibri"/>
          <w:sz w:val="24"/>
          <w:szCs w:val="24"/>
          <w:highlight w:val="green"/>
          <w:lang w:val="en-GB"/>
        </w:rPr>
        <w:t xml:space="preserve"> </w:t>
      </w:r>
      <w:r w:rsidR="00C5016C" w:rsidRPr="002167F6">
        <w:rPr>
          <w:rFonts w:asciiTheme="minorHAnsi" w:eastAsia="Times New Roman" w:hAnsiTheme="minorHAnsi" w:cs="Calibri"/>
          <w:sz w:val="24"/>
          <w:szCs w:val="24"/>
          <w:highlight w:val="green"/>
          <w:lang w:val="en-GB"/>
        </w:rPr>
        <w:t xml:space="preserve">now been </w:t>
      </w:r>
      <w:r w:rsidR="006067AA" w:rsidRPr="002167F6">
        <w:rPr>
          <w:rFonts w:asciiTheme="minorHAnsi" w:eastAsia="Times New Roman" w:hAnsiTheme="minorHAnsi" w:cs="Calibri"/>
          <w:sz w:val="24"/>
          <w:szCs w:val="24"/>
          <w:highlight w:val="green"/>
          <w:lang w:val="en-GB"/>
        </w:rPr>
        <w:t>included in Article 10</w:t>
      </w:r>
      <w:r w:rsidR="00C5016C" w:rsidRPr="002167F6">
        <w:rPr>
          <w:rFonts w:asciiTheme="minorHAnsi" w:eastAsia="Times New Roman" w:hAnsiTheme="minorHAnsi" w:cs="Calibri"/>
          <w:sz w:val="24"/>
          <w:szCs w:val="24"/>
          <w:highlight w:val="green"/>
          <w:lang w:val="en-GB"/>
        </w:rPr>
        <w:t>(3)</w:t>
      </w:r>
      <w:r w:rsidR="006067AA" w:rsidRPr="002167F6">
        <w:rPr>
          <w:rFonts w:asciiTheme="minorHAnsi" w:eastAsia="Times New Roman" w:hAnsiTheme="minorHAnsi" w:cs="Calibri"/>
          <w:sz w:val="24"/>
          <w:szCs w:val="24"/>
          <w:highlight w:val="green"/>
          <w:lang w:val="en-GB"/>
        </w:rPr>
        <w:t xml:space="preserve"> of the revised methodological</w:t>
      </w:r>
      <w:r w:rsidR="00C5016C" w:rsidRPr="002167F6">
        <w:rPr>
          <w:rFonts w:asciiTheme="minorHAnsi" w:eastAsia="Times New Roman" w:hAnsiTheme="minorHAnsi" w:cs="Calibri"/>
          <w:sz w:val="24"/>
          <w:szCs w:val="24"/>
          <w:highlight w:val="green"/>
          <w:lang w:val="en-GB"/>
        </w:rPr>
        <w:t xml:space="preserve"> rules</w:t>
      </w:r>
      <w:r w:rsidR="006067AA" w:rsidRPr="002167F6">
        <w:rPr>
          <w:rFonts w:asciiTheme="minorHAnsi" w:eastAsia="Times New Roman" w:hAnsiTheme="minorHAnsi" w:cs="Calibri"/>
          <w:sz w:val="24"/>
          <w:szCs w:val="24"/>
          <w:highlight w:val="green"/>
          <w:lang w:val="en-GB"/>
        </w:rPr>
        <w:t xml:space="preserve"> </w:t>
      </w:r>
      <w:r w:rsidR="00C5016C" w:rsidRPr="002167F6">
        <w:rPr>
          <w:rFonts w:asciiTheme="minorHAnsi" w:eastAsia="Times New Roman" w:hAnsiTheme="minorHAnsi" w:cs="Calibri"/>
          <w:sz w:val="24"/>
          <w:szCs w:val="24"/>
          <w:highlight w:val="green"/>
          <w:lang w:val="en-GB"/>
        </w:rPr>
        <w:t>which requires ComCom to “</w:t>
      </w:r>
      <w:r w:rsidR="00C5016C" w:rsidRPr="002167F6">
        <w:rPr>
          <w:rFonts w:asciiTheme="minorHAnsi" w:eastAsia="Times New Roman" w:hAnsiTheme="minorHAnsi" w:cs="Calibri"/>
          <w:i/>
          <w:iCs/>
          <w:sz w:val="24"/>
          <w:szCs w:val="24"/>
          <w:highlight w:val="green"/>
          <w:lang w:val="en-US"/>
        </w:rPr>
        <w:t xml:space="preserve">carry out the assessment </w:t>
      </w:r>
      <w:r w:rsidR="00C5016C" w:rsidRPr="002167F6">
        <w:rPr>
          <w:rFonts w:asciiTheme="minorHAnsi" w:eastAsia="Times New Roman" w:hAnsiTheme="minorHAnsi" w:cs="Calibri"/>
          <w:sz w:val="24"/>
          <w:szCs w:val="24"/>
          <w:highlight w:val="green"/>
          <w:lang w:val="en-US"/>
        </w:rPr>
        <w:t>[of whether retail markets are prone to effective competition]</w:t>
      </w:r>
      <w:r w:rsidR="00C5016C" w:rsidRPr="002167F6">
        <w:rPr>
          <w:rFonts w:asciiTheme="minorHAnsi" w:eastAsia="Times New Roman" w:hAnsiTheme="minorHAnsi" w:cs="Calibri"/>
          <w:i/>
          <w:iCs/>
          <w:sz w:val="24"/>
          <w:szCs w:val="24"/>
          <w:highlight w:val="green"/>
          <w:lang w:val="en-US"/>
        </w:rPr>
        <w:t xml:space="preserve"> based on the principle of future orientation, by assessing the likely development of the defined market segment during the relevant period</w:t>
      </w:r>
      <w:r w:rsidR="00C5016C" w:rsidRPr="002167F6">
        <w:rPr>
          <w:rFonts w:asciiTheme="minorHAnsi" w:eastAsia="Times New Roman" w:hAnsiTheme="minorHAnsi" w:cs="Calibri"/>
          <w:sz w:val="24"/>
          <w:szCs w:val="24"/>
          <w:highlight w:val="green"/>
          <w:lang w:val="en-US"/>
        </w:rPr>
        <w:t>”</w:t>
      </w:r>
      <w:r w:rsidR="00AC43F1" w:rsidRPr="002167F6">
        <w:rPr>
          <w:rFonts w:asciiTheme="minorHAnsi" w:eastAsia="Times New Roman" w:hAnsiTheme="minorHAnsi" w:cs="Calibri"/>
          <w:sz w:val="24"/>
          <w:szCs w:val="24"/>
          <w:highlight w:val="green"/>
          <w:lang w:val="en-GB"/>
        </w:rPr>
        <w:t>.</w:t>
      </w:r>
    </w:p>
    <w:p w14:paraId="5FAC7845" w14:textId="253CECF8" w:rsidR="002E1DD2" w:rsidRPr="003B53CB" w:rsidRDefault="002E1DD2" w:rsidP="003B53CB">
      <w:pPr>
        <w:pStyle w:val="Heading2"/>
        <w:numPr>
          <w:ilvl w:val="2"/>
          <w:numId w:val="88"/>
        </w:numPr>
        <w:spacing w:after="240"/>
        <w:rPr>
          <w:lang w:val="en-GB"/>
        </w:rPr>
      </w:pPr>
      <w:bookmarkStart w:id="11" w:name="_Toc169258888"/>
      <w:r w:rsidRPr="003B53CB">
        <w:rPr>
          <w:lang w:val="en-GB"/>
        </w:rPr>
        <w:t>Regulation of closely</w:t>
      </w:r>
      <w:r w:rsidR="00817F16">
        <w:rPr>
          <w:lang w:val="en-GB"/>
        </w:rPr>
        <w:t>-</w:t>
      </w:r>
      <w:r w:rsidRPr="003B53CB">
        <w:rPr>
          <w:lang w:val="en-GB"/>
        </w:rPr>
        <w:t>related segments of a service market</w:t>
      </w:r>
      <w:bookmarkEnd w:id="11"/>
    </w:p>
    <w:p w14:paraId="768ECA67" w14:textId="2D5BA316"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Another difference is the way </w:t>
      </w:r>
      <w:r w:rsidRPr="00BC1ABD">
        <w:rPr>
          <w:rFonts w:asciiTheme="minorHAnsi" w:eastAsia="Times New Roman" w:hAnsiTheme="minorHAnsi" w:cs="Calibri"/>
          <w:i/>
          <w:iCs/>
          <w:sz w:val="24"/>
          <w:szCs w:val="24"/>
          <w:lang w:val="en-GB"/>
        </w:rPr>
        <w:t>‘closely related segments of a service market’</w:t>
      </w:r>
      <w:r w:rsidRPr="00BC1ABD">
        <w:rPr>
          <w:rFonts w:asciiTheme="minorHAnsi" w:eastAsia="Times New Roman" w:hAnsiTheme="minorHAnsi" w:cs="Calibri"/>
          <w:sz w:val="24"/>
          <w:szCs w:val="24"/>
          <w:lang w:val="en-GB"/>
        </w:rPr>
        <w:t>, are dealt with. In Georgia, the term is defined in Article 2, point z</w:t>
      </w:r>
      <w:r w:rsidRPr="00BC1ABD">
        <w:rPr>
          <w:rFonts w:asciiTheme="minorHAnsi" w:eastAsia="Times New Roman" w:hAnsiTheme="minorHAnsi" w:cs="Calibri"/>
          <w:sz w:val="24"/>
          <w:szCs w:val="24"/>
          <w:vertAlign w:val="superscript"/>
          <w:lang w:val="en-GB"/>
        </w:rPr>
        <w:t>19</w:t>
      </w:r>
      <w:r w:rsidRPr="00BC1ABD">
        <w:rPr>
          <w:rFonts w:asciiTheme="minorHAnsi" w:eastAsia="Times New Roman" w:hAnsiTheme="minorHAnsi" w:cs="Calibri"/>
          <w:sz w:val="24"/>
          <w:szCs w:val="24"/>
          <w:lang w:val="en-GB"/>
        </w:rPr>
        <w:t>, in a restrictive manner</w:t>
      </w:r>
      <w:r w:rsidR="00817F16">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lang w:val="en-GB"/>
        </w:rPr>
        <w:t xml:space="preserve"> the term designates only those markets, </w:t>
      </w:r>
      <w:r w:rsidRPr="00BC1ABD">
        <w:rPr>
          <w:rFonts w:asciiTheme="minorHAnsi" w:eastAsia="Times New Roman" w:hAnsiTheme="minorHAnsi" w:cs="Calibri"/>
          <w:i/>
          <w:iCs/>
          <w:sz w:val="24"/>
          <w:szCs w:val="24"/>
          <w:lang w:val="en-GB"/>
        </w:rPr>
        <w:t>“</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where, due to contractual relationships among one or more authorised persons or due to a structural link among their networks, authorised persons may use, separately or in concert, their significant market power in one market segment in order to obtain or strengthen their significant market power in another segment”</w:t>
      </w:r>
      <w:r w:rsidRPr="00BC1ABD">
        <w:rPr>
          <w:rFonts w:asciiTheme="minorHAnsi" w:eastAsia="Times New Roman" w:hAnsiTheme="minorHAnsi" w:cs="Calibri"/>
          <w:sz w:val="24"/>
          <w:szCs w:val="24"/>
          <w:lang w:val="en-GB"/>
        </w:rPr>
        <w:t>. Markets are only considered closely related, where a dominant undertaking on one of these markets is susceptible to leverage its dominant position to the other distinct market. In the EU, the term is not defined and the usual understanding of the term applies.</w:t>
      </w:r>
    </w:p>
    <w:p w14:paraId="5EF7BB5D" w14:textId="2F8C574A"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Article 14(3) of the EU Framework Directive says that the presumption of dominance on </w:t>
      </w:r>
      <w:r w:rsidRPr="00BC1ABD">
        <w:rPr>
          <w:rFonts w:asciiTheme="minorHAnsi" w:eastAsia="Times New Roman" w:hAnsiTheme="minorHAnsi" w:cs="Calibri"/>
          <w:i/>
          <w:iCs/>
          <w:sz w:val="24"/>
          <w:szCs w:val="24"/>
          <w:lang w:val="en-GB"/>
        </w:rPr>
        <w:t>‘closely</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related markets’</w:t>
      </w:r>
      <w:r w:rsidRPr="00BC1ABD">
        <w:rPr>
          <w:rFonts w:asciiTheme="minorHAnsi" w:eastAsia="Times New Roman" w:hAnsiTheme="minorHAnsi" w:cs="Calibri"/>
          <w:sz w:val="24"/>
          <w:szCs w:val="24"/>
          <w:lang w:val="en-GB"/>
        </w:rPr>
        <w:t xml:space="preserve"> may only apply </w:t>
      </w:r>
      <w:r w:rsidRPr="00BC1ABD">
        <w:rPr>
          <w:rFonts w:asciiTheme="minorHAnsi" w:eastAsia="Times New Roman" w:hAnsiTheme="minorHAnsi" w:cs="Calibri"/>
          <w:i/>
          <w:iCs/>
          <w:sz w:val="24"/>
          <w:szCs w:val="24"/>
          <w:lang w:val="en-GB"/>
        </w:rPr>
        <w:t>“</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where the links between the two markets are such as to allow the market power held in one market to be leveraged into the other market, thereby strengthening the market power of the undertaking”.</w:t>
      </w:r>
      <w:r w:rsidRPr="00BC1ABD">
        <w:rPr>
          <w:rFonts w:asciiTheme="minorHAnsi" w:eastAsia="Times New Roman" w:hAnsiTheme="minorHAnsi" w:cs="Calibri"/>
          <w:sz w:val="24"/>
          <w:szCs w:val="24"/>
          <w:lang w:val="en-GB"/>
        </w:rPr>
        <w:t xml:space="preserve"> The 2002 SMP Guidelines explain that Article 14 (3)</w:t>
      </w:r>
      <w:r w:rsidR="00817F16">
        <w:rPr>
          <w:rFonts w:asciiTheme="minorHAnsi" w:eastAsia="Times New Roman" w:hAnsiTheme="minorHAnsi" w:cs="Calibri"/>
          <w:sz w:val="24"/>
          <w:szCs w:val="24"/>
          <w:lang w:val="en-GB"/>
        </w:rPr>
        <w:t xml:space="preserve"> of the</w:t>
      </w:r>
      <w:r w:rsidRPr="00BC1ABD">
        <w:rPr>
          <w:rFonts w:asciiTheme="minorHAnsi" w:eastAsia="Times New Roman" w:hAnsiTheme="minorHAnsi" w:cs="Calibri"/>
          <w:sz w:val="24"/>
          <w:szCs w:val="24"/>
          <w:lang w:val="en-GB"/>
        </w:rPr>
        <w:t xml:space="preserve"> Framework Directive 2002/21/EC was intended to address a market situation comparable to the one that gave rise to the Tetra Pak II judgment from the Court of Justice.</w:t>
      </w:r>
      <w:r w:rsidRPr="00BC1ABD">
        <w:rPr>
          <w:rFonts w:asciiTheme="minorHAnsi" w:eastAsia="Times New Roman" w:hAnsiTheme="minorHAnsi" w:cs="Calibri"/>
          <w:sz w:val="24"/>
          <w:szCs w:val="24"/>
          <w:vertAlign w:val="superscript"/>
          <w:lang w:val="en-GB"/>
        </w:rPr>
        <w:footnoteReference w:id="22"/>
      </w:r>
      <w:r w:rsidRPr="00BC1ABD">
        <w:rPr>
          <w:rFonts w:asciiTheme="minorHAnsi" w:eastAsia="Times New Roman" w:hAnsiTheme="minorHAnsi" w:cs="Calibri"/>
          <w:sz w:val="24"/>
          <w:szCs w:val="24"/>
          <w:lang w:val="en-GB"/>
        </w:rPr>
        <w:t xml:space="preserve"> The SMP guidelines add that close associative links between different markets are most likely to be found in vertically integrated markets.</w:t>
      </w:r>
      <w:r w:rsidRPr="00BC1ABD">
        <w:rPr>
          <w:rFonts w:asciiTheme="minorHAnsi" w:eastAsia="Times New Roman" w:hAnsiTheme="minorHAnsi" w:cs="Calibri"/>
          <w:sz w:val="24"/>
          <w:szCs w:val="24"/>
          <w:vertAlign w:val="superscript"/>
          <w:lang w:val="en-GB"/>
        </w:rPr>
        <w:footnoteReference w:id="23"/>
      </w:r>
      <w:r w:rsidRPr="00BC1ABD">
        <w:rPr>
          <w:rFonts w:asciiTheme="minorHAnsi" w:eastAsia="Times New Roman" w:hAnsiTheme="minorHAnsi" w:cs="Calibri"/>
          <w:sz w:val="24"/>
          <w:szCs w:val="24"/>
          <w:lang w:val="en-GB"/>
        </w:rPr>
        <w:t xml:space="preserve"> According to the SMP guidelines this is regularly the case in the telecommunications sector, where an operator often has a dominant position on the infrastructure market and a significant presence on the downstream services market.</w:t>
      </w:r>
      <w:r w:rsidRPr="00BC1ABD">
        <w:rPr>
          <w:rFonts w:asciiTheme="minorHAnsi" w:eastAsia="Times New Roman" w:hAnsiTheme="minorHAnsi" w:cs="Calibri"/>
          <w:sz w:val="24"/>
          <w:szCs w:val="24"/>
          <w:vertAlign w:val="superscript"/>
          <w:lang w:val="en-GB"/>
        </w:rPr>
        <w:footnoteReference w:id="24"/>
      </w:r>
      <w:r w:rsidRPr="00BC1ABD">
        <w:rPr>
          <w:rFonts w:asciiTheme="minorHAnsi" w:eastAsia="Times New Roman" w:hAnsiTheme="minorHAnsi" w:cs="Calibri"/>
          <w:sz w:val="24"/>
          <w:szCs w:val="24"/>
          <w:lang w:val="en-GB"/>
        </w:rPr>
        <w:t xml:space="preserve"> </w:t>
      </w:r>
    </w:p>
    <w:p w14:paraId="60DBD8FE" w14:textId="35FD729F" w:rsidR="002E1DD2" w:rsidRPr="00BC1ABD" w:rsidRDefault="002E1DD2" w:rsidP="002E1DD2">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The practical consequence of the different approach is that the wording of Article 22(1) a) of the law suggests that the ComCom would in all case have to, from the market definition stage, identify and review </w:t>
      </w:r>
      <w:r w:rsidRPr="00BC1ABD">
        <w:rPr>
          <w:rFonts w:asciiTheme="minorHAnsi" w:eastAsia="Times New Roman" w:hAnsiTheme="minorHAnsi" w:cs="Calibri"/>
          <w:i/>
          <w:iCs/>
          <w:sz w:val="24"/>
          <w:szCs w:val="24"/>
          <w:lang w:val="en-GB"/>
        </w:rPr>
        <w:t>‘closely</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related’</w:t>
      </w:r>
      <w:r w:rsidRPr="00BC1ABD">
        <w:rPr>
          <w:rFonts w:asciiTheme="minorHAnsi" w:eastAsia="Times New Roman" w:hAnsiTheme="minorHAnsi" w:cs="Calibri"/>
          <w:sz w:val="24"/>
          <w:szCs w:val="24"/>
          <w:lang w:val="en-GB"/>
        </w:rPr>
        <w:t xml:space="preserve"> markets, while in the EU the question will only arise at the stage of the SMP designation. In other words, the Georgian approach requires that even when markets are found competitive at the market definition stage, an additional test is required to ascertain that an operator which is dominant in a closely related market is not capable of leveraging its dominant position into that closely related market.</w:t>
      </w:r>
    </w:p>
    <w:p w14:paraId="3EA5E795" w14:textId="2986FC5F" w:rsidR="00C435F6" w:rsidRDefault="002E1DD2" w:rsidP="002E1DD2">
      <w:pPr>
        <w:shd w:val="clear" w:color="auto" w:fill="FFFFFF"/>
        <w:spacing w:after="160" w:line="256" w:lineRule="auto"/>
        <w:jc w:val="both"/>
        <w:rPr>
          <w:rFonts w:asciiTheme="minorHAnsi" w:hAnsiTheme="minorHAnsi" w:cstheme="minorHAnsi"/>
          <w:sz w:val="24"/>
          <w:szCs w:val="24"/>
          <w:lang w:val="en-GB"/>
        </w:rPr>
      </w:pPr>
      <w:r w:rsidRPr="00BC1ABD">
        <w:rPr>
          <w:rFonts w:asciiTheme="minorHAnsi" w:eastAsia="Times New Roman" w:hAnsiTheme="minorHAnsi" w:cs="Calibri"/>
          <w:sz w:val="24"/>
          <w:szCs w:val="24"/>
          <w:lang w:val="en-GB"/>
        </w:rPr>
        <w:t xml:space="preserve">The EU Article 14(3) of the Framework Directive was never applied by NRAs. Where there was a risk of leveraging, the competitive problem was addressed in the market review by imposing remedies (for example obligations for economic and technical replicability of services on the downstream market) on the upstream market on which the regulated undertaking was found to have SMP. In addition, remedies were imposed in </w:t>
      </w:r>
      <w:r w:rsidRPr="00BC1ABD">
        <w:rPr>
          <w:rFonts w:asciiTheme="minorHAnsi" w:eastAsia="Times New Roman" w:hAnsiTheme="minorHAnsi" w:cs="Calibri"/>
          <w:i/>
          <w:iCs/>
          <w:sz w:val="24"/>
          <w:szCs w:val="24"/>
          <w:lang w:val="en-GB"/>
        </w:rPr>
        <w:t>‘closely</w:t>
      </w:r>
      <w:r w:rsidR="00817F16">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related markets’</w:t>
      </w:r>
      <w:r w:rsidRPr="00BC1ABD">
        <w:rPr>
          <w:rFonts w:asciiTheme="minorHAnsi" w:eastAsia="Times New Roman" w:hAnsiTheme="minorHAnsi" w:cs="Calibri"/>
          <w:sz w:val="24"/>
          <w:szCs w:val="24"/>
          <w:lang w:val="en-GB"/>
        </w:rPr>
        <w:t xml:space="preserve"> without requiring an SMP finding, in the form of </w:t>
      </w:r>
      <w:r w:rsidRPr="00BC1ABD">
        <w:rPr>
          <w:rFonts w:asciiTheme="minorHAnsi" w:eastAsia="Times New Roman" w:hAnsiTheme="minorHAnsi" w:cs="Calibri"/>
          <w:i/>
          <w:iCs/>
          <w:sz w:val="24"/>
          <w:szCs w:val="24"/>
          <w:lang w:val="en-GB"/>
        </w:rPr>
        <w:t>‘ancillary’</w:t>
      </w:r>
      <w:r w:rsidRPr="00BC1ABD">
        <w:rPr>
          <w:rFonts w:asciiTheme="minorHAnsi" w:eastAsia="Times New Roman" w:hAnsiTheme="minorHAnsi" w:cs="Calibri"/>
          <w:sz w:val="24"/>
          <w:szCs w:val="24"/>
          <w:lang w:val="en-GB"/>
        </w:rPr>
        <w:t xml:space="preserve"> remedies. For example, access to ducts was imposed as an ancillary remedy in the broadband local access market to complement unbundling obligations and foster the deployment of own network elements by the access seeker. In view of that practice, Article 14(3) of the Framework Directive was carried over into the EU’s European Electronics Communications Co</w:t>
      </w:r>
      <w:r w:rsidR="00CF0931">
        <w:rPr>
          <w:rFonts w:asciiTheme="minorHAnsi" w:eastAsia="Times New Roman" w:hAnsiTheme="minorHAnsi" w:cs="Calibri"/>
          <w:sz w:val="24"/>
          <w:szCs w:val="24"/>
          <w:lang w:val="en-GB"/>
        </w:rPr>
        <w:t>de (EECC)</w:t>
      </w:r>
      <w:r w:rsidRPr="00BC1ABD">
        <w:rPr>
          <w:rFonts w:asciiTheme="minorHAnsi" w:eastAsia="Times New Roman" w:hAnsiTheme="minorHAnsi" w:cs="Calibri"/>
          <w:sz w:val="24"/>
          <w:szCs w:val="24"/>
          <w:vertAlign w:val="superscript"/>
          <w:lang w:val="en-GB"/>
        </w:rPr>
        <w:footnoteReference w:id="25"/>
      </w:r>
      <w:r w:rsidRPr="00BC1ABD">
        <w:rPr>
          <w:rFonts w:asciiTheme="minorHAnsi" w:eastAsia="Times New Roman" w:hAnsiTheme="minorHAnsi" w:cs="Calibri"/>
          <w:sz w:val="24"/>
          <w:szCs w:val="24"/>
          <w:lang w:val="en-GB"/>
        </w:rPr>
        <w:t xml:space="preserve">, with an additional sentence, providing that </w:t>
      </w:r>
      <w:r w:rsidRPr="00BC1ABD">
        <w:rPr>
          <w:rFonts w:asciiTheme="minorHAnsi" w:eastAsia="Times New Roman" w:hAnsiTheme="minorHAnsi" w:cs="Calibri"/>
          <w:i/>
          <w:iCs/>
          <w:sz w:val="24"/>
          <w:szCs w:val="24"/>
          <w:lang w:val="en-GB"/>
        </w:rPr>
        <w:t>“Consequently, remedies aiming to prevent such leverage may be applied in the closely related market (…)”</w:t>
      </w:r>
      <w:r w:rsidR="00CC3811">
        <w:rPr>
          <w:rFonts w:asciiTheme="minorHAnsi" w:eastAsia="Times New Roman" w:hAnsiTheme="minorHAnsi" w:cs="Calibri"/>
          <w:i/>
          <w:iCs/>
          <w:sz w:val="24"/>
          <w:szCs w:val="24"/>
          <w:lang w:val="en-GB"/>
        </w:rPr>
        <w:t xml:space="preserve"> </w:t>
      </w:r>
      <w:r w:rsidRPr="00BC1ABD">
        <w:rPr>
          <w:rFonts w:asciiTheme="minorHAnsi" w:eastAsia="Times New Roman" w:hAnsiTheme="minorHAnsi" w:cs="Calibri"/>
          <w:i/>
          <w:iCs/>
          <w:sz w:val="24"/>
          <w:szCs w:val="24"/>
          <w:lang w:val="en-GB"/>
        </w:rPr>
        <w:t>(</w:t>
      </w:r>
      <w:r w:rsidRPr="00BC1ABD">
        <w:rPr>
          <w:rFonts w:asciiTheme="minorHAnsi" w:eastAsia="Times New Roman" w:hAnsiTheme="minorHAnsi" w:cs="Calibri"/>
          <w:sz w:val="24"/>
          <w:szCs w:val="24"/>
          <w:lang w:val="en-GB"/>
        </w:rPr>
        <w:t>Article 63(3) EECC)</w:t>
      </w:r>
      <w:r w:rsidR="00C435F6" w:rsidRPr="00BC1ABD">
        <w:rPr>
          <w:rFonts w:asciiTheme="minorHAnsi" w:hAnsiTheme="minorHAnsi" w:cstheme="minorHAnsi"/>
          <w:sz w:val="24"/>
          <w:szCs w:val="24"/>
          <w:lang w:val="en-GB"/>
        </w:rPr>
        <w:t>.</w:t>
      </w:r>
    </w:p>
    <w:p w14:paraId="5EE1CE89" w14:textId="25CFA5BD" w:rsidR="00AC43F1" w:rsidRPr="00BC1ABD" w:rsidRDefault="00AC43F1" w:rsidP="002E1DD2">
      <w:pPr>
        <w:shd w:val="clear" w:color="auto" w:fill="FFFFFF"/>
        <w:spacing w:after="160" w:line="256" w:lineRule="auto"/>
        <w:jc w:val="both"/>
        <w:rPr>
          <w:rFonts w:asciiTheme="minorHAnsi" w:hAnsiTheme="minorHAnsi" w:cstheme="minorHAnsi"/>
          <w:sz w:val="24"/>
          <w:szCs w:val="24"/>
          <w:lang w:val="en-GB"/>
        </w:rPr>
      </w:pPr>
      <w:r>
        <w:rPr>
          <w:rFonts w:asciiTheme="minorHAnsi" w:hAnsiTheme="minorHAnsi" w:cstheme="minorHAnsi"/>
          <w:sz w:val="24"/>
          <w:szCs w:val="24"/>
          <w:lang w:val="en-GB"/>
        </w:rPr>
        <w:t>This aspect is not relevant in the context of this market review.</w:t>
      </w:r>
    </w:p>
    <w:p w14:paraId="7DB220D5" w14:textId="114553DA" w:rsidR="00C435F6" w:rsidRPr="00BC1ABD" w:rsidRDefault="00C435F6" w:rsidP="00EB11F7">
      <w:pPr>
        <w:pStyle w:val="Heading2"/>
        <w:numPr>
          <w:ilvl w:val="1"/>
          <w:numId w:val="88"/>
        </w:numPr>
        <w:spacing w:after="240"/>
        <w:rPr>
          <w:rFonts w:asciiTheme="minorHAnsi" w:hAnsiTheme="minorHAnsi" w:cstheme="minorHAnsi"/>
          <w:sz w:val="24"/>
          <w:szCs w:val="24"/>
          <w:lang w:val="en-GB"/>
        </w:rPr>
      </w:pPr>
      <w:bookmarkStart w:id="12" w:name="_Toc146107768"/>
      <w:bookmarkStart w:id="13" w:name="_Toc169258889"/>
      <w:r w:rsidRPr="00BC1ABD">
        <w:rPr>
          <w:lang w:val="en-GB"/>
        </w:rPr>
        <w:t>The successive steps of the market review process</w:t>
      </w:r>
      <w:bookmarkEnd w:id="12"/>
      <w:r w:rsidR="004C3063">
        <w:rPr>
          <w:lang w:val="en-GB"/>
        </w:rPr>
        <w:t xml:space="preserve"> in Georgia</w:t>
      </w:r>
      <w:bookmarkEnd w:id="13"/>
    </w:p>
    <w:p w14:paraId="35A28630" w14:textId="7357251C" w:rsidR="00C435F6" w:rsidRPr="00BC1ABD" w:rsidRDefault="00C435F6" w:rsidP="00EB11F7">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4" w:name="_Toc146107769"/>
      <w:bookmarkStart w:id="15" w:name="_Toc169258890"/>
      <w:r w:rsidRPr="00BC1ABD">
        <w:rPr>
          <w:rFonts w:asciiTheme="minorHAnsi" w:hAnsiTheme="minorHAnsi" w:cstheme="minorHAnsi"/>
          <w:b w:val="0"/>
          <w:bCs w:val="0"/>
          <w:sz w:val="24"/>
          <w:szCs w:val="24"/>
          <w:lang w:val="en-GB"/>
        </w:rPr>
        <w:t>Applicable legal provisions</w:t>
      </w:r>
      <w:bookmarkEnd w:id="14"/>
      <w:bookmarkEnd w:id="15"/>
    </w:p>
    <w:p w14:paraId="24E3B01D" w14:textId="77777777" w:rsidR="00341566" w:rsidRPr="00BC1ABD" w:rsidRDefault="00341566" w:rsidP="00341566">
      <w:pPr>
        <w:shd w:val="clear" w:color="auto" w:fill="FFFFFF"/>
        <w:spacing w:after="160" w:line="259" w:lineRule="auto"/>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sz w:val="24"/>
          <w:szCs w:val="24"/>
          <w:lang w:val="en-GB"/>
        </w:rPr>
        <w:t xml:space="preserve">Article 21 (2) and (3) of the Law provides that markets shall be defined according to criteria determining the service types and geographic boundaries of electronic communication services, on the basis of the methodology and procedures for determining market competitiveness. </w:t>
      </w:r>
      <w:r w:rsidRPr="00BC1ABD">
        <w:rPr>
          <w:rFonts w:asciiTheme="minorHAnsi" w:eastAsia="Times New Roman" w:hAnsiTheme="minorHAnsi" w:cs="Calibri"/>
          <w:bCs/>
          <w:iCs/>
          <w:sz w:val="24"/>
          <w:szCs w:val="24"/>
          <w:lang w:val="en-GB"/>
        </w:rPr>
        <w:t xml:space="preserve">The methodological rules to be used are detailed in ComCom’s Resolution No. 5 </w:t>
      </w:r>
      <w:r w:rsidRPr="00BC1ABD">
        <w:rPr>
          <w:rFonts w:asciiTheme="minorHAnsi" w:eastAsia="Times New Roman" w:hAnsiTheme="minorHAnsi" w:cs="Calibri"/>
          <w:bCs/>
          <w:i/>
          <w:sz w:val="24"/>
          <w:szCs w:val="24"/>
          <w:lang w:val="en-GB"/>
        </w:rPr>
        <w:t>‘on approval of the methodological rules for determination of relevant market segments and analysis of competitiveness’,</w:t>
      </w:r>
      <w:r w:rsidRPr="00BC1ABD">
        <w:rPr>
          <w:rFonts w:asciiTheme="minorHAnsi" w:eastAsia="Times New Roman" w:hAnsiTheme="minorHAnsi" w:cs="Calibri"/>
          <w:bCs/>
          <w:iCs/>
          <w:sz w:val="24"/>
          <w:szCs w:val="24"/>
          <w:lang w:val="en-GB"/>
        </w:rPr>
        <w:t xml:space="preserve"> already mentioned</w:t>
      </w:r>
      <w:r w:rsidRPr="00BC1ABD">
        <w:rPr>
          <w:rFonts w:asciiTheme="minorHAnsi" w:eastAsia="Times New Roman" w:hAnsiTheme="minorHAnsi" w:cs="Calibri"/>
          <w:sz w:val="24"/>
          <w:szCs w:val="24"/>
          <w:lang w:val="en-GB"/>
        </w:rPr>
        <w:t>.</w:t>
      </w:r>
    </w:p>
    <w:p w14:paraId="4DE802AE" w14:textId="294DE015" w:rsidR="00341566" w:rsidRPr="00BC1ABD" w:rsidRDefault="00341566" w:rsidP="00341566">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Article 22 (1) of the law lists the steps for </w:t>
      </w:r>
      <w:r w:rsidRPr="00BC1ABD">
        <w:rPr>
          <w:rFonts w:asciiTheme="minorHAnsi" w:eastAsia="Times New Roman" w:hAnsiTheme="minorHAnsi" w:cs="Calibri"/>
          <w:i/>
          <w:iCs/>
          <w:sz w:val="24"/>
          <w:szCs w:val="24"/>
          <w:lang w:val="en-GB"/>
        </w:rPr>
        <w:t>ex</w:t>
      </w:r>
      <w:r w:rsidR="00BF3ABA">
        <w:rPr>
          <w:rFonts w:asciiTheme="minorHAnsi" w:eastAsia="Times New Roman" w:hAnsiTheme="minorHAnsi" w:cs="Calibri"/>
          <w:i/>
          <w:iCs/>
          <w:sz w:val="24"/>
          <w:szCs w:val="24"/>
          <w:lang w:val="en-GB"/>
        </w:rPr>
        <w:t>-</w:t>
      </w:r>
      <w:r w:rsidRPr="00BC1ABD">
        <w:rPr>
          <w:rFonts w:asciiTheme="minorHAnsi" w:eastAsia="Times New Roman" w:hAnsiTheme="minorHAnsi" w:cs="Calibri"/>
          <w:i/>
          <w:iCs/>
          <w:sz w:val="24"/>
          <w:szCs w:val="24"/>
          <w:lang w:val="en-GB"/>
        </w:rPr>
        <w:t>ante</w:t>
      </w:r>
      <w:r w:rsidRPr="00BC1ABD">
        <w:rPr>
          <w:rFonts w:asciiTheme="minorHAnsi" w:eastAsia="Times New Roman" w:hAnsiTheme="minorHAnsi" w:cs="Calibri"/>
          <w:sz w:val="24"/>
          <w:szCs w:val="24"/>
          <w:lang w:val="en-GB"/>
        </w:rPr>
        <w:t xml:space="preserve"> market reviews, of which the first two </w:t>
      </w:r>
      <w:r w:rsidR="00A44F66" w:rsidRPr="00BC1ABD">
        <w:rPr>
          <w:rFonts w:asciiTheme="minorHAnsi" w:eastAsia="Times New Roman" w:hAnsiTheme="minorHAnsi" w:cs="Calibri"/>
          <w:sz w:val="24"/>
          <w:szCs w:val="24"/>
          <w:lang w:val="en-GB"/>
        </w:rPr>
        <w:t>are:</w:t>
      </w:r>
    </w:p>
    <w:p w14:paraId="58BBA540" w14:textId="524EAE2F" w:rsidR="00341566" w:rsidRPr="00BC1ABD" w:rsidRDefault="00341566" w:rsidP="00EB11F7">
      <w:pPr>
        <w:numPr>
          <w:ilvl w:val="0"/>
          <w:numId w:val="90"/>
        </w:numPr>
        <w:shd w:val="clear" w:color="auto" w:fill="FFFFFF"/>
        <w:spacing w:after="160" w:line="259" w:lineRule="auto"/>
        <w:contextualSpacing/>
        <w:jc w:val="both"/>
        <w:rPr>
          <w:rFonts w:asciiTheme="minorHAnsi" w:eastAsia="Times New Roman" w:hAnsiTheme="minorHAnsi" w:cs="Calibri"/>
          <w:i/>
          <w:sz w:val="24"/>
          <w:szCs w:val="24"/>
          <w:lang w:val="en-GB"/>
        </w:rPr>
      </w:pPr>
      <w:r w:rsidRPr="00BC1ABD">
        <w:rPr>
          <w:rFonts w:asciiTheme="minorHAnsi" w:eastAsia="Times New Roman" w:hAnsiTheme="minorHAnsi" w:cs="Calibri"/>
          <w:i/>
          <w:sz w:val="24"/>
          <w:szCs w:val="24"/>
          <w:lang w:val="en-GB"/>
        </w:rPr>
        <w:t>“Determining the relevant and closely</w:t>
      </w:r>
      <w:r w:rsidR="00BF3ABA">
        <w:rPr>
          <w:rFonts w:asciiTheme="minorHAnsi" w:eastAsia="Times New Roman" w:hAnsiTheme="minorHAnsi" w:cs="Calibri"/>
          <w:i/>
          <w:sz w:val="24"/>
          <w:szCs w:val="24"/>
          <w:lang w:val="en-GB"/>
        </w:rPr>
        <w:t>-</w:t>
      </w:r>
      <w:r w:rsidRPr="00BC1ABD">
        <w:rPr>
          <w:rFonts w:asciiTheme="minorHAnsi" w:eastAsia="Times New Roman" w:hAnsiTheme="minorHAnsi" w:cs="Calibri"/>
          <w:i/>
          <w:sz w:val="24"/>
          <w:szCs w:val="24"/>
          <w:lang w:val="en-GB"/>
        </w:rPr>
        <w:t>related markets, and appropriate geographic boundaries of the market</w:t>
      </w:r>
      <w:r w:rsidR="00BF3ABA">
        <w:rPr>
          <w:rFonts w:asciiTheme="minorHAnsi" w:eastAsia="Times New Roman" w:hAnsiTheme="minorHAnsi" w:cs="Calibri"/>
          <w:i/>
          <w:sz w:val="24"/>
          <w:szCs w:val="24"/>
          <w:lang w:val="en-GB"/>
        </w:rPr>
        <w:t>”</w:t>
      </w:r>
      <w:r w:rsidRPr="00BC1ABD">
        <w:rPr>
          <w:rFonts w:asciiTheme="minorHAnsi" w:eastAsia="Times New Roman" w:hAnsiTheme="minorHAnsi" w:cs="Calibri"/>
          <w:i/>
          <w:sz w:val="24"/>
          <w:szCs w:val="24"/>
          <w:lang w:val="en-GB"/>
        </w:rPr>
        <w:t xml:space="preserve">; </w:t>
      </w:r>
    </w:p>
    <w:p w14:paraId="31BF7280" w14:textId="77777777" w:rsidR="00341566" w:rsidRPr="00BC1ABD" w:rsidRDefault="00341566" w:rsidP="00EB11F7">
      <w:pPr>
        <w:numPr>
          <w:ilvl w:val="0"/>
          <w:numId w:val="90"/>
        </w:numPr>
        <w:shd w:val="clear" w:color="auto" w:fill="FFFFFF"/>
        <w:spacing w:after="160" w:line="259" w:lineRule="auto"/>
        <w:contextualSpacing/>
        <w:jc w:val="both"/>
        <w:rPr>
          <w:rFonts w:asciiTheme="minorHAnsi" w:eastAsia="Times New Roman" w:hAnsiTheme="minorHAnsi" w:cs="Calibri"/>
          <w:sz w:val="24"/>
          <w:szCs w:val="24"/>
          <w:lang w:val="en-GB"/>
        </w:rPr>
      </w:pPr>
      <w:r w:rsidRPr="00BC1ABD">
        <w:rPr>
          <w:rFonts w:asciiTheme="minorHAnsi" w:eastAsia="Times New Roman" w:hAnsiTheme="minorHAnsi" w:cs="Calibri"/>
          <w:i/>
          <w:sz w:val="24"/>
          <w:szCs w:val="24"/>
          <w:lang w:val="en-GB"/>
        </w:rPr>
        <w:t>“Conducting an analysis of the competitiveness of the relevant markets.”</w:t>
      </w:r>
    </w:p>
    <w:p w14:paraId="189861B5" w14:textId="77777777" w:rsidR="00341566" w:rsidRPr="00BC1ABD" w:rsidRDefault="00341566" w:rsidP="00341566">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Effective competition can only be assessed by reference to the relevant market defined in product/ service and geographical terms. In this regard, Article 22 (7) of the law clarifies that “</w:t>
      </w:r>
      <w:r w:rsidRPr="00BC1ABD">
        <w:rPr>
          <w:rFonts w:asciiTheme="minorHAnsi" w:eastAsia="Times New Roman" w:hAnsiTheme="minorHAnsi" w:cs="Calibri"/>
          <w:i/>
          <w:sz w:val="24"/>
          <w:szCs w:val="24"/>
          <w:lang w:val="en-GB"/>
        </w:rPr>
        <w:t>Competition in the relevant market shall be deemed effective if no authorised persons with significant market power carries out its activities in that market. Competition in the relevant segment of the market shall not be deemed to be effective if one or several authorised persons operating in that market have joint significant market power</w:t>
      </w:r>
      <w:r w:rsidRPr="00BC1ABD">
        <w:rPr>
          <w:rFonts w:asciiTheme="minorHAnsi" w:eastAsia="Times New Roman" w:hAnsiTheme="minorHAnsi" w:cs="Calibri"/>
          <w:sz w:val="24"/>
          <w:szCs w:val="24"/>
          <w:lang w:val="en-GB"/>
        </w:rPr>
        <w:t>”.</w:t>
      </w:r>
    </w:p>
    <w:p w14:paraId="28E921FD" w14:textId="77777777" w:rsidR="00341566" w:rsidRPr="00BC1ABD" w:rsidRDefault="00341566" w:rsidP="00341566">
      <w:pPr>
        <w:shd w:val="clear" w:color="auto" w:fill="FFFFFF"/>
        <w:spacing w:after="160" w:line="259" w:lineRule="auto"/>
        <w:jc w:val="both"/>
        <w:rPr>
          <w:rFonts w:asciiTheme="minorHAnsi" w:eastAsia="Times New Roman" w:hAnsiTheme="minorHAnsi" w:cs="Calibri"/>
          <w:sz w:val="24"/>
          <w:szCs w:val="24"/>
          <w:lang w:val="en-GB"/>
        </w:rPr>
      </w:pPr>
      <w:r w:rsidRPr="00BC1ABD">
        <w:rPr>
          <w:rFonts w:asciiTheme="minorHAnsi" w:eastAsia="Times New Roman" w:hAnsiTheme="minorHAnsi" w:cs="Calibri"/>
          <w:sz w:val="24"/>
          <w:szCs w:val="24"/>
          <w:lang w:val="en-GB"/>
        </w:rPr>
        <w:t xml:space="preserve">Article 22 (4) of the law requires to take the following elements into account during this exercise: </w:t>
      </w:r>
    </w:p>
    <w:p w14:paraId="12C9BA75" w14:textId="2B9A4A57" w:rsidR="00341566" w:rsidRPr="00BC1ABD" w:rsidRDefault="00341566" w:rsidP="00B016C8">
      <w:pPr>
        <w:numPr>
          <w:ilvl w:val="0"/>
          <w:numId w:val="91"/>
        </w:numPr>
        <w:shd w:val="clear" w:color="auto" w:fill="FFFFFF"/>
        <w:spacing w:after="160" w:line="259" w:lineRule="auto"/>
        <w:ind w:left="714" w:hanging="357"/>
        <w:contextualSpacing/>
        <w:jc w:val="both"/>
        <w:rPr>
          <w:rFonts w:asciiTheme="minorHAnsi" w:eastAsia="Times New Roman" w:hAnsiTheme="minorHAnsi" w:cs="Calibri"/>
          <w:i/>
          <w:sz w:val="24"/>
          <w:szCs w:val="24"/>
          <w:lang w:val="en-GB"/>
        </w:rPr>
      </w:pPr>
      <w:r w:rsidRPr="00BC1ABD">
        <w:rPr>
          <w:rFonts w:asciiTheme="minorHAnsi" w:eastAsia="Times New Roman" w:hAnsiTheme="minorHAnsi" w:cs="Calibri"/>
          <w:i/>
          <w:sz w:val="24"/>
          <w:szCs w:val="24"/>
          <w:lang w:val="en-GB"/>
        </w:rPr>
        <w:t xml:space="preserve">“The conditions prevailing in the relevant market, the concentration level and relative market shares held by authorised </w:t>
      </w:r>
      <w:r w:rsidR="00A1535B" w:rsidRPr="00BC1ABD">
        <w:rPr>
          <w:rFonts w:asciiTheme="minorHAnsi" w:eastAsia="Times New Roman" w:hAnsiTheme="minorHAnsi" w:cs="Calibri"/>
          <w:i/>
          <w:sz w:val="24"/>
          <w:szCs w:val="24"/>
          <w:lang w:val="en-GB"/>
        </w:rPr>
        <w:t>persons.</w:t>
      </w:r>
      <w:r w:rsidRPr="00BC1ABD">
        <w:rPr>
          <w:rFonts w:asciiTheme="minorHAnsi" w:eastAsia="Times New Roman" w:hAnsiTheme="minorHAnsi" w:cs="Calibri"/>
          <w:i/>
          <w:sz w:val="24"/>
          <w:szCs w:val="24"/>
          <w:lang w:val="en-GB"/>
        </w:rPr>
        <w:t xml:space="preserve"> </w:t>
      </w:r>
    </w:p>
    <w:p w14:paraId="6002E249" w14:textId="5922B4BC" w:rsidR="00341566" w:rsidRPr="00BC1ABD" w:rsidRDefault="00341566" w:rsidP="00B016C8">
      <w:pPr>
        <w:numPr>
          <w:ilvl w:val="0"/>
          <w:numId w:val="91"/>
        </w:numPr>
        <w:shd w:val="clear" w:color="auto" w:fill="FFFFFF"/>
        <w:spacing w:after="160" w:line="259" w:lineRule="auto"/>
        <w:ind w:left="714" w:hanging="357"/>
        <w:contextualSpacing/>
        <w:jc w:val="both"/>
        <w:rPr>
          <w:rFonts w:asciiTheme="minorHAnsi" w:eastAsia="Times New Roman" w:hAnsiTheme="minorHAnsi" w:cs="Calibri"/>
          <w:i/>
          <w:sz w:val="24"/>
          <w:szCs w:val="24"/>
          <w:lang w:val="en-GB"/>
        </w:rPr>
      </w:pPr>
      <w:r w:rsidRPr="00BC1ABD">
        <w:rPr>
          <w:rFonts w:asciiTheme="minorHAnsi" w:eastAsia="Times New Roman" w:hAnsiTheme="minorHAnsi" w:cs="Calibri"/>
          <w:i/>
          <w:sz w:val="24"/>
          <w:szCs w:val="24"/>
          <w:lang w:val="en-GB"/>
        </w:rPr>
        <w:t xml:space="preserve">The demand and supply characteristics (flexibility, increase in the demand, etc.) of the service types in the relevant segment of the service market, as well as conditions for demand-side and supply-side </w:t>
      </w:r>
      <w:r w:rsidR="00A1535B" w:rsidRPr="00BC1ABD">
        <w:rPr>
          <w:rFonts w:asciiTheme="minorHAnsi" w:eastAsia="Times New Roman" w:hAnsiTheme="minorHAnsi" w:cs="Calibri"/>
          <w:i/>
          <w:sz w:val="24"/>
          <w:szCs w:val="24"/>
          <w:lang w:val="en-GB"/>
        </w:rPr>
        <w:t>substitution.</w:t>
      </w:r>
      <w:r w:rsidRPr="00BC1ABD">
        <w:rPr>
          <w:rFonts w:asciiTheme="minorHAnsi" w:eastAsia="Times New Roman" w:hAnsiTheme="minorHAnsi" w:cs="Calibri"/>
          <w:i/>
          <w:sz w:val="24"/>
          <w:szCs w:val="24"/>
          <w:lang w:val="en-GB"/>
        </w:rPr>
        <w:t xml:space="preserve"> </w:t>
      </w:r>
    </w:p>
    <w:p w14:paraId="644E021A" w14:textId="237C74ED" w:rsidR="00BF3ABA" w:rsidRDefault="00341566" w:rsidP="00EB11F7">
      <w:pPr>
        <w:numPr>
          <w:ilvl w:val="0"/>
          <w:numId w:val="91"/>
        </w:numPr>
        <w:shd w:val="clear" w:color="auto" w:fill="FFFFFF"/>
        <w:spacing w:after="160" w:line="259" w:lineRule="auto"/>
        <w:contextualSpacing/>
        <w:jc w:val="both"/>
        <w:rPr>
          <w:rFonts w:asciiTheme="minorHAnsi" w:eastAsia="Times New Roman" w:hAnsiTheme="minorHAnsi" w:cs="Calibri"/>
          <w:i/>
          <w:sz w:val="24"/>
          <w:szCs w:val="24"/>
          <w:lang w:val="en-GB"/>
        </w:rPr>
      </w:pPr>
      <w:r w:rsidRPr="00BC1ABD">
        <w:rPr>
          <w:rFonts w:asciiTheme="minorHAnsi" w:eastAsia="Times New Roman" w:hAnsiTheme="minorHAnsi" w:cs="Calibri"/>
          <w:i/>
          <w:sz w:val="24"/>
          <w:szCs w:val="24"/>
          <w:lang w:val="en-GB"/>
        </w:rPr>
        <w:t xml:space="preserve">Levels of tariffs set on potentially non-competitive and interchangeable service types, as well as past changes in the </w:t>
      </w:r>
      <w:r w:rsidR="00A1535B" w:rsidRPr="00BC1ABD">
        <w:rPr>
          <w:rFonts w:asciiTheme="minorHAnsi" w:eastAsia="Times New Roman" w:hAnsiTheme="minorHAnsi" w:cs="Calibri"/>
          <w:i/>
          <w:sz w:val="24"/>
          <w:szCs w:val="24"/>
          <w:lang w:val="en-GB"/>
        </w:rPr>
        <w:t>tariffs.</w:t>
      </w:r>
    </w:p>
    <w:p w14:paraId="3B5834AB" w14:textId="77777777" w:rsidR="00BF3ABA" w:rsidRPr="00B016C8" w:rsidRDefault="00BF3ABA" w:rsidP="00B016C8">
      <w:pPr>
        <w:numPr>
          <w:ilvl w:val="0"/>
          <w:numId w:val="91"/>
        </w:numPr>
        <w:shd w:val="clear" w:color="auto" w:fill="FFFFFF"/>
        <w:spacing w:after="160" w:line="259" w:lineRule="auto"/>
        <w:contextualSpacing/>
        <w:jc w:val="both"/>
        <w:rPr>
          <w:rFonts w:asciiTheme="minorHAnsi" w:eastAsia="Times New Roman" w:hAnsiTheme="minorHAnsi" w:cs="Calibri"/>
          <w:i/>
          <w:sz w:val="24"/>
          <w:szCs w:val="24"/>
          <w:lang w:val="en-GB"/>
        </w:rPr>
      </w:pPr>
      <w:r w:rsidRPr="00BF3ABA">
        <w:rPr>
          <w:rFonts w:asciiTheme="minorHAnsi" w:eastAsia="Times New Roman" w:hAnsiTheme="minorHAnsi" w:cs="Calibri"/>
          <w:i/>
          <w:sz w:val="24"/>
          <w:szCs w:val="24"/>
          <w:lang w:val="en-GB"/>
        </w:rPr>
        <w:t>Financial and economic indicators of authorised persons in the relevant segment of the service market, the degree of their interdependence and opportunities for authorised persons interested in starting activities in this segment, also infrastructural and dynamic factors impeding entry into the market, and relevant investment risks”.</w:t>
      </w:r>
    </w:p>
    <w:p w14:paraId="69AFE4CE" w14:textId="374CB0D5" w:rsidR="00341566" w:rsidRPr="00BC1ABD" w:rsidRDefault="00341566" w:rsidP="00B016C8">
      <w:pPr>
        <w:shd w:val="clear" w:color="auto" w:fill="FFFFFF"/>
        <w:spacing w:after="160" w:line="259" w:lineRule="auto"/>
        <w:ind w:left="720"/>
        <w:contextualSpacing/>
        <w:jc w:val="both"/>
        <w:rPr>
          <w:rFonts w:asciiTheme="minorHAnsi" w:eastAsia="Times New Roman" w:hAnsiTheme="minorHAnsi" w:cs="Calibri"/>
          <w:i/>
          <w:sz w:val="24"/>
          <w:szCs w:val="24"/>
          <w:lang w:val="en-GB"/>
        </w:rPr>
      </w:pPr>
    </w:p>
    <w:p w14:paraId="556E4FDD" w14:textId="756A1D4B" w:rsidR="00C435F6" w:rsidRPr="00BC1ABD" w:rsidRDefault="00C435F6" w:rsidP="00EB11F7">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6" w:name="_Toc146107770"/>
      <w:bookmarkStart w:id="17" w:name="_Toc169258891"/>
      <w:r w:rsidRPr="00BC1ABD">
        <w:rPr>
          <w:rFonts w:asciiTheme="minorHAnsi" w:hAnsiTheme="minorHAnsi" w:cstheme="minorHAnsi"/>
          <w:b w:val="0"/>
          <w:bCs w:val="0"/>
          <w:sz w:val="24"/>
          <w:szCs w:val="24"/>
          <w:lang w:val="en-GB"/>
        </w:rPr>
        <w:t xml:space="preserve">First step: </w:t>
      </w:r>
      <w:r w:rsidR="00BF3ABA">
        <w:rPr>
          <w:rFonts w:asciiTheme="minorHAnsi" w:hAnsiTheme="minorHAnsi" w:cstheme="minorHAnsi"/>
          <w:b w:val="0"/>
          <w:bCs w:val="0"/>
          <w:sz w:val="24"/>
          <w:szCs w:val="24"/>
          <w:lang w:val="en-GB"/>
        </w:rPr>
        <w:t>D</w:t>
      </w:r>
      <w:r w:rsidRPr="00BC1ABD">
        <w:rPr>
          <w:rFonts w:asciiTheme="minorHAnsi" w:hAnsiTheme="minorHAnsi" w:cstheme="minorHAnsi"/>
          <w:b w:val="0"/>
          <w:bCs w:val="0"/>
          <w:sz w:val="24"/>
          <w:szCs w:val="24"/>
          <w:lang w:val="en-GB"/>
        </w:rPr>
        <w:t>etermining the relevant and closely</w:t>
      </w:r>
      <w:r w:rsidR="00BF3ABA">
        <w:rPr>
          <w:rFonts w:asciiTheme="minorHAnsi" w:hAnsiTheme="minorHAnsi" w:cstheme="minorHAnsi"/>
          <w:b w:val="0"/>
          <w:bCs w:val="0"/>
          <w:sz w:val="24"/>
          <w:szCs w:val="24"/>
          <w:lang w:val="en-GB"/>
        </w:rPr>
        <w:t>-</w:t>
      </w:r>
      <w:r w:rsidRPr="00BC1ABD">
        <w:rPr>
          <w:rFonts w:asciiTheme="minorHAnsi" w:hAnsiTheme="minorHAnsi" w:cstheme="minorHAnsi"/>
          <w:b w:val="0"/>
          <w:bCs w:val="0"/>
          <w:sz w:val="24"/>
          <w:szCs w:val="24"/>
          <w:lang w:val="en-GB"/>
        </w:rPr>
        <w:t>related markets and appropriate geographic boundaries of the market.</w:t>
      </w:r>
      <w:bookmarkEnd w:id="16"/>
      <w:bookmarkEnd w:id="17"/>
    </w:p>
    <w:p w14:paraId="4EEC0EFB" w14:textId="77777777" w:rsidR="00AB3719" w:rsidRPr="00BC1ABD" w:rsidRDefault="00AB3719" w:rsidP="00AB3719">
      <w:pPr>
        <w:spacing w:after="160" w:line="259" w:lineRule="auto"/>
        <w:jc w:val="both"/>
        <w:rPr>
          <w:rFonts w:eastAsia="Times New Roman" w:cs="Arial"/>
          <w:sz w:val="24"/>
          <w:szCs w:val="24"/>
          <w:lang w:val="en-GB"/>
        </w:rPr>
      </w:pPr>
      <w:r w:rsidRPr="00BC1ABD">
        <w:rPr>
          <w:rFonts w:asciiTheme="minorHAnsi" w:eastAsia="Times New Roman" w:hAnsiTheme="minorHAnsi" w:cs="Calibri"/>
          <w:sz w:val="24"/>
          <w:szCs w:val="24"/>
          <w:lang w:val="en-GB"/>
        </w:rPr>
        <w:t xml:space="preserve">The definition of the relevant market is of fundamental importance in assessing whether there is effective competition in the market. </w:t>
      </w:r>
    </w:p>
    <w:p w14:paraId="5107968A" w14:textId="4F83A411" w:rsidR="00AB3719" w:rsidRPr="00BC1ABD" w:rsidRDefault="00AB3719" w:rsidP="00AB3719">
      <w:pPr>
        <w:shd w:val="clear" w:color="auto" w:fill="FFFFFF"/>
        <w:spacing w:after="160" w:line="259" w:lineRule="auto"/>
        <w:jc w:val="both"/>
        <w:rPr>
          <w:rFonts w:eastAsia="Times New Roman" w:cs="Arial"/>
          <w:sz w:val="24"/>
          <w:szCs w:val="24"/>
          <w:lang w:val="en-GB"/>
        </w:rPr>
      </w:pPr>
      <w:r w:rsidRPr="00BC1ABD">
        <w:rPr>
          <w:rFonts w:eastAsia="Times New Roman" w:cs="Arial"/>
          <w:sz w:val="24"/>
          <w:szCs w:val="24"/>
          <w:lang w:val="en-GB"/>
        </w:rPr>
        <w:t>In order to determine the relevant market, it is necessary to define the market in terms of all the product</w:t>
      </w:r>
      <w:r w:rsidR="00BF3ABA">
        <w:rPr>
          <w:rFonts w:eastAsia="Times New Roman" w:cs="Arial"/>
          <w:sz w:val="24"/>
          <w:szCs w:val="24"/>
          <w:lang w:val="en-GB"/>
        </w:rPr>
        <w:t>s</w:t>
      </w:r>
      <w:r w:rsidRPr="00BC1ABD">
        <w:rPr>
          <w:rFonts w:eastAsia="Times New Roman" w:cs="Arial"/>
          <w:sz w:val="24"/>
          <w:szCs w:val="24"/>
          <w:lang w:val="en-GB"/>
        </w:rPr>
        <w:t>/</w:t>
      </w:r>
      <w:r w:rsidR="00BF3ABA">
        <w:rPr>
          <w:rFonts w:eastAsia="Times New Roman" w:cs="Arial"/>
          <w:sz w:val="24"/>
          <w:szCs w:val="24"/>
          <w:lang w:val="en-GB"/>
        </w:rPr>
        <w:t xml:space="preserve"> </w:t>
      </w:r>
      <w:r w:rsidRPr="00BC1ABD">
        <w:rPr>
          <w:rFonts w:eastAsia="Times New Roman" w:cs="Arial"/>
          <w:sz w:val="24"/>
          <w:szCs w:val="24"/>
          <w:lang w:val="en-GB"/>
        </w:rPr>
        <w:t>services that are substitutes and belong to a particular market and also the geographical boundaries within which these services are offered in largely homogeneous conditions. The whole procedure is based on determining the substitution on the supply and demand</w:t>
      </w:r>
      <w:r w:rsidR="00F54BCD">
        <w:rPr>
          <w:rFonts w:eastAsia="Times New Roman" w:cs="Arial"/>
          <w:sz w:val="24"/>
          <w:szCs w:val="24"/>
          <w:lang w:val="en-GB"/>
        </w:rPr>
        <w:t>-</w:t>
      </w:r>
      <w:r w:rsidRPr="00BC1ABD">
        <w:rPr>
          <w:rFonts w:eastAsia="Times New Roman" w:cs="Arial"/>
          <w:sz w:val="24"/>
          <w:szCs w:val="24"/>
          <w:lang w:val="en-GB"/>
        </w:rPr>
        <w:t xml:space="preserve">sides of the market. </w:t>
      </w:r>
    </w:p>
    <w:p w14:paraId="25C6CB5B" w14:textId="33E2D57F" w:rsidR="00C435F6" w:rsidRDefault="00AB3719" w:rsidP="00AB3719">
      <w:pPr>
        <w:shd w:val="clear" w:color="auto" w:fill="FFFFFF"/>
        <w:spacing w:after="160" w:line="259" w:lineRule="auto"/>
        <w:jc w:val="both"/>
        <w:rPr>
          <w:rFonts w:cs="Arial"/>
          <w:sz w:val="24"/>
          <w:szCs w:val="24"/>
          <w:lang w:val="en-GB"/>
        </w:rPr>
      </w:pPr>
      <w:r w:rsidRPr="00BC1ABD">
        <w:rPr>
          <w:rFonts w:eastAsia="Times New Roman" w:cs="Arial"/>
          <w:sz w:val="24"/>
          <w:szCs w:val="24"/>
          <w:lang w:val="en-GB"/>
        </w:rPr>
        <w:t>The relevant market comprises all services which are sufficient substitutes</w:t>
      </w:r>
      <w:r w:rsidRPr="00BC1ABD">
        <w:rPr>
          <w:rFonts w:eastAsia="Times New Roman" w:cs="Arial"/>
          <w:sz w:val="24"/>
          <w:szCs w:val="24"/>
          <w:vertAlign w:val="superscript"/>
          <w:lang w:val="en-GB"/>
        </w:rPr>
        <w:footnoteReference w:id="26"/>
      </w:r>
      <w:r w:rsidRPr="00BC1ABD">
        <w:rPr>
          <w:rFonts w:eastAsia="Times New Roman" w:cs="Arial"/>
          <w:sz w:val="24"/>
          <w:szCs w:val="24"/>
          <w:lang w:val="en-GB"/>
        </w:rPr>
        <w:t>, either on the demand</w:t>
      </w:r>
      <w:r w:rsidR="00F54BCD">
        <w:rPr>
          <w:rFonts w:eastAsia="Times New Roman" w:cs="Arial"/>
          <w:sz w:val="24"/>
          <w:szCs w:val="24"/>
          <w:lang w:val="en-GB"/>
        </w:rPr>
        <w:t>-</w:t>
      </w:r>
      <w:r w:rsidRPr="00BC1ABD">
        <w:rPr>
          <w:rFonts w:eastAsia="Times New Roman" w:cs="Arial"/>
          <w:sz w:val="24"/>
          <w:szCs w:val="24"/>
          <w:lang w:val="en-GB"/>
        </w:rPr>
        <w:t>side or on the supply</w:t>
      </w:r>
      <w:r w:rsidR="00F54BCD">
        <w:rPr>
          <w:rFonts w:eastAsia="Times New Roman" w:cs="Arial"/>
          <w:sz w:val="24"/>
          <w:szCs w:val="24"/>
          <w:lang w:val="en-GB"/>
        </w:rPr>
        <w:t>-</w:t>
      </w:r>
      <w:r w:rsidRPr="00BC1ABD">
        <w:rPr>
          <w:rFonts w:eastAsia="Times New Roman" w:cs="Arial"/>
          <w:sz w:val="24"/>
          <w:szCs w:val="24"/>
          <w:lang w:val="en-GB"/>
        </w:rPr>
        <w:t>side, not only in terms of their objective characteristics, prices or intended use, but also in terms of conditions of competition in the relevant market. A substitute is any service that, given its characteristics, price, purpose and habits of the user, can replace another service and thus meet the same needs of the user. Services that are substitutes only to a lesser or relative extent do not form part of the same relevant market. Therefore, in the market analysis process, the relevant market should be defined by grouping only those services that consumers use for the same purpose</w:t>
      </w:r>
      <w:r w:rsidR="00C435F6" w:rsidRPr="00BC1ABD">
        <w:rPr>
          <w:rFonts w:cs="Arial"/>
          <w:sz w:val="24"/>
          <w:szCs w:val="24"/>
          <w:lang w:val="en-GB"/>
        </w:rPr>
        <w:t>.</w:t>
      </w:r>
    </w:p>
    <w:p w14:paraId="0D5FDD72" w14:textId="77777777" w:rsidR="00DE2E8C" w:rsidRDefault="00DE2E8C" w:rsidP="00AB3719">
      <w:pPr>
        <w:shd w:val="clear" w:color="auto" w:fill="FFFFFF"/>
        <w:spacing w:after="160" w:line="259" w:lineRule="auto"/>
        <w:jc w:val="both"/>
        <w:rPr>
          <w:rFonts w:cs="Arial"/>
          <w:sz w:val="24"/>
          <w:szCs w:val="24"/>
          <w:lang w:val="en-GB"/>
        </w:rPr>
      </w:pPr>
    </w:p>
    <w:p w14:paraId="099FAF32" w14:textId="77777777" w:rsidR="00DE2E8C" w:rsidRPr="00BC1ABD" w:rsidRDefault="00DE2E8C" w:rsidP="00AB3719">
      <w:pPr>
        <w:shd w:val="clear" w:color="auto" w:fill="FFFFFF"/>
        <w:spacing w:after="160" w:line="259" w:lineRule="auto"/>
        <w:jc w:val="both"/>
        <w:rPr>
          <w:rFonts w:eastAsia="Times New Roman" w:cs="Arial"/>
          <w:sz w:val="24"/>
          <w:szCs w:val="24"/>
          <w:lang w:val="en-GB"/>
        </w:rPr>
      </w:pPr>
    </w:p>
    <w:p w14:paraId="56742C50" w14:textId="777DFCFF" w:rsidR="00C435F6" w:rsidRPr="00BC1ABD" w:rsidRDefault="00C435F6" w:rsidP="00EB11F7">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8" w:name="_Toc169258892"/>
      <w:bookmarkStart w:id="19" w:name="_Toc146107771"/>
      <w:r w:rsidRPr="00BC1ABD">
        <w:rPr>
          <w:rFonts w:asciiTheme="minorHAnsi" w:hAnsiTheme="minorHAnsi" w:cstheme="minorHAnsi"/>
          <w:b w:val="0"/>
          <w:bCs w:val="0"/>
          <w:sz w:val="24"/>
          <w:szCs w:val="24"/>
          <w:lang w:val="en-GB"/>
        </w:rPr>
        <w:t xml:space="preserve">Demand-side </w:t>
      </w:r>
      <w:r w:rsidR="00C21B1B" w:rsidRPr="00BC1ABD">
        <w:rPr>
          <w:rFonts w:asciiTheme="minorHAnsi" w:hAnsiTheme="minorHAnsi" w:cstheme="minorHAnsi"/>
          <w:b w:val="0"/>
          <w:bCs w:val="0"/>
          <w:sz w:val="24"/>
          <w:szCs w:val="24"/>
          <w:lang w:val="en-GB"/>
        </w:rPr>
        <w:t>and supply-side substitution</w:t>
      </w:r>
      <w:bookmarkEnd w:id="18"/>
      <w:r w:rsidR="00C21B1B" w:rsidRPr="00BC1ABD">
        <w:rPr>
          <w:rFonts w:asciiTheme="minorHAnsi" w:hAnsiTheme="minorHAnsi" w:cstheme="minorHAnsi"/>
          <w:b w:val="0"/>
          <w:bCs w:val="0"/>
          <w:sz w:val="24"/>
          <w:szCs w:val="24"/>
          <w:lang w:val="en-GB"/>
        </w:rPr>
        <w:t xml:space="preserve"> </w:t>
      </w:r>
      <w:bookmarkEnd w:id="19"/>
    </w:p>
    <w:p w14:paraId="4129CA20" w14:textId="20253591" w:rsidR="00C435F6" w:rsidRPr="00BC1ABD" w:rsidRDefault="00C21B1B" w:rsidP="00C21B1B">
      <w:pPr>
        <w:shd w:val="clear" w:color="auto" w:fill="FFFFFF"/>
        <w:spacing w:after="160" w:line="259" w:lineRule="auto"/>
        <w:jc w:val="both"/>
        <w:rPr>
          <w:rFonts w:eastAsia="Times New Roman" w:cs="Arial"/>
          <w:i/>
          <w:sz w:val="24"/>
          <w:szCs w:val="24"/>
          <w:lang w:val="en-GB"/>
        </w:rPr>
      </w:pPr>
      <w:r w:rsidRPr="00BC1ABD">
        <w:rPr>
          <w:rFonts w:eastAsia="Times New Roman" w:cs="Arial"/>
          <w:sz w:val="24"/>
          <w:szCs w:val="24"/>
          <w:lang w:val="en-GB"/>
        </w:rPr>
        <w:t xml:space="preserve">The Methodological Rules provide guidance for the demand-side substitution analysis, as well as for </w:t>
      </w:r>
      <w:r w:rsidRPr="00BC1ABD">
        <w:rPr>
          <w:rFonts w:eastAsia="Times New Roman" w:cs="Arial"/>
          <w:iCs/>
          <w:sz w:val="24"/>
          <w:szCs w:val="24"/>
          <w:lang w:val="en-GB"/>
        </w:rPr>
        <w:t>the supply</w:t>
      </w:r>
      <w:r w:rsidR="00F54BCD">
        <w:rPr>
          <w:rFonts w:eastAsia="Times New Roman" w:cs="Arial"/>
          <w:iCs/>
          <w:sz w:val="24"/>
          <w:szCs w:val="24"/>
          <w:lang w:val="en-GB"/>
        </w:rPr>
        <w:t>-</w:t>
      </w:r>
      <w:r w:rsidRPr="00BC1ABD">
        <w:rPr>
          <w:rFonts w:eastAsia="Times New Roman" w:cs="Arial"/>
          <w:iCs/>
          <w:sz w:val="24"/>
          <w:szCs w:val="24"/>
          <w:lang w:val="en-GB"/>
        </w:rPr>
        <w:t>side substitutability.</w:t>
      </w:r>
      <w:r w:rsidRPr="00BC1ABD">
        <w:rPr>
          <w:rFonts w:eastAsia="Times New Roman" w:cs="Arial"/>
          <w:iCs/>
          <w:sz w:val="24"/>
          <w:szCs w:val="24"/>
          <w:vertAlign w:val="superscript"/>
          <w:lang w:val="en-GB"/>
        </w:rPr>
        <w:footnoteReference w:id="27"/>
      </w:r>
      <w:r w:rsidRPr="00BC1ABD">
        <w:rPr>
          <w:rFonts w:eastAsia="Times New Roman" w:cs="Arial"/>
          <w:i/>
          <w:sz w:val="24"/>
          <w:szCs w:val="24"/>
          <w:lang w:val="en-GB"/>
        </w:rPr>
        <w:t xml:space="preserve"> </w:t>
      </w:r>
    </w:p>
    <w:p w14:paraId="7B3C0118" w14:textId="77777777" w:rsidR="00C435F6" w:rsidRPr="00BC1ABD" w:rsidRDefault="00C435F6" w:rsidP="00EB11F7">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20" w:name="_Toc146107773"/>
      <w:bookmarkStart w:id="21" w:name="_Toc169258893"/>
      <w:r w:rsidRPr="00BC1ABD">
        <w:rPr>
          <w:rFonts w:asciiTheme="minorHAnsi" w:hAnsiTheme="minorHAnsi" w:cstheme="minorHAnsi"/>
          <w:b w:val="0"/>
          <w:bCs w:val="0"/>
          <w:sz w:val="24"/>
          <w:szCs w:val="24"/>
          <w:lang w:val="en-GB"/>
        </w:rPr>
        <w:t>Geographic market definition</w:t>
      </w:r>
      <w:bookmarkEnd w:id="20"/>
      <w:bookmarkEnd w:id="21"/>
    </w:p>
    <w:p w14:paraId="580D11D1" w14:textId="4E84B9A4" w:rsidR="00BC4C49" w:rsidRPr="00BC1ABD" w:rsidRDefault="00BC4C49" w:rsidP="00BC4C49">
      <w:pPr>
        <w:spacing w:after="160" w:line="259" w:lineRule="auto"/>
        <w:jc w:val="both"/>
        <w:rPr>
          <w:rFonts w:eastAsia="Times New Roman" w:cs="Arial"/>
          <w:sz w:val="24"/>
          <w:szCs w:val="24"/>
          <w:lang w:val="en-GB"/>
        </w:rPr>
      </w:pPr>
      <w:r w:rsidRPr="00BC1ABD">
        <w:rPr>
          <w:rFonts w:eastAsia="Times New Roman" w:cs="Arial"/>
          <w:sz w:val="24"/>
          <w:szCs w:val="24"/>
          <w:lang w:val="en-GB"/>
        </w:rPr>
        <w:t xml:space="preserve">Once the relevant market in the services dimension has been identified, the next step is to define its geographic dimension. Only when the geographical dimension of the services market has been defined can the conditions of market competition in the relevant market be properly assessed. The Methodological </w:t>
      </w:r>
      <w:r w:rsidR="00BF3ABA">
        <w:rPr>
          <w:rFonts w:eastAsia="Times New Roman" w:cs="Arial"/>
          <w:sz w:val="24"/>
          <w:szCs w:val="24"/>
          <w:lang w:val="en-GB"/>
        </w:rPr>
        <w:t>R</w:t>
      </w:r>
      <w:r w:rsidRPr="00BC1ABD">
        <w:rPr>
          <w:rFonts w:eastAsia="Times New Roman" w:cs="Arial"/>
          <w:sz w:val="24"/>
          <w:szCs w:val="24"/>
          <w:lang w:val="en-GB"/>
        </w:rPr>
        <w:t>ules also provide guidance on the definition of the geographic dimension of markets.</w:t>
      </w:r>
      <w:r w:rsidRPr="00BC1ABD">
        <w:rPr>
          <w:rFonts w:eastAsia="Times New Roman" w:cs="Arial"/>
          <w:sz w:val="24"/>
          <w:szCs w:val="24"/>
          <w:vertAlign w:val="superscript"/>
          <w:lang w:val="en-GB"/>
        </w:rPr>
        <w:footnoteReference w:id="28"/>
      </w:r>
      <w:r w:rsidRPr="00BC1ABD">
        <w:rPr>
          <w:rFonts w:eastAsia="Times New Roman" w:cs="Arial"/>
          <w:sz w:val="24"/>
          <w:szCs w:val="24"/>
          <w:lang w:val="en-GB"/>
        </w:rPr>
        <w:t xml:space="preserve"> </w:t>
      </w:r>
    </w:p>
    <w:p w14:paraId="08716D73" w14:textId="7AF883AD" w:rsidR="00BC4C49" w:rsidRPr="00BC1ABD" w:rsidRDefault="00BC4C49" w:rsidP="00BC4C49">
      <w:pPr>
        <w:shd w:val="clear" w:color="auto" w:fill="FFFFFF"/>
        <w:spacing w:after="160" w:line="259" w:lineRule="auto"/>
        <w:jc w:val="both"/>
        <w:rPr>
          <w:rFonts w:eastAsia="Times New Roman"/>
          <w:sz w:val="24"/>
          <w:szCs w:val="24"/>
          <w:lang w:val="en-GB"/>
        </w:rPr>
      </w:pPr>
      <w:r w:rsidRPr="00BC1ABD">
        <w:rPr>
          <w:rFonts w:eastAsia="Times New Roman"/>
          <w:sz w:val="24"/>
          <w:szCs w:val="24"/>
          <w:lang w:val="en-GB"/>
        </w:rPr>
        <w:t xml:space="preserve">According to </w:t>
      </w:r>
      <w:r w:rsidRPr="00BC1ABD">
        <w:rPr>
          <w:rFonts w:asciiTheme="minorHAnsi" w:eastAsia="Times New Roman" w:hAnsiTheme="minorHAnsi" w:cs="Calibri"/>
          <w:sz w:val="24"/>
          <w:szCs w:val="24"/>
          <w:lang w:val="en-GB"/>
        </w:rPr>
        <w:t>Article 22 (4) of the law, the geographic dimension of the market may be defined based on “.</w:t>
      </w:r>
      <w:r w:rsidR="00BF3ABA">
        <w:rPr>
          <w:rFonts w:asciiTheme="minorHAnsi" w:eastAsia="Times New Roman" w:hAnsiTheme="minorHAnsi" w:cs="Calibri"/>
          <w:sz w:val="24"/>
          <w:szCs w:val="24"/>
          <w:lang w:val="en-GB"/>
        </w:rPr>
        <w:t>.</w:t>
      </w:r>
      <w:r w:rsidRPr="00BC1ABD">
        <w:rPr>
          <w:rFonts w:asciiTheme="minorHAnsi" w:eastAsia="Times New Roman" w:hAnsiTheme="minorHAnsi" w:cs="Calibri"/>
          <w:sz w:val="24"/>
          <w:szCs w:val="24"/>
          <w:lang w:val="en-GB"/>
        </w:rPr>
        <w:t>.</w:t>
      </w:r>
      <w:r w:rsidRPr="00BC1ABD">
        <w:rPr>
          <w:rFonts w:asciiTheme="minorHAnsi" w:eastAsia="Times New Roman" w:hAnsiTheme="minorHAnsi" w:cs="Calibri"/>
          <w:i/>
          <w:sz w:val="24"/>
          <w:szCs w:val="24"/>
          <w:lang w:val="en-GB"/>
        </w:rPr>
        <w:t>the conditions prevailing in the relevant market</w:t>
      </w:r>
      <w:r w:rsidRPr="00BC1ABD">
        <w:rPr>
          <w:rFonts w:asciiTheme="minorHAnsi" w:eastAsia="Times New Roman" w:hAnsiTheme="minorHAnsi" w:cs="Calibri"/>
          <w:sz w:val="24"/>
          <w:szCs w:val="24"/>
          <w:lang w:val="en-GB"/>
        </w:rPr>
        <w:t>”</w:t>
      </w:r>
      <w:r w:rsidRPr="00BC1ABD">
        <w:rPr>
          <w:rFonts w:eastAsia="Times New Roman"/>
          <w:sz w:val="24"/>
          <w:szCs w:val="24"/>
          <w:lang w:val="en-GB"/>
        </w:rPr>
        <w:t xml:space="preserve">. For example, if some services are not offered or are priced differently or are at different quality levels in parts of the country, then geographical segmentation may be relevant. </w:t>
      </w:r>
    </w:p>
    <w:p w14:paraId="4CA45B54" w14:textId="0280852F" w:rsidR="00C435F6" w:rsidRPr="00BC1ABD" w:rsidRDefault="00BC4C49" w:rsidP="00BC4C49">
      <w:pPr>
        <w:shd w:val="clear" w:color="auto" w:fill="FFFFFF"/>
        <w:spacing w:after="160" w:line="256" w:lineRule="auto"/>
        <w:jc w:val="both"/>
        <w:rPr>
          <w:sz w:val="24"/>
          <w:szCs w:val="24"/>
          <w:lang w:val="en-GB"/>
        </w:rPr>
      </w:pPr>
      <w:r w:rsidRPr="00BC1ABD">
        <w:rPr>
          <w:rFonts w:eastAsia="Times New Roman"/>
          <w:sz w:val="24"/>
          <w:szCs w:val="24"/>
          <w:lang w:val="en-GB"/>
        </w:rPr>
        <w:t>Geographical markets within electronic communications have traditionally been defined on the basis of the relevant network's area of coverage</w:t>
      </w:r>
      <w:r w:rsidR="00C435F6" w:rsidRPr="00BC1ABD">
        <w:rPr>
          <w:sz w:val="24"/>
          <w:szCs w:val="24"/>
          <w:lang w:val="en-GB"/>
        </w:rPr>
        <w:t>.</w:t>
      </w:r>
    </w:p>
    <w:p w14:paraId="58507D41" w14:textId="54D2AABC" w:rsidR="00C435F6" w:rsidRPr="00BC1ABD" w:rsidRDefault="00C435F6" w:rsidP="00EB11F7">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2" w:name="_Toc146107774"/>
      <w:bookmarkStart w:id="23" w:name="_Toc169258894"/>
      <w:r w:rsidRPr="00BC1ABD">
        <w:rPr>
          <w:rFonts w:asciiTheme="minorHAnsi" w:hAnsiTheme="minorHAnsi" w:cstheme="minorHAnsi"/>
          <w:b w:val="0"/>
          <w:bCs w:val="0"/>
          <w:sz w:val="24"/>
          <w:szCs w:val="24"/>
          <w:lang w:val="en-GB"/>
        </w:rPr>
        <w:t xml:space="preserve">Second step: </w:t>
      </w:r>
      <w:r w:rsidR="00BF3ABA">
        <w:rPr>
          <w:rFonts w:asciiTheme="minorHAnsi" w:hAnsiTheme="minorHAnsi" w:cstheme="minorHAnsi"/>
          <w:b w:val="0"/>
          <w:bCs w:val="0"/>
          <w:sz w:val="24"/>
          <w:szCs w:val="24"/>
          <w:lang w:val="en-GB"/>
        </w:rPr>
        <w:t>D</w:t>
      </w:r>
      <w:r w:rsidRPr="00BC1ABD">
        <w:rPr>
          <w:rFonts w:asciiTheme="minorHAnsi" w:hAnsiTheme="minorHAnsi" w:cstheme="minorHAnsi"/>
          <w:b w:val="0"/>
          <w:bCs w:val="0"/>
          <w:sz w:val="24"/>
          <w:szCs w:val="24"/>
          <w:lang w:val="en-GB"/>
        </w:rPr>
        <w:t>etermining whether the relevant retail market is competitive</w:t>
      </w:r>
      <w:bookmarkEnd w:id="22"/>
      <w:bookmarkEnd w:id="23"/>
      <w:r w:rsidRPr="00BC1ABD">
        <w:rPr>
          <w:rFonts w:asciiTheme="minorHAnsi" w:hAnsiTheme="minorHAnsi" w:cstheme="minorHAnsi"/>
          <w:b w:val="0"/>
          <w:bCs w:val="0"/>
          <w:sz w:val="24"/>
          <w:szCs w:val="24"/>
          <w:lang w:val="en-GB"/>
        </w:rPr>
        <w:t xml:space="preserve"> </w:t>
      </w:r>
    </w:p>
    <w:p w14:paraId="59CB466B" w14:textId="65CBE8ED" w:rsidR="001265D8" w:rsidRPr="00BC1ABD" w:rsidRDefault="001265D8" w:rsidP="001265D8">
      <w:pPr>
        <w:shd w:val="clear" w:color="auto" w:fill="FFFFFF"/>
        <w:spacing w:after="160" w:line="259" w:lineRule="auto"/>
        <w:jc w:val="both"/>
        <w:rPr>
          <w:rFonts w:eastAsia="Times New Roman" w:cs="Arial"/>
          <w:sz w:val="24"/>
          <w:szCs w:val="24"/>
          <w:lang w:val="en-GB"/>
        </w:rPr>
      </w:pPr>
      <w:r w:rsidRPr="00BC1ABD">
        <w:rPr>
          <w:rFonts w:asciiTheme="minorHAnsi" w:eastAsia="Times New Roman" w:hAnsiTheme="minorHAnsi" w:cs="Calibri"/>
          <w:sz w:val="24"/>
          <w:szCs w:val="24"/>
          <w:lang w:val="en-GB"/>
        </w:rPr>
        <w:t>The</w:t>
      </w:r>
      <w:r w:rsidRPr="00BC1ABD">
        <w:rPr>
          <w:rFonts w:eastAsia="Times New Roman" w:cs="Arial"/>
          <w:sz w:val="24"/>
          <w:szCs w:val="24"/>
          <w:lang w:val="en-GB"/>
        </w:rPr>
        <w:t xml:space="preserve"> goal of the assessment is to understand whether the relevant retail markets are effectively competitive in the absence of regulation. </w:t>
      </w:r>
      <w:r w:rsidRPr="00BC1ABD">
        <w:rPr>
          <w:rFonts w:asciiTheme="minorHAnsi" w:eastAsia="Times New Roman" w:hAnsiTheme="minorHAnsi" w:cs="Calibri"/>
          <w:sz w:val="24"/>
          <w:szCs w:val="24"/>
          <w:lang w:val="en-GB"/>
        </w:rPr>
        <w:t>The objective is to check whether competition on the market can improve into the future, or whether there are tendencies that could have a negative impact on the current level of competition, potentially leading to emergence or strengthening of single or joint dominance.</w:t>
      </w:r>
      <w:r w:rsidRPr="00BC1ABD">
        <w:rPr>
          <w:rFonts w:eastAsia="Times New Roman" w:cs="Arial"/>
          <w:sz w:val="24"/>
          <w:szCs w:val="24"/>
          <w:lang w:val="en-GB"/>
        </w:rPr>
        <w:t xml:space="preserve"> The assessment of competition at the retail level should be carried out using a "modified greenfield approach”</w:t>
      </w:r>
      <w:r w:rsidRPr="00BC1ABD">
        <w:rPr>
          <w:rFonts w:eastAsia="Times New Roman" w:cs="Arial"/>
          <w:sz w:val="24"/>
          <w:szCs w:val="24"/>
          <w:vertAlign w:val="superscript"/>
          <w:lang w:val="en-GB"/>
        </w:rPr>
        <w:footnoteReference w:id="29"/>
      </w:r>
      <w:r w:rsidRPr="00BC1ABD">
        <w:rPr>
          <w:rFonts w:eastAsia="Times New Roman" w:cs="Arial"/>
          <w:sz w:val="24"/>
          <w:szCs w:val="24"/>
          <w:lang w:val="en-GB"/>
        </w:rPr>
        <w:t>.</w:t>
      </w:r>
    </w:p>
    <w:p w14:paraId="52E70AB3" w14:textId="5ECE07B7" w:rsidR="00C435F6" w:rsidRPr="00BC1ABD" w:rsidRDefault="001265D8" w:rsidP="001265D8">
      <w:pPr>
        <w:shd w:val="clear" w:color="auto" w:fill="FFFFFF"/>
        <w:spacing w:after="160" w:line="256" w:lineRule="auto"/>
        <w:jc w:val="both"/>
        <w:rPr>
          <w:rFonts w:asciiTheme="minorHAnsi" w:hAnsiTheme="minorHAnsi" w:cstheme="minorHAnsi"/>
          <w:sz w:val="24"/>
          <w:szCs w:val="24"/>
          <w:lang w:val="en-GB"/>
        </w:rPr>
      </w:pPr>
      <w:r w:rsidRPr="00BC1ABD">
        <w:rPr>
          <w:rFonts w:eastAsia="Times New Roman"/>
          <w:sz w:val="24"/>
          <w:szCs w:val="24"/>
          <w:lang w:val="en-GB"/>
        </w:rPr>
        <w:t xml:space="preserve">This means that the competitive conditions should be assessed under the hypothesis that the market reviewed is not subject to </w:t>
      </w:r>
      <w:r w:rsidRPr="00BC1ABD">
        <w:rPr>
          <w:rFonts w:eastAsia="Times New Roman"/>
          <w:i/>
          <w:iCs/>
          <w:sz w:val="24"/>
          <w:szCs w:val="24"/>
          <w:lang w:val="en-GB"/>
        </w:rPr>
        <w:t>ex</w:t>
      </w:r>
      <w:r w:rsidR="00BF3ABA">
        <w:rPr>
          <w:rFonts w:eastAsia="Times New Roman"/>
          <w:i/>
          <w:iCs/>
          <w:sz w:val="24"/>
          <w:szCs w:val="24"/>
          <w:lang w:val="en-GB"/>
        </w:rPr>
        <w:t>-</w:t>
      </w:r>
      <w:r w:rsidRPr="00BC1ABD">
        <w:rPr>
          <w:rFonts w:eastAsia="Times New Roman"/>
          <w:i/>
          <w:iCs/>
          <w:sz w:val="24"/>
          <w:szCs w:val="24"/>
          <w:lang w:val="en-GB"/>
        </w:rPr>
        <w:t>ante</w:t>
      </w:r>
      <w:r w:rsidRPr="00BC1ABD">
        <w:rPr>
          <w:rFonts w:eastAsia="Times New Roman"/>
          <w:sz w:val="24"/>
          <w:szCs w:val="24"/>
          <w:lang w:val="en-GB"/>
        </w:rPr>
        <w:t xml:space="preserve"> regulation relating to that market. A key question will thus be the extent to which the current market conditions can be attributed to current obligations</w:t>
      </w:r>
      <w:r w:rsidRPr="00BC1ABD">
        <w:rPr>
          <w:rFonts w:eastAsia="Times New Roman" w:cs="Arial"/>
          <w:sz w:val="24"/>
          <w:szCs w:val="24"/>
          <w:lang w:val="en-GB"/>
        </w:rPr>
        <w:t xml:space="preserve"> in order to determine whether retail markets could be effectively competitive without any </w:t>
      </w:r>
      <w:r w:rsidRPr="00BC1ABD">
        <w:rPr>
          <w:rFonts w:eastAsia="Times New Roman" w:cs="Arial"/>
          <w:i/>
          <w:iCs/>
          <w:sz w:val="24"/>
          <w:szCs w:val="24"/>
          <w:lang w:val="en-GB"/>
        </w:rPr>
        <w:t>ex-ante</w:t>
      </w:r>
      <w:r w:rsidRPr="00BC1ABD">
        <w:rPr>
          <w:rFonts w:eastAsia="Times New Roman" w:cs="Arial"/>
          <w:sz w:val="24"/>
          <w:szCs w:val="24"/>
          <w:lang w:val="en-GB"/>
        </w:rPr>
        <w:t xml:space="preserve"> regulatory obligations imposed</w:t>
      </w:r>
      <w:r w:rsidR="00C435F6" w:rsidRPr="00BC1ABD">
        <w:rPr>
          <w:rFonts w:asciiTheme="minorHAnsi" w:hAnsiTheme="minorHAnsi" w:cstheme="minorHAnsi"/>
          <w:sz w:val="24"/>
          <w:szCs w:val="24"/>
          <w:lang w:val="en-GB"/>
        </w:rPr>
        <w:t>.</w:t>
      </w:r>
    </w:p>
    <w:p w14:paraId="049256AA" w14:textId="210AF390" w:rsidR="00C435F6" w:rsidRPr="00BC1ABD" w:rsidRDefault="00C435F6" w:rsidP="00EB11F7">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4" w:name="_Toc146107775"/>
      <w:bookmarkStart w:id="25" w:name="_Toc169258895"/>
      <w:r w:rsidRPr="00BC1ABD">
        <w:rPr>
          <w:rFonts w:asciiTheme="minorHAnsi" w:hAnsiTheme="minorHAnsi" w:cstheme="minorHAnsi"/>
          <w:b w:val="0"/>
          <w:bCs w:val="0"/>
          <w:sz w:val="24"/>
          <w:szCs w:val="24"/>
          <w:lang w:val="en-GB"/>
        </w:rPr>
        <w:t xml:space="preserve">Third step: </w:t>
      </w:r>
      <w:r w:rsidR="00BF3ABA">
        <w:rPr>
          <w:rFonts w:asciiTheme="minorHAnsi" w:hAnsiTheme="minorHAnsi" w:cstheme="minorHAnsi"/>
          <w:b w:val="0"/>
          <w:bCs w:val="0"/>
          <w:sz w:val="24"/>
          <w:szCs w:val="24"/>
          <w:lang w:val="en-GB"/>
        </w:rPr>
        <w:t>I</w:t>
      </w:r>
      <w:r w:rsidRPr="00BC1ABD">
        <w:rPr>
          <w:rFonts w:asciiTheme="minorHAnsi" w:hAnsiTheme="minorHAnsi" w:cstheme="minorHAnsi"/>
          <w:b w:val="0"/>
          <w:bCs w:val="0"/>
          <w:sz w:val="24"/>
          <w:szCs w:val="24"/>
          <w:lang w:val="en-GB"/>
        </w:rPr>
        <w:t>dentifying wholesale markets for which regulatory intervention is appropriate to address the lack of competition in the retail market being investigated.</w:t>
      </w:r>
      <w:bookmarkEnd w:id="24"/>
      <w:bookmarkEnd w:id="25"/>
    </w:p>
    <w:p w14:paraId="05A06F22" w14:textId="1A991776" w:rsidR="001265D8" w:rsidRPr="00BC1ABD" w:rsidRDefault="001265D8" w:rsidP="001265D8">
      <w:pPr>
        <w:spacing w:after="160" w:line="259" w:lineRule="auto"/>
        <w:jc w:val="both"/>
        <w:rPr>
          <w:rFonts w:eastAsia="Times New Roman" w:cs="Arial"/>
          <w:sz w:val="24"/>
          <w:szCs w:val="24"/>
          <w:lang w:val="en-GB"/>
        </w:rPr>
      </w:pPr>
      <w:r w:rsidRPr="00BC1ABD">
        <w:rPr>
          <w:rFonts w:asciiTheme="minorHAnsi" w:eastAsia="Times New Roman" w:hAnsiTheme="minorHAnsi" w:cs="Calibri"/>
          <w:sz w:val="24"/>
          <w:szCs w:val="24"/>
          <w:lang w:val="en-GB"/>
        </w:rPr>
        <w:t xml:space="preserve">The primary focus for regulation in the sector, in line with EU practices, should be at the wholesale level, such that any necessary </w:t>
      </w:r>
      <w:r w:rsidRPr="00BC1ABD">
        <w:rPr>
          <w:rFonts w:asciiTheme="minorHAnsi" w:eastAsia="Times New Roman" w:hAnsiTheme="minorHAnsi" w:cs="Calibri"/>
          <w:i/>
          <w:iCs/>
          <w:sz w:val="24"/>
          <w:szCs w:val="24"/>
          <w:lang w:val="en-GB"/>
        </w:rPr>
        <w:t>ex-ante</w:t>
      </w:r>
      <w:r w:rsidRPr="00BC1ABD">
        <w:rPr>
          <w:rFonts w:asciiTheme="minorHAnsi" w:eastAsia="Times New Roman" w:hAnsiTheme="minorHAnsi" w:cs="Calibri"/>
          <w:sz w:val="24"/>
          <w:szCs w:val="24"/>
          <w:lang w:val="en-GB"/>
        </w:rPr>
        <w:t xml:space="preserve"> measures can be aimed at preventing any potential for service providers to cause harm to consumers.</w:t>
      </w:r>
      <w:r w:rsidRPr="00BC1ABD">
        <w:rPr>
          <w:rFonts w:eastAsia="Times New Roman" w:cs="Arial"/>
          <w:sz w:val="24"/>
          <w:szCs w:val="24"/>
          <w:lang w:val="en-GB"/>
        </w:rPr>
        <w:t xml:space="preserve"> Preference should be given to intervene in the most upstream market in order to minimise distorting investment incentives in the retail market. This objective is reflected in the current </w:t>
      </w:r>
      <w:r w:rsidRPr="00E517D9">
        <w:rPr>
          <w:lang w:val="en-US"/>
        </w:rPr>
        <w:t>EU Recommendation</w:t>
      </w:r>
      <w:r w:rsidRPr="00BC1ABD">
        <w:rPr>
          <w:rFonts w:eastAsia="Times New Roman" w:cs="Arial"/>
          <w:sz w:val="24"/>
          <w:szCs w:val="24"/>
          <w:lang w:val="en-GB"/>
        </w:rPr>
        <w:t xml:space="preserve"> on Relevant Markets from 18 December 2020</w:t>
      </w:r>
      <w:r w:rsidRPr="00BC1ABD">
        <w:rPr>
          <w:rFonts w:eastAsia="Times New Roman" w:cs="Arial"/>
          <w:sz w:val="24"/>
          <w:szCs w:val="24"/>
          <w:vertAlign w:val="superscript"/>
          <w:lang w:val="en-GB"/>
        </w:rPr>
        <w:footnoteReference w:id="30"/>
      </w:r>
      <w:r w:rsidRPr="00BC1ABD">
        <w:rPr>
          <w:rFonts w:eastAsia="Times New Roman" w:cs="Arial"/>
          <w:sz w:val="24"/>
          <w:szCs w:val="24"/>
          <w:lang w:val="en-GB"/>
        </w:rPr>
        <w:t>, as well as all previous Recommendation of 2014</w:t>
      </w:r>
      <w:r w:rsidRPr="00BC1ABD">
        <w:rPr>
          <w:rFonts w:eastAsia="Times New Roman" w:cs="Arial"/>
          <w:sz w:val="24"/>
          <w:szCs w:val="24"/>
          <w:vertAlign w:val="superscript"/>
          <w:lang w:val="en-GB"/>
        </w:rPr>
        <w:footnoteReference w:id="31"/>
      </w:r>
      <w:r w:rsidRPr="00BC1ABD">
        <w:rPr>
          <w:rFonts w:eastAsia="Times New Roman" w:cs="Arial"/>
          <w:sz w:val="24"/>
          <w:szCs w:val="24"/>
          <w:lang w:val="en-GB"/>
        </w:rPr>
        <w:t xml:space="preserve">, which do not list retail markets as markets susceptible to </w:t>
      </w:r>
      <w:r w:rsidRPr="00BC1ABD">
        <w:rPr>
          <w:rFonts w:eastAsia="Times New Roman" w:cs="Arial"/>
          <w:i/>
          <w:iCs/>
          <w:sz w:val="24"/>
          <w:szCs w:val="24"/>
          <w:lang w:val="en-GB"/>
        </w:rPr>
        <w:t>ex-ante</w:t>
      </w:r>
      <w:r w:rsidRPr="00BC1ABD">
        <w:rPr>
          <w:rFonts w:eastAsia="Times New Roman" w:cs="Arial"/>
          <w:sz w:val="24"/>
          <w:szCs w:val="24"/>
          <w:lang w:val="en-GB"/>
        </w:rPr>
        <w:t xml:space="preserve"> regulation for EU Member States. All the defined markets from 2014 onwards are wholesale markets, because the European Commission believes that, where there are still competition issues at the retail level, effective </w:t>
      </w:r>
      <w:r w:rsidRPr="00BC1ABD">
        <w:rPr>
          <w:rFonts w:eastAsia="Times New Roman" w:cs="Arial"/>
          <w:i/>
          <w:iCs/>
          <w:sz w:val="24"/>
          <w:szCs w:val="24"/>
          <w:lang w:val="en-GB"/>
        </w:rPr>
        <w:t>ex-ante</w:t>
      </w:r>
      <w:r w:rsidRPr="00BC1ABD">
        <w:rPr>
          <w:rFonts w:eastAsia="Times New Roman" w:cs="Arial"/>
          <w:sz w:val="24"/>
          <w:szCs w:val="24"/>
          <w:lang w:val="en-GB"/>
        </w:rPr>
        <w:t xml:space="preserve"> regulation at the wholesale level will ensure competition at the retail level.</w:t>
      </w:r>
    </w:p>
    <w:p w14:paraId="6B2B63CE" w14:textId="70BCA0C6" w:rsidR="00C435F6" w:rsidRPr="00BC1ABD" w:rsidRDefault="001265D8" w:rsidP="001265D8">
      <w:pPr>
        <w:spacing w:after="160" w:line="256" w:lineRule="auto"/>
        <w:jc w:val="both"/>
        <w:rPr>
          <w:rFonts w:asciiTheme="minorHAnsi" w:hAnsiTheme="minorHAnsi" w:cstheme="minorHAnsi"/>
          <w:sz w:val="24"/>
          <w:szCs w:val="24"/>
          <w:lang w:val="en-GB"/>
        </w:rPr>
      </w:pPr>
      <w:r w:rsidRPr="00BC1ABD">
        <w:rPr>
          <w:rFonts w:asciiTheme="minorHAnsi" w:eastAsia="Times New Roman" w:hAnsiTheme="minorHAnsi" w:cs="Calibri"/>
          <w:sz w:val="24"/>
          <w:szCs w:val="24"/>
          <w:lang w:val="en-GB"/>
        </w:rPr>
        <w:t>When reviewing wholesale markets, the limited share of wholesale offers may influence the assessment of market power of the respective players on that market. In such cases, the Methodological Rules allow</w:t>
      </w:r>
      <w:r w:rsidR="00E53798">
        <w:rPr>
          <w:rFonts w:asciiTheme="minorHAnsi" w:eastAsia="Times New Roman" w:hAnsiTheme="minorHAnsi" w:cs="Calibri"/>
          <w:sz w:val="24"/>
          <w:szCs w:val="24"/>
          <w:lang w:val="en-GB"/>
        </w:rPr>
        <w:t xml:space="preserve"> </w:t>
      </w:r>
      <w:r w:rsidRPr="00BC1ABD">
        <w:rPr>
          <w:rFonts w:asciiTheme="minorHAnsi" w:eastAsia="Times New Roman" w:hAnsiTheme="minorHAnsi" w:cs="Calibri"/>
          <w:iCs/>
          <w:sz w:val="24"/>
          <w:szCs w:val="24"/>
          <w:lang w:val="en-GB"/>
        </w:rPr>
        <w:t>taking into account the theoretical self-supply of vertically integrated operators.</w:t>
      </w:r>
      <w:r w:rsidRPr="00BC1ABD">
        <w:rPr>
          <w:rFonts w:asciiTheme="minorHAnsi" w:eastAsia="Times New Roman" w:hAnsiTheme="minorHAnsi" w:cs="Calibri"/>
          <w:iCs/>
          <w:sz w:val="24"/>
          <w:szCs w:val="24"/>
          <w:vertAlign w:val="superscript"/>
          <w:lang w:val="en-GB"/>
        </w:rPr>
        <w:footnoteReference w:id="32"/>
      </w:r>
    </w:p>
    <w:p w14:paraId="7AA0CB18" w14:textId="68838174" w:rsidR="00C435F6" w:rsidRPr="00BC1ABD" w:rsidRDefault="00C435F6" w:rsidP="00EB11F7">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6" w:name="_Toc146107776"/>
      <w:bookmarkStart w:id="27" w:name="_Toc169258896"/>
      <w:r w:rsidRPr="00BC1ABD">
        <w:rPr>
          <w:rFonts w:asciiTheme="minorHAnsi" w:hAnsiTheme="minorHAnsi" w:cstheme="minorHAnsi"/>
          <w:b w:val="0"/>
          <w:bCs w:val="0"/>
          <w:sz w:val="24"/>
          <w:szCs w:val="24"/>
          <w:lang w:val="en-GB"/>
        </w:rPr>
        <w:t xml:space="preserve">Fourth step: </w:t>
      </w:r>
      <w:r w:rsidR="00E53798">
        <w:rPr>
          <w:rFonts w:asciiTheme="minorHAnsi" w:hAnsiTheme="minorHAnsi" w:cstheme="minorHAnsi"/>
          <w:b w:val="0"/>
          <w:bCs w:val="0"/>
          <w:sz w:val="24"/>
          <w:szCs w:val="24"/>
          <w:lang w:val="en-GB"/>
        </w:rPr>
        <w:t>T</w:t>
      </w:r>
      <w:r w:rsidRPr="00BC1ABD">
        <w:rPr>
          <w:rFonts w:asciiTheme="minorHAnsi" w:hAnsiTheme="minorHAnsi" w:cstheme="minorHAnsi"/>
          <w:b w:val="0"/>
          <w:bCs w:val="0"/>
          <w:sz w:val="24"/>
          <w:szCs w:val="24"/>
          <w:lang w:val="en-GB"/>
        </w:rPr>
        <w:t xml:space="preserve">he </w:t>
      </w:r>
      <w:r w:rsidR="00E53798">
        <w:rPr>
          <w:rFonts w:asciiTheme="minorHAnsi" w:hAnsiTheme="minorHAnsi" w:cstheme="minorHAnsi"/>
          <w:b w:val="0"/>
          <w:bCs w:val="0"/>
          <w:sz w:val="24"/>
          <w:szCs w:val="24"/>
          <w:lang w:val="en-GB"/>
        </w:rPr>
        <w:t>‘T</w:t>
      </w:r>
      <w:r w:rsidRPr="00BC1ABD">
        <w:rPr>
          <w:rFonts w:asciiTheme="minorHAnsi" w:hAnsiTheme="minorHAnsi" w:cstheme="minorHAnsi"/>
          <w:b w:val="0"/>
          <w:bCs w:val="0"/>
          <w:sz w:val="24"/>
          <w:szCs w:val="24"/>
          <w:lang w:val="en-GB"/>
        </w:rPr>
        <w:t xml:space="preserve">hree </w:t>
      </w:r>
      <w:r w:rsidR="00E53798">
        <w:rPr>
          <w:rFonts w:asciiTheme="minorHAnsi" w:hAnsiTheme="minorHAnsi" w:cstheme="minorHAnsi"/>
          <w:b w:val="0"/>
          <w:bCs w:val="0"/>
          <w:sz w:val="24"/>
          <w:szCs w:val="24"/>
          <w:lang w:val="en-GB"/>
        </w:rPr>
        <w:t>C</w:t>
      </w:r>
      <w:r w:rsidRPr="00BC1ABD">
        <w:rPr>
          <w:rFonts w:asciiTheme="minorHAnsi" w:hAnsiTheme="minorHAnsi" w:cstheme="minorHAnsi"/>
          <w:b w:val="0"/>
          <w:bCs w:val="0"/>
          <w:sz w:val="24"/>
          <w:szCs w:val="24"/>
          <w:lang w:val="en-GB"/>
        </w:rPr>
        <w:t xml:space="preserve">riteria </w:t>
      </w:r>
      <w:r w:rsidR="00E53798">
        <w:rPr>
          <w:rFonts w:asciiTheme="minorHAnsi" w:hAnsiTheme="minorHAnsi" w:cstheme="minorHAnsi"/>
          <w:b w:val="0"/>
          <w:bCs w:val="0"/>
          <w:sz w:val="24"/>
          <w:szCs w:val="24"/>
          <w:lang w:val="en-GB"/>
        </w:rPr>
        <w:t>T</w:t>
      </w:r>
      <w:r w:rsidRPr="00BC1ABD">
        <w:rPr>
          <w:rFonts w:asciiTheme="minorHAnsi" w:hAnsiTheme="minorHAnsi" w:cstheme="minorHAnsi"/>
          <w:b w:val="0"/>
          <w:bCs w:val="0"/>
          <w:sz w:val="24"/>
          <w:szCs w:val="24"/>
          <w:lang w:val="en-GB"/>
        </w:rPr>
        <w:t>est</w:t>
      </w:r>
      <w:r w:rsidR="00E53798">
        <w:rPr>
          <w:rFonts w:asciiTheme="minorHAnsi" w:hAnsiTheme="minorHAnsi" w:cstheme="minorHAnsi"/>
          <w:b w:val="0"/>
          <w:bCs w:val="0"/>
          <w:sz w:val="24"/>
          <w:szCs w:val="24"/>
          <w:lang w:val="en-GB"/>
        </w:rPr>
        <w:t>’</w:t>
      </w:r>
      <w:r w:rsidRPr="00BC1ABD">
        <w:rPr>
          <w:rFonts w:asciiTheme="minorHAnsi" w:hAnsiTheme="minorHAnsi" w:cstheme="minorHAnsi"/>
          <w:b w:val="0"/>
          <w:bCs w:val="0"/>
          <w:sz w:val="24"/>
          <w:szCs w:val="24"/>
          <w:lang w:val="en-GB"/>
        </w:rPr>
        <w:t>.</w:t>
      </w:r>
      <w:bookmarkEnd w:id="26"/>
      <w:bookmarkEnd w:id="27"/>
    </w:p>
    <w:p w14:paraId="10DFCB76" w14:textId="77777777" w:rsidR="00A1177B" w:rsidRPr="00494A43" w:rsidRDefault="00E03272" w:rsidP="00A1177B">
      <w:pPr>
        <w:spacing w:after="160" w:line="259" w:lineRule="auto"/>
        <w:jc w:val="both"/>
        <w:rPr>
          <w:rFonts w:eastAsia="Times New Roman"/>
          <w:sz w:val="24"/>
          <w:szCs w:val="24"/>
          <w:lang w:val="en-GB"/>
        </w:rPr>
      </w:pPr>
      <w:bookmarkStart w:id="28" w:name="_Toc125912843"/>
      <w:bookmarkStart w:id="29" w:name="_Toc125998346"/>
      <w:bookmarkStart w:id="30" w:name="_Toc126157977"/>
      <w:bookmarkStart w:id="31" w:name="_Toc126170176"/>
      <w:bookmarkStart w:id="32" w:name="_Toc126171870"/>
      <w:bookmarkEnd w:id="28"/>
      <w:bookmarkEnd w:id="29"/>
      <w:bookmarkEnd w:id="30"/>
      <w:bookmarkEnd w:id="31"/>
      <w:bookmarkEnd w:id="32"/>
      <w:r w:rsidRPr="00BC1ABD">
        <w:rPr>
          <w:rFonts w:eastAsia="Times New Roman"/>
          <w:sz w:val="24"/>
          <w:szCs w:val="24"/>
          <w:lang w:val="en-GB"/>
        </w:rPr>
        <w:t>The three criteria test is not mentioned in the law but</w:t>
      </w:r>
      <w:r w:rsidRPr="00BC1ABD">
        <w:rPr>
          <w:rFonts w:eastAsia="Times New Roman" w:cs="Arial"/>
          <w:sz w:val="24"/>
          <w:szCs w:val="24"/>
          <w:lang w:val="en-GB"/>
        </w:rPr>
        <w:t xml:space="preserve"> is included in the methodological rules.</w:t>
      </w:r>
      <w:r w:rsidRPr="00BC1ABD">
        <w:rPr>
          <w:rFonts w:eastAsia="Times New Roman" w:cs="Arial"/>
          <w:sz w:val="24"/>
          <w:szCs w:val="24"/>
          <w:vertAlign w:val="superscript"/>
          <w:lang w:val="en-GB"/>
        </w:rPr>
        <w:footnoteReference w:id="33"/>
      </w:r>
      <w:r w:rsidRPr="00BC1ABD">
        <w:rPr>
          <w:rFonts w:eastAsia="Times New Roman" w:cs="Arial"/>
          <w:sz w:val="24"/>
          <w:szCs w:val="24"/>
          <w:lang w:val="en-GB"/>
        </w:rPr>
        <w:t xml:space="preserve"> </w:t>
      </w:r>
      <w:r w:rsidR="00A1177B">
        <w:rPr>
          <w:rFonts w:eastAsia="Times New Roman" w:cs="Arial"/>
          <w:sz w:val="24"/>
          <w:szCs w:val="24"/>
          <w:lang w:val="en-GB"/>
        </w:rPr>
        <w:t xml:space="preserve">According to this test, a relevant market is only susceptible of </w:t>
      </w:r>
      <w:r w:rsidR="00A1177B" w:rsidRPr="00B016C8">
        <w:rPr>
          <w:rFonts w:eastAsia="Times New Roman" w:cs="Arial"/>
          <w:i/>
          <w:iCs/>
          <w:sz w:val="24"/>
          <w:szCs w:val="24"/>
          <w:lang w:val="en-GB"/>
        </w:rPr>
        <w:t>ex-ante</w:t>
      </w:r>
      <w:r w:rsidR="00A1177B">
        <w:rPr>
          <w:rFonts w:eastAsia="Times New Roman" w:cs="Arial"/>
          <w:sz w:val="24"/>
          <w:szCs w:val="24"/>
          <w:lang w:val="en-GB"/>
        </w:rPr>
        <w:t xml:space="preserve"> regulation if this market fulfils </w:t>
      </w:r>
      <w:r w:rsidR="00A1177B" w:rsidRPr="00494A43">
        <w:rPr>
          <w:rFonts w:eastAsia="Times New Roman"/>
          <w:sz w:val="24"/>
          <w:szCs w:val="24"/>
          <w:lang w:val="en-GB"/>
        </w:rPr>
        <w:t>the following three criteria simultaneously:</w:t>
      </w:r>
    </w:p>
    <w:p w14:paraId="30A32CEF" w14:textId="057092EA" w:rsidR="00896049" w:rsidRPr="002167F6" w:rsidRDefault="00A1177B" w:rsidP="002167F6">
      <w:pPr>
        <w:pStyle w:val="ListParagraph"/>
        <w:numPr>
          <w:ilvl w:val="0"/>
          <w:numId w:val="100"/>
        </w:numPr>
        <w:spacing w:after="160" w:line="259" w:lineRule="auto"/>
        <w:jc w:val="both"/>
        <w:rPr>
          <w:rFonts w:eastAsiaTheme="minorHAnsi" w:cs="Calibri"/>
          <w:color w:val="000000"/>
          <w:sz w:val="24"/>
          <w:szCs w:val="24"/>
          <w:lang w:val="en-US"/>
        </w:rPr>
      </w:pPr>
      <w:r w:rsidRPr="00241EFD">
        <w:rPr>
          <w:rFonts w:eastAsia="Times New Roman"/>
          <w:sz w:val="24"/>
          <w:szCs w:val="24"/>
          <w:lang w:val="en-GB"/>
        </w:rPr>
        <w:t xml:space="preserve">The </w:t>
      </w:r>
      <w:r>
        <w:rPr>
          <w:rFonts w:eastAsia="Times New Roman"/>
          <w:sz w:val="24"/>
          <w:szCs w:val="24"/>
          <w:lang w:val="en-GB"/>
        </w:rPr>
        <w:t>market is characteri</w:t>
      </w:r>
      <w:r w:rsidR="00E53798">
        <w:rPr>
          <w:rFonts w:eastAsia="Times New Roman"/>
          <w:sz w:val="24"/>
          <w:szCs w:val="24"/>
          <w:lang w:val="en-GB"/>
        </w:rPr>
        <w:t>s</w:t>
      </w:r>
      <w:r>
        <w:rPr>
          <w:rFonts w:eastAsia="Times New Roman"/>
          <w:sz w:val="24"/>
          <w:szCs w:val="24"/>
          <w:lang w:val="en-GB"/>
        </w:rPr>
        <w:t xml:space="preserve">ed by </w:t>
      </w:r>
      <w:r w:rsidRPr="00241EFD">
        <w:rPr>
          <w:rFonts w:eastAsia="Times New Roman"/>
          <w:sz w:val="24"/>
          <w:szCs w:val="24"/>
          <w:lang w:val="en-GB"/>
        </w:rPr>
        <w:t>high and non-transitory market entry barriers</w:t>
      </w:r>
      <w:r>
        <w:rPr>
          <w:rFonts w:eastAsia="Times New Roman"/>
          <w:sz w:val="24"/>
          <w:szCs w:val="24"/>
          <w:lang w:val="en-GB"/>
        </w:rPr>
        <w:t xml:space="preserve">. Barriers to entry can </w:t>
      </w:r>
      <w:r w:rsidRPr="00241EFD">
        <w:rPr>
          <w:rFonts w:eastAsia="Times New Roman"/>
          <w:sz w:val="24"/>
          <w:szCs w:val="24"/>
          <w:lang w:val="en-GB"/>
        </w:rPr>
        <w:t>be structural, legal or regulatory</w:t>
      </w:r>
      <w:r>
        <w:rPr>
          <w:rFonts w:eastAsia="Times New Roman"/>
          <w:sz w:val="24"/>
          <w:szCs w:val="24"/>
          <w:lang w:val="en-GB"/>
        </w:rPr>
        <w:t>.</w:t>
      </w:r>
    </w:p>
    <w:p w14:paraId="7EFF9AE5" w14:textId="64FA1A9C" w:rsidR="00896049" w:rsidRPr="002167F6" w:rsidRDefault="00896049" w:rsidP="002167F6">
      <w:pPr>
        <w:numPr>
          <w:ilvl w:val="0"/>
          <w:numId w:val="100"/>
        </w:numPr>
        <w:autoSpaceDE w:val="0"/>
        <w:autoSpaceDN w:val="0"/>
        <w:adjustRightInd w:val="0"/>
        <w:spacing w:after="0" w:line="240" w:lineRule="auto"/>
        <w:jc w:val="both"/>
        <w:rPr>
          <w:rFonts w:eastAsiaTheme="minorHAnsi" w:cs="Calibri"/>
          <w:color w:val="000000"/>
          <w:sz w:val="23"/>
          <w:szCs w:val="23"/>
          <w:highlight w:val="green"/>
          <w:lang w:val="en-US"/>
        </w:rPr>
      </w:pPr>
      <w:r w:rsidRPr="002167F6">
        <w:rPr>
          <w:rFonts w:eastAsiaTheme="minorHAnsi" w:cs="Calibri"/>
          <w:color w:val="000000"/>
          <w:sz w:val="23"/>
          <w:szCs w:val="23"/>
          <w:highlight w:val="green"/>
          <w:lang w:val="en-US"/>
        </w:rPr>
        <w:t>The market is not prone to effective competition irrespective of the possible barriers to entry. In considering this second criterion, it is acknowledged that even if there are barriers to entry (that is the first criterion is fulfilled),</w:t>
      </w:r>
      <w:r w:rsidR="004E443D" w:rsidRPr="002167F6">
        <w:rPr>
          <w:rStyle w:val="FootnoteReference"/>
          <w:rFonts w:eastAsiaTheme="minorHAnsi" w:cs="Calibri"/>
          <w:color w:val="000000"/>
          <w:sz w:val="23"/>
          <w:szCs w:val="23"/>
          <w:highlight w:val="green"/>
          <w:lang w:val="en-US"/>
        </w:rPr>
        <w:footnoteReference w:id="34"/>
      </w:r>
      <w:r w:rsidRPr="002167F6">
        <w:rPr>
          <w:rFonts w:eastAsiaTheme="minorHAnsi" w:cs="Calibri"/>
          <w:color w:val="000000"/>
          <w:sz w:val="23"/>
          <w:szCs w:val="23"/>
          <w:highlight w:val="green"/>
          <w:lang w:val="en-US"/>
        </w:rPr>
        <w:t>then the second criterion is not necessarily fulfilled,</w:t>
      </w:r>
      <w:r w:rsidRPr="002167F6">
        <w:rPr>
          <w:rStyle w:val="FootnoteReference"/>
          <w:sz w:val="23"/>
          <w:szCs w:val="23"/>
          <w:highlight w:val="green"/>
        </w:rPr>
        <w:t>38</w:t>
      </w:r>
      <w:r w:rsidRPr="002167F6">
        <w:rPr>
          <w:rFonts w:eastAsiaTheme="minorHAnsi" w:cs="Calibri"/>
          <w:color w:val="000000"/>
          <w:sz w:val="16"/>
          <w:szCs w:val="16"/>
          <w:highlight w:val="green"/>
          <w:lang w:val="en-US"/>
        </w:rPr>
        <w:t xml:space="preserve"> </w:t>
      </w:r>
      <w:r w:rsidRPr="002167F6">
        <w:rPr>
          <w:rFonts w:eastAsiaTheme="minorHAnsi" w:cs="Calibri"/>
          <w:color w:val="000000"/>
          <w:sz w:val="23"/>
          <w:szCs w:val="23"/>
          <w:highlight w:val="green"/>
          <w:lang w:val="en-US"/>
        </w:rPr>
        <w:t xml:space="preserve">ComCom must demonstrate first that the market is not likely to become effectively competitive in the absence </w:t>
      </w:r>
      <w:r w:rsidRPr="002167F6">
        <w:rPr>
          <w:rFonts w:eastAsiaTheme="minorHAnsi" w:cs="Calibri"/>
          <w:i/>
          <w:iCs/>
          <w:color w:val="000000"/>
          <w:sz w:val="23"/>
          <w:szCs w:val="23"/>
          <w:highlight w:val="green"/>
          <w:lang w:val="en-US"/>
        </w:rPr>
        <w:t xml:space="preserve">ex-ante </w:t>
      </w:r>
      <w:r w:rsidRPr="002167F6">
        <w:rPr>
          <w:rFonts w:eastAsiaTheme="minorHAnsi" w:cs="Calibri"/>
          <w:color w:val="000000"/>
          <w:sz w:val="23"/>
          <w:szCs w:val="23"/>
          <w:highlight w:val="green"/>
          <w:lang w:val="en-US"/>
        </w:rPr>
        <w:t xml:space="preserve">regulation during the review period, for example by providing evidence of the absence of any positive dynamics in the market at </w:t>
      </w:r>
      <w:r w:rsidR="00CC2A37">
        <w:rPr>
          <w:rFonts w:eastAsiaTheme="minorHAnsi" w:cs="Calibri"/>
          <w:color w:val="000000"/>
          <w:sz w:val="23"/>
          <w:szCs w:val="23"/>
          <w:highlight w:val="green"/>
          <w:lang w:val="en-US"/>
        </w:rPr>
        <w:t xml:space="preserve">the </w:t>
      </w:r>
      <w:r w:rsidRPr="002167F6">
        <w:rPr>
          <w:rFonts w:eastAsiaTheme="minorHAnsi" w:cs="Calibri"/>
          <w:color w:val="000000"/>
          <w:sz w:val="23"/>
          <w:szCs w:val="23"/>
          <w:highlight w:val="green"/>
          <w:lang w:val="en-US"/>
        </w:rPr>
        <w:t xml:space="preserve">time of the review. Indicators of such positive dynamics include the existence of commercial agreements, including wholesale access, co-investment agreements and bilateral access agreements between operators, which are long-term and sustainable and have the potential to improve competitive dynamics. </w:t>
      </w:r>
    </w:p>
    <w:p w14:paraId="4C8DFFCE" w14:textId="6CF69887" w:rsidR="00A1177B" w:rsidRPr="00241EFD" w:rsidRDefault="00E53798" w:rsidP="00A1177B">
      <w:pPr>
        <w:pStyle w:val="ListParagraph"/>
        <w:numPr>
          <w:ilvl w:val="0"/>
          <w:numId w:val="100"/>
        </w:numPr>
        <w:spacing w:after="160" w:line="259" w:lineRule="auto"/>
        <w:jc w:val="both"/>
        <w:rPr>
          <w:rFonts w:eastAsia="Times New Roman"/>
          <w:sz w:val="24"/>
          <w:szCs w:val="24"/>
          <w:lang w:val="en-GB"/>
        </w:rPr>
      </w:pPr>
      <w:r>
        <w:rPr>
          <w:rFonts w:eastAsia="Times New Roman"/>
          <w:sz w:val="24"/>
          <w:szCs w:val="24"/>
          <w:lang w:val="en-GB"/>
        </w:rPr>
        <w:t>G</w:t>
      </w:r>
      <w:r w:rsidR="00A1177B" w:rsidRPr="00241EFD">
        <w:rPr>
          <w:rFonts w:eastAsia="Times New Roman"/>
          <w:sz w:val="24"/>
          <w:szCs w:val="24"/>
          <w:lang w:val="en-GB"/>
        </w:rPr>
        <w:t xml:space="preserve">eneral competition law </w:t>
      </w:r>
      <w:r w:rsidR="00A1177B">
        <w:rPr>
          <w:rFonts w:eastAsia="Times New Roman"/>
          <w:sz w:val="24"/>
          <w:szCs w:val="24"/>
          <w:lang w:val="en-GB"/>
        </w:rPr>
        <w:t xml:space="preserve">does not suffice </w:t>
      </w:r>
      <w:r w:rsidR="00A1177B" w:rsidRPr="00241EFD">
        <w:rPr>
          <w:rFonts w:eastAsia="Times New Roman"/>
          <w:sz w:val="24"/>
          <w:szCs w:val="24"/>
          <w:lang w:val="en-GB"/>
        </w:rPr>
        <w:t xml:space="preserve">to </w:t>
      </w:r>
      <w:r w:rsidR="00A1177B">
        <w:rPr>
          <w:rFonts w:eastAsia="Times New Roman"/>
          <w:sz w:val="24"/>
          <w:szCs w:val="24"/>
          <w:lang w:val="en-GB"/>
        </w:rPr>
        <w:t xml:space="preserve">address the identified </w:t>
      </w:r>
      <w:r w:rsidR="00A1177B" w:rsidRPr="00241EFD">
        <w:rPr>
          <w:rFonts w:eastAsia="Times New Roman"/>
          <w:sz w:val="24"/>
          <w:szCs w:val="24"/>
          <w:lang w:val="en-GB"/>
        </w:rPr>
        <w:t xml:space="preserve">market barriers, </w:t>
      </w:r>
      <w:r w:rsidR="00A1177B">
        <w:rPr>
          <w:rFonts w:eastAsia="Times New Roman"/>
          <w:sz w:val="24"/>
          <w:szCs w:val="24"/>
          <w:lang w:val="en-GB"/>
        </w:rPr>
        <w:t xml:space="preserve">for example because of the need to intervene in a </w:t>
      </w:r>
      <w:r w:rsidR="00A1177B" w:rsidRPr="00241EFD">
        <w:rPr>
          <w:rFonts w:eastAsia="Times New Roman"/>
          <w:sz w:val="24"/>
          <w:szCs w:val="24"/>
          <w:lang w:val="en-GB"/>
        </w:rPr>
        <w:t>prevent</w:t>
      </w:r>
      <w:r w:rsidR="00A1177B">
        <w:rPr>
          <w:rFonts w:eastAsia="Times New Roman"/>
          <w:sz w:val="24"/>
          <w:szCs w:val="24"/>
          <w:lang w:val="en-GB"/>
        </w:rPr>
        <w:t>ive manner, before</w:t>
      </w:r>
      <w:r w:rsidR="00A1177B" w:rsidRPr="00241EFD">
        <w:rPr>
          <w:rFonts w:eastAsia="Times New Roman"/>
          <w:sz w:val="24"/>
          <w:szCs w:val="24"/>
          <w:lang w:val="en-GB"/>
        </w:rPr>
        <w:t xml:space="preserve"> anti-competitive </w:t>
      </w:r>
      <w:r w:rsidR="00A1177B">
        <w:rPr>
          <w:rFonts w:eastAsia="Times New Roman"/>
          <w:sz w:val="24"/>
          <w:szCs w:val="24"/>
          <w:lang w:val="en-GB"/>
        </w:rPr>
        <w:t>behaviour that would affect significantly the market structure, is implemented</w:t>
      </w:r>
      <w:r w:rsidR="00A1177B" w:rsidRPr="00241EFD">
        <w:rPr>
          <w:rFonts w:eastAsia="Times New Roman"/>
          <w:sz w:val="24"/>
          <w:szCs w:val="24"/>
          <w:lang w:val="en-GB"/>
        </w:rPr>
        <w:t>.</w:t>
      </w:r>
    </w:p>
    <w:p w14:paraId="31DCE2F0" w14:textId="4B465B91" w:rsidR="00E03272" w:rsidRPr="00BC1ABD" w:rsidRDefault="00E03272" w:rsidP="00A1177B">
      <w:pPr>
        <w:spacing w:after="160" w:line="259" w:lineRule="auto"/>
        <w:jc w:val="both"/>
        <w:rPr>
          <w:rFonts w:eastAsia="Times New Roman"/>
          <w:sz w:val="24"/>
          <w:szCs w:val="24"/>
          <w:lang w:val="en-GB"/>
        </w:rPr>
      </w:pPr>
      <w:r w:rsidRPr="00BC1ABD">
        <w:rPr>
          <w:rFonts w:eastAsia="Times New Roman"/>
          <w:sz w:val="24"/>
          <w:szCs w:val="24"/>
          <w:lang w:val="en-GB"/>
        </w:rPr>
        <w:t xml:space="preserve">On performing the three-criteria test, the starting point is today's market conditions, then an extended view to incorporate a forward-looking perspective. </w:t>
      </w:r>
    </w:p>
    <w:p w14:paraId="01FACFE8" w14:textId="6533B280" w:rsidR="00E03272" w:rsidRDefault="00E03272" w:rsidP="00E03272">
      <w:pPr>
        <w:spacing w:after="160" w:line="259" w:lineRule="auto"/>
        <w:jc w:val="both"/>
        <w:rPr>
          <w:rFonts w:eastAsia="Times New Roman"/>
          <w:sz w:val="24"/>
          <w:szCs w:val="24"/>
          <w:lang w:val="en-GB"/>
        </w:rPr>
      </w:pPr>
      <w:r w:rsidRPr="00BC1ABD">
        <w:rPr>
          <w:rFonts w:eastAsia="Times New Roman"/>
          <w:sz w:val="24"/>
          <w:szCs w:val="24"/>
          <w:lang w:val="en-GB"/>
        </w:rPr>
        <w:t>The assessment of whether the three criteria are fulfilled will also be based on the “modified greenfield approach”</w:t>
      </w:r>
      <w:r w:rsidRPr="00BC1ABD">
        <w:rPr>
          <w:rFonts w:eastAsia="Times New Roman"/>
          <w:sz w:val="24"/>
          <w:szCs w:val="24"/>
          <w:vertAlign w:val="superscript"/>
          <w:lang w:val="en-GB"/>
        </w:rPr>
        <w:footnoteReference w:id="35"/>
      </w:r>
      <w:r w:rsidRPr="00BC1ABD">
        <w:rPr>
          <w:rFonts w:eastAsia="Times New Roman"/>
          <w:sz w:val="24"/>
          <w:szCs w:val="24"/>
          <w:lang w:val="en-GB"/>
        </w:rPr>
        <w:t>. At the same time, regulation in adjacent markets must be taken into account.</w:t>
      </w:r>
    </w:p>
    <w:p w14:paraId="628797B1" w14:textId="0DEDDC14" w:rsidR="00A1177B" w:rsidRPr="00BC1ABD" w:rsidRDefault="00A1177B" w:rsidP="00A1177B">
      <w:pPr>
        <w:spacing w:after="160" w:line="259" w:lineRule="auto"/>
        <w:jc w:val="both"/>
        <w:rPr>
          <w:rFonts w:asciiTheme="minorHAnsi" w:eastAsia="Times New Roman" w:hAnsiTheme="minorHAnsi" w:cs="Calibri"/>
          <w:bCs/>
          <w:sz w:val="24"/>
          <w:szCs w:val="24"/>
          <w:lang w:val="en-GB"/>
        </w:rPr>
      </w:pPr>
      <w:r>
        <w:rPr>
          <w:rFonts w:asciiTheme="minorHAnsi" w:eastAsia="Times New Roman" w:hAnsiTheme="minorHAnsi" w:cs="Calibri"/>
          <w:bCs/>
          <w:sz w:val="24"/>
          <w:szCs w:val="24"/>
          <w:lang w:val="en-GB"/>
        </w:rPr>
        <w:t xml:space="preserve">When applying the third criterion of the above three criteria test, a specific feature Georgian law must be considered, the fact that ComCom is also entrusted with competition law powers. </w:t>
      </w:r>
      <w:r w:rsidRPr="00BC1ABD">
        <w:rPr>
          <w:rFonts w:asciiTheme="minorHAnsi" w:eastAsia="Times New Roman" w:hAnsiTheme="minorHAnsi" w:cs="Calibri"/>
          <w:bCs/>
          <w:sz w:val="24"/>
          <w:szCs w:val="24"/>
          <w:lang w:val="en-GB"/>
        </w:rPr>
        <w:t xml:space="preserve">Article 31(1) of the </w:t>
      </w:r>
      <w:r w:rsidRPr="00E517D9">
        <w:rPr>
          <w:lang w:val="en-US"/>
        </w:rPr>
        <w:t>Georgian law on competition</w:t>
      </w:r>
      <w:r w:rsidRPr="00BC1ABD">
        <w:rPr>
          <w:rFonts w:eastAsia="Times New Roman"/>
          <w:sz w:val="24"/>
          <w:szCs w:val="24"/>
          <w:vertAlign w:val="superscript"/>
          <w:lang w:val="en-GB"/>
        </w:rPr>
        <w:footnoteReference w:id="36"/>
      </w:r>
      <w:r w:rsidRPr="00BC1ABD">
        <w:rPr>
          <w:rFonts w:asciiTheme="minorHAnsi" w:eastAsia="Times New Roman" w:hAnsiTheme="minorHAnsi" w:cs="Calibri"/>
          <w:bCs/>
          <w:sz w:val="24"/>
          <w:szCs w:val="24"/>
          <w:lang w:val="en-GB"/>
        </w:rPr>
        <w:t xml:space="preserve"> </w:t>
      </w:r>
      <w:r w:rsidR="00E53798">
        <w:rPr>
          <w:rFonts w:asciiTheme="minorHAnsi" w:eastAsia="Times New Roman" w:hAnsiTheme="minorHAnsi" w:cs="Calibri"/>
          <w:bCs/>
          <w:sz w:val="24"/>
          <w:szCs w:val="24"/>
          <w:lang w:val="en-GB"/>
        </w:rPr>
        <w:t xml:space="preserve">states that </w:t>
      </w:r>
      <w:r w:rsidRPr="00BC1ABD">
        <w:rPr>
          <w:rFonts w:asciiTheme="minorHAnsi" w:eastAsia="Times New Roman" w:hAnsiTheme="minorHAnsi" w:cs="Calibri"/>
          <w:bCs/>
          <w:i/>
          <w:iCs/>
          <w:sz w:val="24"/>
          <w:szCs w:val="24"/>
          <w:lang w:val="en-GB"/>
        </w:rPr>
        <w:t>“If a complaint regarding an alleged distortion of competition in a regulated sector of the economy is submitted to the Agency, the Agency shall forward this complaint to the regulatory authority of the relevant regulated sector of the economy”.</w:t>
      </w:r>
      <w:r w:rsidRPr="00BC1ABD">
        <w:rPr>
          <w:rFonts w:asciiTheme="minorHAnsi" w:eastAsia="Times New Roman" w:hAnsiTheme="minorHAnsi" w:cs="Calibri"/>
          <w:bCs/>
          <w:sz w:val="24"/>
          <w:szCs w:val="24"/>
          <w:lang w:val="en-GB"/>
        </w:rPr>
        <w:t xml:space="preserve"> In the case of the broadcasting and electronic communications sectors, the competent regulatory authority to apply competition law is ComCom.</w:t>
      </w:r>
    </w:p>
    <w:p w14:paraId="06D345EF" w14:textId="77777777" w:rsidR="00A1177B" w:rsidRDefault="00A1177B" w:rsidP="00A1177B">
      <w:pPr>
        <w:spacing w:after="160" w:line="259" w:lineRule="auto"/>
        <w:jc w:val="both"/>
        <w:rPr>
          <w:rFonts w:asciiTheme="minorHAnsi" w:eastAsia="Times New Roman" w:hAnsiTheme="minorHAnsi" w:cs="Calibri"/>
          <w:bCs/>
          <w:sz w:val="24"/>
          <w:szCs w:val="24"/>
          <w:lang w:val="en-GB"/>
        </w:rPr>
      </w:pPr>
      <w:r w:rsidRPr="00BC1ABD">
        <w:rPr>
          <w:rFonts w:asciiTheme="minorHAnsi" w:eastAsia="Times New Roman" w:hAnsiTheme="minorHAnsi" w:cs="Calibri"/>
          <w:bCs/>
          <w:sz w:val="24"/>
          <w:szCs w:val="24"/>
          <w:lang w:val="en-GB"/>
        </w:rPr>
        <w:t>ComCom has adopted procedural rules for the implementation of its competition law powers by Resolution No. 4 of 15 July 2021, which also amended Resolution No. 1 of the National Communications Commission of Georgia dated June 27, 2003 on “</w:t>
      </w:r>
      <w:r w:rsidRPr="00BC1ABD">
        <w:rPr>
          <w:rFonts w:asciiTheme="minorHAnsi" w:eastAsia="Times New Roman" w:hAnsiTheme="minorHAnsi" w:cs="Calibri"/>
          <w:bCs/>
          <w:i/>
          <w:iCs/>
          <w:sz w:val="24"/>
          <w:szCs w:val="24"/>
          <w:lang w:val="en-GB"/>
        </w:rPr>
        <w:t>the Approval of the Regulatory Rules of the National Commission of Communications of Georgia</w:t>
      </w:r>
      <w:r w:rsidRPr="00BC1ABD">
        <w:rPr>
          <w:rFonts w:asciiTheme="minorHAnsi" w:eastAsia="Times New Roman" w:hAnsiTheme="minorHAnsi" w:cs="Calibri"/>
          <w:bCs/>
          <w:sz w:val="24"/>
          <w:szCs w:val="24"/>
          <w:lang w:val="en-GB"/>
        </w:rPr>
        <w:t>”</w:t>
      </w:r>
      <w:r>
        <w:rPr>
          <w:rFonts w:asciiTheme="minorHAnsi" w:eastAsia="Times New Roman" w:hAnsiTheme="minorHAnsi" w:cs="Calibri"/>
          <w:bCs/>
          <w:sz w:val="24"/>
          <w:szCs w:val="24"/>
          <w:lang w:val="en-GB"/>
        </w:rPr>
        <w:t xml:space="preserve"> (“Competition law procedural rules”).</w:t>
      </w:r>
    </w:p>
    <w:p w14:paraId="722E9320" w14:textId="0B53B6C3" w:rsidR="00A1177B" w:rsidRPr="00BC1ABD" w:rsidRDefault="00A1177B" w:rsidP="00A1177B">
      <w:pPr>
        <w:spacing w:after="160" w:line="259" w:lineRule="auto"/>
        <w:jc w:val="both"/>
        <w:rPr>
          <w:rFonts w:asciiTheme="minorHAnsi" w:eastAsia="Times New Roman" w:hAnsiTheme="minorHAnsi" w:cs="Calibri"/>
          <w:bCs/>
          <w:sz w:val="24"/>
          <w:szCs w:val="24"/>
          <w:lang w:val="en-GB"/>
        </w:rPr>
      </w:pPr>
      <w:r w:rsidRPr="00BC1ABD">
        <w:rPr>
          <w:rFonts w:asciiTheme="minorHAnsi" w:eastAsia="Times New Roman" w:hAnsiTheme="minorHAnsi" w:cs="Calibri"/>
          <w:bCs/>
          <w:sz w:val="24"/>
          <w:szCs w:val="24"/>
          <w:lang w:val="en-GB"/>
        </w:rPr>
        <w:t xml:space="preserve">Article 15 of the </w:t>
      </w:r>
      <w:r>
        <w:rPr>
          <w:rFonts w:asciiTheme="minorHAnsi" w:eastAsia="Times New Roman" w:hAnsiTheme="minorHAnsi" w:cs="Calibri"/>
          <w:bCs/>
          <w:sz w:val="24"/>
          <w:szCs w:val="24"/>
          <w:lang w:val="en-GB"/>
        </w:rPr>
        <w:t xml:space="preserve">Competition law </w:t>
      </w:r>
      <w:r w:rsidRPr="00BC1ABD">
        <w:rPr>
          <w:rFonts w:asciiTheme="minorHAnsi" w:eastAsia="Times New Roman" w:hAnsiTheme="minorHAnsi" w:cs="Calibri"/>
          <w:bCs/>
          <w:sz w:val="24"/>
          <w:szCs w:val="24"/>
          <w:lang w:val="en-GB"/>
        </w:rPr>
        <w:t xml:space="preserve">procedural rules limits the duration of the procedure to </w:t>
      </w:r>
      <w:r w:rsidR="00E53798">
        <w:rPr>
          <w:rFonts w:asciiTheme="minorHAnsi" w:eastAsia="Times New Roman" w:hAnsiTheme="minorHAnsi" w:cs="Calibri"/>
          <w:bCs/>
          <w:sz w:val="24"/>
          <w:szCs w:val="24"/>
          <w:lang w:val="en-GB"/>
        </w:rPr>
        <w:t>six</w:t>
      </w:r>
      <w:r w:rsidRPr="00BC1ABD">
        <w:rPr>
          <w:rFonts w:asciiTheme="minorHAnsi" w:eastAsia="Times New Roman" w:hAnsiTheme="minorHAnsi" w:cs="Calibri"/>
          <w:bCs/>
          <w:sz w:val="24"/>
          <w:szCs w:val="24"/>
          <w:lang w:val="en-GB"/>
        </w:rPr>
        <w:t xml:space="preserve"> months from the opening of the formal investigation, which needs to be launched at the latest 18 months after receiving complaints. The effective duration may be much shorter, given that ComCom has the expertise in-house as well as detailed data about the sector, rendering preliminary data-collection superfluous.</w:t>
      </w:r>
    </w:p>
    <w:p w14:paraId="7FCF2064" w14:textId="77777777" w:rsidR="00A1177B" w:rsidRPr="00BC1ABD" w:rsidRDefault="00A1177B" w:rsidP="00A1177B">
      <w:pPr>
        <w:spacing w:after="160" w:line="259" w:lineRule="auto"/>
        <w:jc w:val="both"/>
        <w:rPr>
          <w:rFonts w:asciiTheme="minorHAnsi" w:eastAsia="Times New Roman" w:hAnsiTheme="minorHAnsi" w:cs="Calibri"/>
          <w:bCs/>
          <w:sz w:val="24"/>
          <w:szCs w:val="24"/>
          <w:lang w:val="en-GB"/>
        </w:rPr>
      </w:pPr>
      <w:r w:rsidRPr="00BC1ABD">
        <w:rPr>
          <w:rFonts w:asciiTheme="minorHAnsi" w:eastAsia="Times New Roman" w:hAnsiTheme="minorHAnsi" w:cs="Calibri"/>
          <w:bCs/>
          <w:sz w:val="24"/>
          <w:szCs w:val="24"/>
          <w:lang w:val="en-GB"/>
        </w:rPr>
        <w:t xml:space="preserve">Article 31 of the </w:t>
      </w:r>
      <w:r>
        <w:rPr>
          <w:rFonts w:asciiTheme="minorHAnsi" w:eastAsia="Times New Roman" w:hAnsiTheme="minorHAnsi" w:cs="Calibri"/>
          <w:bCs/>
          <w:sz w:val="24"/>
          <w:szCs w:val="24"/>
          <w:lang w:val="en-GB"/>
        </w:rPr>
        <w:t xml:space="preserve">Competition law </w:t>
      </w:r>
      <w:r w:rsidRPr="00BC1ABD">
        <w:rPr>
          <w:rFonts w:asciiTheme="minorHAnsi" w:eastAsia="Times New Roman" w:hAnsiTheme="minorHAnsi" w:cs="Calibri"/>
          <w:bCs/>
          <w:sz w:val="24"/>
          <w:szCs w:val="24"/>
          <w:lang w:val="en-GB"/>
        </w:rPr>
        <w:t>procedural rules gives the parties no more than 25 working days to react to any draft final decision of ComCom before a final hearing. In the EU, parties have nearly double that period (two months) and in addition, the document that parties receive does not yet have the status of a draft final decision but is a 'statement of objection' written without prejudice to the final decision. The statement of objection only sets out the competition concerns and the theory of harm but does not specify in detail the breach. Therefore, in the EU the effective drafting of the decision only starts when the comments on the statement of objection are received, leading to a duration of the procedure which is necessary longer than in Georgia.</w:t>
      </w:r>
    </w:p>
    <w:p w14:paraId="481AA094" w14:textId="46D1D9B9" w:rsidR="00A1177B" w:rsidRPr="00BC1ABD" w:rsidRDefault="00A1177B" w:rsidP="00A1177B">
      <w:pPr>
        <w:spacing w:after="160" w:line="259" w:lineRule="auto"/>
        <w:jc w:val="both"/>
        <w:rPr>
          <w:rFonts w:asciiTheme="minorHAnsi" w:eastAsia="Times New Roman" w:hAnsiTheme="minorHAnsi" w:cs="Calibri"/>
          <w:bCs/>
          <w:sz w:val="24"/>
          <w:szCs w:val="24"/>
          <w:lang w:val="en-GB"/>
        </w:rPr>
      </w:pPr>
      <w:r w:rsidRPr="00BC1ABD">
        <w:rPr>
          <w:rFonts w:asciiTheme="minorHAnsi" w:eastAsia="Times New Roman" w:hAnsiTheme="minorHAnsi" w:cs="Calibri"/>
          <w:bCs/>
          <w:sz w:val="24"/>
          <w:szCs w:val="24"/>
          <w:lang w:val="en-GB"/>
        </w:rPr>
        <w:t xml:space="preserve">Article 16 of the </w:t>
      </w:r>
      <w:r>
        <w:rPr>
          <w:rFonts w:asciiTheme="minorHAnsi" w:eastAsia="Times New Roman" w:hAnsiTheme="minorHAnsi" w:cs="Calibri"/>
          <w:bCs/>
          <w:sz w:val="24"/>
          <w:szCs w:val="24"/>
          <w:lang w:val="en-GB"/>
        </w:rPr>
        <w:t xml:space="preserve">Competition law </w:t>
      </w:r>
      <w:r w:rsidRPr="00BC1ABD">
        <w:rPr>
          <w:rFonts w:asciiTheme="minorHAnsi" w:eastAsia="Times New Roman" w:hAnsiTheme="minorHAnsi" w:cs="Calibri"/>
          <w:bCs/>
          <w:sz w:val="24"/>
          <w:szCs w:val="24"/>
          <w:lang w:val="en-GB"/>
        </w:rPr>
        <w:t xml:space="preserve">procedural rules allows ComCom to impose provisional measures – a power that they do not have under the SMP rules. This means that in </w:t>
      </w:r>
      <w:r w:rsidR="00E53798">
        <w:rPr>
          <w:rFonts w:asciiTheme="minorHAnsi" w:eastAsia="Times New Roman" w:hAnsiTheme="minorHAnsi" w:cs="Calibri"/>
          <w:bCs/>
          <w:sz w:val="24"/>
          <w:szCs w:val="24"/>
          <w:lang w:val="en-GB"/>
        </w:rPr>
        <w:t xml:space="preserve">the </w:t>
      </w:r>
      <w:r w:rsidRPr="00BC1ABD">
        <w:rPr>
          <w:rFonts w:asciiTheme="minorHAnsi" w:eastAsia="Times New Roman" w:hAnsiTheme="minorHAnsi" w:cs="Calibri"/>
          <w:bCs/>
          <w:sz w:val="24"/>
          <w:szCs w:val="24"/>
          <w:lang w:val="en-GB"/>
        </w:rPr>
        <w:t>case of a complaint by the beneficiary of an existing facility for which prices would be increased or terminated by a dominant operator, ComCom could issue an injunction to the dominant operator to suspend the price increase or continue the access until a final decision is adopted on the basis of the competition rules.</w:t>
      </w:r>
    </w:p>
    <w:p w14:paraId="408F182B" w14:textId="77777777" w:rsidR="00A1177B" w:rsidRPr="00BC1ABD" w:rsidRDefault="00A1177B" w:rsidP="00A1177B">
      <w:pPr>
        <w:spacing w:after="160" w:line="259" w:lineRule="auto"/>
        <w:jc w:val="both"/>
        <w:rPr>
          <w:rFonts w:asciiTheme="minorHAnsi" w:eastAsia="Times New Roman" w:hAnsiTheme="minorHAnsi" w:cs="Calibri"/>
          <w:bCs/>
          <w:sz w:val="24"/>
          <w:szCs w:val="24"/>
          <w:lang w:val="en-GB"/>
        </w:rPr>
      </w:pPr>
      <w:r w:rsidRPr="00BC1ABD">
        <w:rPr>
          <w:rFonts w:asciiTheme="minorHAnsi" w:eastAsia="Times New Roman" w:hAnsiTheme="minorHAnsi" w:cs="Calibri"/>
          <w:bCs/>
          <w:sz w:val="24"/>
          <w:szCs w:val="24"/>
          <w:lang w:val="en-GB"/>
        </w:rPr>
        <w:t xml:space="preserve">Moreover, Article 30 of the </w:t>
      </w:r>
      <w:r>
        <w:rPr>
          <w:rFonts w:asciiTheme="minorHAnsi" w:eastAsia="Times New Roman" w:hAnsiTheme="minorHAnsi" w:cs="Calibri"/>
          <w:bCs/>
          <w:sz w:val="24"/>
          <w:szCs w:val="24"/>
          <w:lang w:val="en-GB"/>
        </w:rPr>
        <w:t xml:space="preserve">Competition law </w:t>
      </w:r>
      <w:r w:rsidRPr="00BC1ABD">
        <w:rPr>
          <w:rFonts w:asciiTheme="minorHAnsi" w:eastAsia="Times New Roman" w:hAnsiTheme="minorHAnsi" w:cs="Calibri"/>
          <w:bCs/>
          <w:sz w:val="24"/>
          <w:szCs w:val="24"/>
          <w:lang w:val="en-GB"/>
        </w:rPr>
        <w:t>procedural rules empowers ComCom to accept commitments from dominant operators against which a competition law procedure was initiated and close the proceedings without a final decision on the existence of a breach. This competition law procedure tool, allowing for a speedier resolution of disputes, is not available to ComCom under its SMP regulatory powers.</w:t>
      </w:r>
    </w:p>
    <w:p w14:paraId="451077D3" w14:textId="344745C9" w:rsidR="00A1177B" w:rsidRDefault="00A1177B" w:rsidP="00E82B0B">
      <w:pPr>
        <w:spacing w:after="0" w:line="240" w:lineRule="auto"/>
        <w:jc w:val="both"/>
        <w:rPr>
          <w:rFonts w:ascii="Times New Roman" w:eastAsiaTheme="minorHAnsi" w:hAnsi="Times New Roman"/>
          <w:sz w:val="24"/>
          <w:szCs w:val="24"/>
          <w:lang w:val="en-GB" w:eastAsia="en-GB"/>
        </w:rPr>
      </w:pPr>
      <w:r w:rsidRPr="00BC1ABD">
        <w:rPr>
          <w:rFonts w:asciiTheme="minorHAnsi" w:eastAsia="Times New Roman" w:hAnsiTheme="minorHAnsi" w:cs="Calibri"/>
          <w:bCs/>
          <w:sz w:val="24"/>
          <w:szCs w:val="24"/>
          <w:lang w:val="en-GB"/>
        </w:rPr>
        <w:t xml:space="preserve">Overall, it therefore seems that the </w:t>
      </w:r>
      <w:r w:rsidRPr="00BC1ABD">
        <w:rPr>
          <w:rFonts w:asciiTheme="minorHAnsi" w:eastAsia="Times New Roman" w:hAnsiTheme="minorHAnsi" w:cs="Calibri"/>
          <w:bCs/>
          <w:i/>
          <w:iCs/>
          <w:sz w:val="24"/>
          <w:szCs w:val="24"/>
          <w:lang w:val="en-GB"/>
        </w:rPr>
        <w:t>ex-post</w:t>
      </w:r>
      <w:r w:rsidRPr="00BC1ABD">
        <w:rPr>
          <w:rFonts w:asciiTheme="minorHAnsi" w:eastAsia="Times New Roman" w:hAnsiTheme="minorHAnsi" w:cs="Calibri"/>
          <w:bCs/>
          <w:sz w:val="24"/>
          <w:szCs w:val="24"/>
          <w:lang w:val="en-GB"/>
        </w:rPr>
        <w:t xml:space="preserve"> competition law procedure would not, as such, take longer than </w:t>
      </w:r>
      <w:r w:rsidRPr="00BC1ABD">
        <w:rPr>
          <w:rFonts w:asciiTheme="minorHAnsi" w:eastAsia="Times New Roman" w:hAnsiTheme="minorHAnsi" w:cs="Calibri"/>
          <w:bCs/>
          <w:i/>
          <w:iCs/>
          <w:sz w:val="24"/>
          <w:szCs w:val="24"/>
          <w:lang w:val="en-GB"/>
        </w:rPr>
        <w:t>ex-ante</w:t>
      </w:r>
      <w:r w:rsidRPr="00BC1ABD">
        <w:rPr>
          <w:rFonts w:asciiTheme="minorHAnsi" w:eastAsia="Times New Roman" w:hAnsiTheme="minorHAnsi" w:cs="Calibri"/>
          <w:bCs/>
          <w:sz w:val="24"/>
          <w:szCs w:val="24"/>
          <w:lang w:val="en-GB"/>
        </w:rPr>
        <w:t xml:space="preserve"> regulation of markets, at least in cases where showing the existence of an abuse is straightforward, for </w:t>
      </w:r>
      <w:r w:rsidRPr="005B0FBE">
        <w:rPr>
          <w:rFonts w:asciiTheme="minorHAnsi" w:eastAsia="Times New Roman" w:hAnsiTheme="minorHAnsi" w:cs="Calibri"/>
          <w:bCs/>
          <w:sz w:val="24"/>
          <w:szCs w:val="24"/>
          <w:lang w:val="en-GB"/>
        </w:rPr>
        <w:t xml:space="preserve">example in </w:t>
      </w:r>
      <w:r w:rsidRPr="005B0FBE">
        <w:rPr>
          <w:sz w:val="24"/>
          <w:szCs w:val="24"/>
          <w:lang w:val="en-US"/>
        </w:rPr>
        <w:t>margin squeeze</w:t>
      </w:r>
      <w:r w:rsidRPr="005B0FBE">
        <w:rPr>
          <w:rFonts w:asciiTheme="minorHAnsi" w:eastAsia="Times New Roman" w:hAnsiTheme="minorHAnsi" w:cs="Calibri"/>
          <w:bCs/>
          <w:sz w:val="24"/>
          <w:szCs w:val="24"/>
          <w:vertAlign w:val="superscript"/>
          <w:lang w:val="en-GB"/>
        </w:rPr>
        <w:footnoteReference w:id="37"/>
      </w:r>
      <w:r w:rsidRPr="00BC1ABD">
        <w:rPr>
          <w:rFonts w:asciiTheme="minorHAnsi" w:eastAsia="Times New Roman" w:hAnsiTheme="minorHAnsi" w:cs="Calibri"/>
          <w:bCs/>
          <w:sz w:val="24"/>
          <w:szCs w:val="24"/>
          <w:lang w:val="en-GB"/>
        </w:rPr>
        <w:t xml:space="preserve"> cases</w:t>
      </w:r>
      <w:r w:rsidRPr="00BC1ABD">
        <w:rPr>
          <w:rFonts w:asciiTheme="minorHAnsi" w:hAnsiTheme="minorHAnsi" w:cstheme="minorHAnsi"/>
          <w:bCs/>
          <w:sz w:val="24"/>
          <w:szCs w:val="24"/>
          <w:lang w:val="en-GB"/>
        </w:rPr>
        <w:t>.</w:t>
      </w:r>
      <w:r w:rsidRPr="00BC1ABD">
        <w:rPr>
          <w:rFonts w:ascii="Times New Roman" w:eastAsiaTheme="minorHAnsi" w:hAnsi="Times New Roman"/>
          <w:sz w:val="24"/>
          <w:szCs w:val="24"/>
          <w:lang w:val="en-GB" w:eastAsia="en-GB"/>
        </w:rPr>
        <w:t xml:space="preserve"> </w:t>
      </w:r>
    </w:p>
    <w:p w14:paraId="570A4EC5" w14:textId="77777777" w:rsidR="008F72AE" w:rsidRPr="008F72AE" w:rsidRDefault="008F72AE" w:rsidP="008F72AE">
      <w:pPr>
        <w:spacing w:after="0" w:line="240" w:lineRule="auto"/>
        <w:rPr>
          <w:rFonts w:ascii="Times New Roman" w:eastAsiaTheme="minorHAnsi" w:hAnsi="Times New Roman"/>
          <w:sz w:val="24"/>
          <w:szCs w:val="24"/>
          <w:lang w:val="en-GB" w:eastAsia="en-GB"/>
        </w:rPr>
      </w:pPr>
    </w:p>
    <w:p w14:paraId="169C49C5" w14:textId="25971DA6" w:rsidR="00B446E9" w:rsidRPr="00FA6B60" w:rsidRDefault="00B446E9" w:rsidP="00C86D6E">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3" w:name="_Toc169258897"/>
      <w:r w:rsidRPr="00FA6B60">
        <w:rPr>
          <w:rFonts w:asciiTheme="minorHAnsi" w:hAnsiTheme="minorHAnsi" w:cstheme="minorHAnsi"/>
          <w:b w:val="0"/>
          <w:bCs w:val="0"/>
          <w:sz w:val="24"/>
          <w:szCs w:val="24"/>
          <w:lang w:val="en-GB"/>
        </w:rPr>
        <w:t xml:space="preserve">Fifth step: </w:t>
      </w:r>
      <w:r w:rsidR="00E53798">
        <w:rPr>
          <w:rFonts w:asciiTheme="minorHAnsi" w:hAnsiTheme="minorHAnsi" w:cstheme="minorHAnsi"/>
          <w:b w:val="0"/>
          <w:bCs w:val="0"/>
          <w:sz w:val="24"/>
          <w:szCs w:val="24"/>
          <w:lang w:val="en-GB"/>
        </w:rPr>
        <w:t>D</w:t>
      </w:r>
      <w:r w:rsidR="00FA6B60" w:rsidRPr="00FA6B60">
        <w:rPr>
          <w:rFonts w:asciiTheme="minorHAnsi" w:hAnsiTheme="minorHAnsi" w:cstheme="minorHAnsi"/>
          <w:b w:val="0"/>
          <w:bCs w:val="0"/>
          <w:sz w:val="24"/>
          <w:szCs w:val="24"/>
          <w:lang w:val="en-GB"/>
        </w:rPr>
        <w:t xml:space="preserve">etermining </w:t>
      </w:r>
      <w:r w:rsidR="00E53798">
        <w:rPr>
          <w:rFonts w:asciiTheme="minorHAnsi" w:hAnsiTheme="minorHAnsi" w:cstheme="minorHAnsi"/>
          <w:b w:val="0"/>
          <w:bCs w:val="0"/>
          <w:sz w:val="24"/>
          <w:szCs w:val="24"/>
          <w:lang w:val="en-GB"/>
        </w:rPr>
        <w:t xml:space="preserve">the </w:t>
      </w:r>
      <w:r w:rsidR="00FA6B60" w:rsidRPr="00FA6B60">
        <w:rPr>
          <w:rFonts w:asciiTheme="minorHAnsi" w:hAnsiTheme="minorHAnsi" w:cstheme="minorHAnsi"/>
          <w:b w:val="0"/>
          <w:bCs w:val="0"/>
          <w:sz w:val="24"/>
          <w:szCs w:val="24"/>
          <w:lang w:val="en-GB"/>
        </w:rPr>
        <w:t>authorised persons with significant market power in the relevant segment of the service market</w:t>
      </w:r>
      <w:bookmarkEnd w:id="33"/>
      <w:r w:rsidR="00FA6B60" w:rsidRPr="00FA6B60">
        <w:rPr>
          <w:rFonts w:asciiTheme="minorHAnsi" w:hAnsiTheme="minorHAnsi" w:cstheme="minorHAnsi"/>
          <w:b w:val="0"/>
          <w:bCs w:val="0"/>
          <w:sz w:val="24"/>
          <w:szCs w:val="24"/>
          <w:lang w:val="en-GB"/>
        </w:rPr>
        <w:t xml:space="preserve"> </w:t>
      </w:r>
    </w:p>
    <w:p w14:paraId="314CC4C0" w14:textId="55B0F477" w:rsidR="00871469" w:rsidRDefault="00871469" w:rsidP="00C86D6E">
      <w:pPr>
        <w:shd w:val="clear" w:color="auto" w:fill="FFFFFF"/>
        <w:spacing w:after="160" w:line="256" w:lineRule="auto"/>
        <w:jc w:val="both"/>
        <w:rPr>
          <w:rFonts w:asciiTheme="minorHAnsi" w:hAnsiTheme="minorHAnsi" w:cstheme="minorHAnsi"/>
          <w:sz w:val="24"/>
          <w:szCs w:val="24"/>
          <w:lang w:val="en-GB"/>
        </w:rPr>
      </w:pPr>
      <w:r w:rsidRPr="00B7426A">
        <w:rPr>
          <w:rFonts w:asciiTheme="minorHAnsi" w:hAnsiTheme="minorHAnsi" w:cstheme="minorHAnsi"/>
          <w:bCs/>
          <w:sz w:val="24"/>
          <w:szCs w:val="24"/>
          <w:lang w:val="en-GB"/>
        </w:rPr>
        <w:t>Art.22</w:t>
      </w:r>
      <w:r>
        <w:rPr>
          <w:rFonts w:asciiTheme="minorHAnsi" w:hAnsiTheme="minorHAnsi" w:cstheme="minorHAnsi"/>
          <w:bCs/>
          <w:sz w:val="24"/>
          <w:szCs w:val="24"/>
          <w:lang w:val="en-GB"/>
        </w:rPr>
        <w:t xml:space="preserve"> of t</w:t>
      </w:r>
      <w:r w:rsidR="00FA6B60">
        <w:rPr>
          <w:rFonts w:eastAsia="Times New Roman" w:cs="Arial"/>
          <w:sz w:val="24"/>
          <w:szCs w:val="24"/>
          <w:lang w:val="en-GB"/>
        </w:rPr>
        <w:t xml:space="preserve">he law specifies that ComCom must determine persons deemed to enjoy significant market power on the markets passing the three criteria test, </w:t>
      </w:r>
      <w:r w:rsidR="00FA6B60" w:rsidRPr="005F51C5">
        <w:rPr>
          <w:rFonts w:asciiTheme="minorHAnsi" w:hAnsiTheme="minorHAnsi" w:cstheme="minorHAnsi"/>
          <w:sz w:val="24"/>
          <w:szCs w:val="24"/>
          <w:lang w:val="en-GB"/>
        </w:rPr>
        <w:t>“</w:t>
      </w:r>
      <w:r w:rsidR="00E53798">
        <w:rPr>
          <w:rFonts w:asciiTheme="minorHAnsi" w:hAnsiTheme="minorHAnsi" w:cstheme="minorHAnsi"/>
          <w:sz w:val="24"/>
          <w:szCs w:val="24"/>
          <w:lang w:val="en-GB"/>
        </w:rPr>
        <w:t>…</w:t>
      </w:r>
      <w:r w:rsidR="00FA6B60" w:rsidRPr="00C86D6E">
        <w:rPr>
          <w:rFonts w:asciiTheme="minorHAnsi" w:hAnsiTheme="minorHAnsi" w:cstheme="minorHAnsi"/>
          <w:i/>
          <w:sz w:val="24"/>
          <w:szCs w:val="24"/>
          <w:lang w:val="en-GB"/>
        </w:rPr>
        <w:t>by taking into</w:t>
      </w:r>
      <w:r w:rsidR="00FA6B60" w:rsidRPr="00C86D6E">
        <w:rPr>
          <w:rFonts w:asciiTheme="minorHAnsi" w:hAnsiTheme="minorHAnsi" w:cstheme="minorHAnsi"/>
          <w:b/>
          <w:bCs/>
          <w:i/>
          <w:sz w:val="24"/>
          <w:szCs w:val="24"/>
          <w:lang w:val="en-GB"/>
        </w:rPr>
        <w:t xml:space="preserve"> </w:t>
      </w:r>
      <w:r w:rsidR="00FA6B60" w:rsidRPr="00C86D6E">
        <w:rPr>
          <w:rFonts w:asciiTheme="minorHAnsi" w:hAnsiTheme="minorHAnsi" w:cstheme="minorHAnsi"/>
          <w:i/>
          <w:sz w:val="24"/>
          <w:szCs w:val="24"/>
          <w:lang w:val="en-GB"/>
        </w:rPr>
        <w:t>account the primary and secondary criteria</w:t>
      </w:r>
      <w:r w:rsidR="00FA6B60">
        <w:rPr>
          <w:rFonts w:asciiTheme="minorHAnsi" w:hAnsiTheme="minorHAnsi" w:cstheme="minorHAnsi"/>
          <w:b/>
          <w:bCs/>
          <w:sz w:val="24"/>
          <w:szCs w:val="24"/>
          <w:lang w:val="en-GB"/>
        </w:rPr>
        <w:t xml:space="preserve">” </w:t>
      </w:r>
      <w:r w:rsidR="00FA6B60" w:rsidRPr="00C86D6E">
        <w:rPr>
          <w:rFonts w:asciiTheme="minorHAnsi" w:hAnsiTheme="minorHAnsi" w:cstheme="minorHAnsi"/>
          <w:bCs/>
          <w:sz w:val="24"/>
          <w:szCs w:val="24"/>
          <w:lang w:val="en-GB"/>
        </w:rPr>
        <w:t>(</w:t>
      </w:r>
      <w:r>
        <w:rPr>
          <w:rFonts w:asciiTheme="minorHAnsi" w:hAnsiTheme="minorHAnsi" w:cstheme="minorHAnsi"/>
          <w:bCs/>
          <w:sz w:val="24"/>
          <w:szCs w:val="24"/>
          <w:lang w:val="en-GB"/>
        </w:rPr>
        <w:t xml:space="preserve">paragraph </w:t>
      </w:r>
      <w:r w:rsidR="00FA6B60" w:rsidRPr="00C86D6E">
        <w:rPr>
          <w:rFonts w:asciiTheme="minorHAnsi" w:hAnsiTheme="minorHAnsi" w:cstheme="minorHAnsi"/>
          <w:bCs/>
          <w:sz w:val="24"/>
          <w:szCs w:val="24"/>
          <w:lang w:val="en-GB"/>
        </w:rPr>
        <w:t>1, d)</w:t>
      </w:r>
      <w:r>
        <w:rPr>
          <w:rFonts w:asciiTheme="minorHAnsi" w:hAnsiTheme="minorHAnsi" w:cstheme="minorHAnsi"/>
          <w:bCs/>
          <w:sz w:val="24"/>
          <w:szCs w:val="24"/>
          <w:lang w:val="en-GB"/>
        </w:rPr>
        <w:t>, i.e</w:t>
      </w:r>
      <w:r w:rsidR="00FA6B60" w:rsidRPr="00FA6B60">
        <w:rPr>
          <w:rFonts w:asciiTheme="minorHAnsi" w:hAnsiTheme="minorHAnsi" w:cstheme="minorHAnsi"/>
          <w:sz w:val="24"/>
          <w:szCs w:val="24"/>
          <w:lang w:val="en-GB"/>
        </w:rPr>
        <w:t>.</w:t>
      </w:r>
      <w:r>
        <w:rPr>
          <w:rFonts w:asciiTheme="minorHAnsi" w:hAnsiTheme="minorHAnsi" w:cstheme="minorHAnsi"/>
          <w:sz w:val="24"/>
          <w:szCs w:val="24"/>
          <w:lang w:val="en-GB"/>
        </w:rPr>
        <w:t>:</w:t>
      </w:r>
    </w:p>
    <w:p w14:paraId="26776416" w14:textId="79F6DEA1" w:rsidR="00871469" w:rsidRPr="00C86D6E" w:rsidRDefault="00871469" w:rsidP="00871469">
      <w:pPr>
        <w:shd w:val="clear" w:color="auto" w:fill="FFFFFF"/>
        <w:spacing w:after="160" w:line="256" w:lineRule="auto"/>
        <w:jc w:val="both"/>
        <w:rPr>
          <w:rFonts w:asciiTheme="minorHAnsi" w:hAnsiTheme="minorHAnsi" w:cstheme="minorHAnsi"/>
          <w:i/>
          <w:sz w:val="24"/>
          <w:szCs w:val="24"/>
          <w:lang w:val="en-GB"/>
        </w:rPr>
      </w:pPr>
      <w:r>
        <w:rPr>
          <w:rFonts w:asciiTheme="minorHAnsi" w:hAnsiTheme="minorHAnsi" w:cstheme="minorHAnsi"/>
          <w:sz w:val="24"/>
          <w:szCs w:val="24"/>
          <w:lang w:val="en-GB"/>
        </w:rPr>
        <w:t>“</w:t>
      </w:r>
      <w:r w:rsidRPr="00C86D6E">
        <w:rPr>
          <w:rFonts w:asciiTheme="minorHAnsi" w:hAnsiTheme="minorHAnsi" w:cstheme="minorHAnsi"/>
          <w:i/>
          <w:sz w:val="24"/>
          <w:szCs w:val="24"/>
          <w:lang w:val="en-GB"/>
        </w:rPr>
        <w:t>10. In accordance with the primary criterion for determining a significant market power in the relevant segment of the service market, an authorised person shall be designated as having significant market power if it holds at least 40 per cent of the market share in the relevant segment of the market.</w:t>
      </w:r>
      <w:r w:rsidR="00E53798">
        <w:rPr>
          <w:rFonts w:asciiTheme="minorHAnsi" w:hAnsiTheme="minorHAnsi" w:cstheme="minorHAnsi"/>
          <w:i/>
          <w:sz w:val="24"/>
          <w:szCs w:val="24"/>
          <w:lang w:val="en-GB"/>
        </w:rPr>
        <w:t>”</w:t>
      </w:r>
    </w:p>
    <w:p w14:paraId="4D4771E3" w14:textId="535C69D3" w:rsidR="00871469" w:rsidRPr="00C86D6E" w:rsidRDefault="00E53798" w:rsidP="00871469">
      <w:pPr>
        <w:shd w:val="clear" w:color="auto" w:fill="FFFFFF"/>
        <w:spacing w:after="160" w:line="256" w:lineRule="auto"/>
        <w:jc w:val="both"/>
        <w:rPr>
          <w:rFonts w:asciiTheme="minorHAnsi" w:hAnsiTheme="minorHAnsi" w:cstheme="minorHAnsi"/>
          <w:i/>
          <w:sz w:val="24"/>
          <w:szCs w:val="24"/>
          <w:lang w:val="en-GB"/>
        </w:rPr>
      </w:pPr>
      <w:r>
        <w:rPr>
          <w:rFonts w:asciiTheme="minorHAnsi" w:hAnsiTheme="minorHAnsi" w:cstheme="minorHAnsi"/>
          <w:i/>
          <w:sz w:val="24"/>
          <w:szCs w:val="24"/>
          <w:lang w:val="en-GB"/>
        </w:rPr>
        <w:t>“</w:t>
      </w:r>
      <w:r w:rsidR="00871469" w:rsidRPr="00C86D6E">
        <w:rPr>
          <w:rFonts w:asciiTheme="minorHAnsi" w:hAnsiTheme="minorHAnsi" w:cstheme="minorHAnsi"/>
          <w:i/>
          <w:sz w:val="24"/>
          <w:szCs w:val="24"/>
          <w:lang w:val="en-GB"/>
        </w:rPr>
        <w:t>11. Several authorised persons shall be considered as persons having joint significant market power if in the relevant segment of the service market:</w:t>
      </w:r>
    </w:p>
    <w:p w14:paraId="48E8FFC2" w14:textId="7CE1D97B" w:rsidR="00871469" w:rsidRPr="00C86D6E" w:rsidRDefault="00871469" w:rsidP="00C86D6E">
      <w:pPr>
        <w:pStyle w:val="ListParagraph"/>
        <w:numPr>
          <w:ilvl w:val="0"/>
          <w:numId w:val="98"/>
        </w:numPr>
        <w:shd w:val="clear" w:color="auto" w:fill="FFFFFF"/>
        <w:spacing w:after="160" w:line="256" w:lineRule="auto"/>
        <w:jc w:val="both"/>
        <w:rPr>
          <w:rFonts w:asciiTheme="minorHAnsi" w:hAnsiTheme="minorHAnsi" w:cstheme="minorHAnsi"/>
          <w:i/>
          <w:sz w:val="24"/>
          <w:szCs w:val="24"/>
          <w:lang w:val="en-GB"/>
        </w:rPr>
      </w:pPr>
      <w:r w:rsidRPr="00C86D6E">
        <w:rPr>
          <w:rFonts w:asciiTheme="minorHAnsi" w:hAnsiTheme="minorHAnsi" w:cstheme="minorHAnsi"/>
          <w:i/>
          <w:sz w:val="24"/>
          <w:szCs w:val="24"/>
          <w:lang w:val="en-GB"/>
        </w:rPr>
        <w:t>the total market share of two authorised persons is at least 60 per cent; at the same time, the market share of each of them must be at least 25 percent;</w:t>
      </w:r>
    </w:p>
    <w:p w14:paraId="38B6CF45" w14:textId="786B527F" w:rsidR="00871469" w:rsidRPr="00C86D6E" w:rsidRDefault="00871469" w:rsidP="00C86D6E">
      <w:pPr>
        <w:pStyle w:val="ListParagraph"/>
        <w:numPr>
          <w:ilvl w:val="0"/>
          <w:numId w:val="98"/>
        </w:numPr>
        <w:shd w:val="clear" w:color="auto" w:fill="FFFFFF"/>
        <w:spacing w:after="160" w:line="256" w:lineRule="auto"/>
        <w:jc w:val="both"/>
        <w:rPr>
          <w:rFonts w:asciiTheme="minorHAnsi" w:hAnsiTheme="minorHAnsi" w:cstheme="minorHAnsi"/>
          <w:i/>
          <w:sz w:val="24"/>
          <w:szCs w:val="24"/>
          <w:lang w:val="en-GB"/>
        </w:rPr>
      </w:pPr>
      <w:r w:rsidRPr="00C86D6E">
        <w:rPr>
          <w:rFonts w:asciiTheme="minorHAnsi" w:hAnsiTheme="minorHAnsi" w:cstheme="minorHAnsi"/>
          <w:i/>
          <w:sz w:val="24"/>
          <w:szCs w:val="24"/>
          <w:lang w:val="en-GB"/>
        </w:rPr>
        <w:t>the total market share of three authorised persons is at least 80 per cent; at the same time, the market share of each of them must be at least 15 percent.</w:t>
      </w:r>
      <w:r w:rsidR="00E53798">
        <w:rPr>
          <w:rFonts w:asciiTheme="minorHAnsi" w:hAnsiTheme="minorHAnsi" w:cstheme="minorHAnsi"/>
          <w:i/>
          <w:sz w:val="24"/>
          <w:szCs w:val="24"/>
          <w:lang w:val="en-GB"/>
        </w:rPr>
        <w:t>”</w:t>
      </w:r>
    </w:p>
    <w:p w14:paraId="1A7FCAEF" w14:textId="7398499B" w:rsidR="00FA6B60" w:rsidRDefault="00E53798" w:rsidP="00C86D6E">
      <w:pPr>
        <w:shd w:val="clear" w:color="auto" w:fill="FFFFFF"/>
        <w:spacing w:after="160" w:line="256" w:lineRule="auto"/>
        <w:jc w:val="both"/>
        <w:rPr>
          <w:rFonts w:eastAsia="Times New Roman" w:cs="Arial"/>
          <w:sz w:val="24"/>
          <w:szCs w:val="24"/>
          <w:lang w:val="en-GB"/>
        </w:rPr>
      </w:pPr>
      <w:r>
        <w:rPr>
          <w:rFonts w:asciiTheme="minorHAnsi" w:hAnsiTheme="minorHAnsi" w:cstheme="minorHAnsi"/>
          <w:i/>
          <w:sz w:val="24"/>
          <w:szCs w:val="24"/>
          <w:lang w:val="en-GB"/>
        </w:rPr>
        <w:t>“</w:t>
      </w:r>
      <w:r w:rsidR="00871469" w:rsidRPr="00C86D6E">
        <w:rPr>
          <w:rFonts w:asciiTheme="minorHAnsi" w:hAnsiTheme="minorHAnsi" w:cstheme="minorHAnsi"/>
          <w:i/>
          <w:sz w:val="24"/>
          <w:szCs w:val="24"/>
          <w:lang w:val="en-GB"/>
        </w:rPr>
        <w:t>12. In designating an authorised person as having significant market power in a relevant segment of the service market and in imposing specific</w:t>
      </w:r>
      <w:r w:rsidR="004C3063">
        <w:rPr>
          <w:rFonts w:asciiTheme="minorHAnsi" w:hAnsiTheme="minorHAnsi" w:cstheme="minorHAnsi"/>
          <w:i/>
          <w:sz w:val="24"/>
          <w:szCs w:val="24"/>
          <w:lang w:val="en-GB"/>
        </w:rPr>
        <w:t xml:space="preserve"> </w:t>
      </w:r>
      <w:r w:rsidR="00871469" w:rsidRPr="00C86D6E">
        <w:rPr>
          <w:rFonts w:asciiTheme="minorHAnsi" w:hAnsiTheme="minorHAnsi" w:cstheme="minorHAnsi"/>
          <w:i/>
          <w:sz w:val="24"/>
          <w:szCs w:val="24"/>
          <w:lang w:val="en-GB"/>
        </w:rPr>
        <w:t xml:space="preserve">obligations on such person, in addition to the primary criteria, use shall be made of secondary criteria which, in accordance with primary criteria, objectively determines the possibilities of persons with significant market power to restrict competition and carry out </w:t>
      </w:r>
      <w:r w:rsidR="004C3063" w:rsidRPr="00225D40">
        <w:rPr>
          <w:rFonts w:asciiTheme="minorHAnsi" w:hAnsiTheme="minorHAnsi" w:cstheme="minorHAnsi"/>
          <w:i/>
          <w:sz w:val="24"/>
          <w:szCs w:val="24"/>
          <w:lang w:val="en-GB"/>
        </w:rPr>
        <w:t>non-competitive</w:t>
      </w:r>
      <w:r w:rsidR="00871469" w:rsidRPr="00C86D6E">
        <w:rPr>
          <w:rFonts w:asciiTheme="minorHAnsi" w:hAnsiTheme="minorHAnsi" w:cstheme="minorHAnsi"/>
          <w:i/>
          <w:sz w:val="24"/>
          <w:szCs w:val="24"/>
          <w:lang w:val="en-GB"/>
        </w:rPr>
        <w:t xml:space="preserve"> actions in the relevant segment of the service market. Secondary criteria shall be determined by the Commission taking into account analytical factors</w:t>
      </w:r>
      <w:r w:rsidR="00871469">
        <w:rPr>
          <w:rFonts w:asciiTheme="minorHAnsi" w:hAnsiTheme="minorHAnsi" w:cstheme="minorHAnsi"/>
          <w:sz w:val="24"/>
          <w:szCs w:val="24"/>
          <w:lang w:val="en-GB"/>
        </w:rPr>
        <w:t>”</w:t>
      </w:r>
      <w:r w:rsidR="00871469" w:rsidRPr="00871469">
        <w:rPr>
          <w:rFonts w:asciiTheme="minorHAnsi" w:hAnsiTheme="minorHAnsi" w:cstheme="minorHAnsi"/>
          <w:sz w:val="24"/>
          <w:szCs w:val="24"/>
          <w:lang w:val="en-GB"/>
        </w:rPr>
        <w:t>.</w:t>
      </w:r>
      <w:r w:rsidR="00195B2F">
        <w:rPr>
          <w:rFonts w:asciiTheme="minorHAnsi" w:hAnsiTheme="minorHAnsi" w:cstheme="minorHAnsi"/>
          <w:sz w:val="24"/>
          <w:szCs w:val="24"/>
          <w:lang w:val="en-GB"/>
        </w:rPr>
        <w:t xml:space="preserve"> </w:t>
      </w:r>
      <w:r w:rsidR="00871469">
        <w:rPr>
          <w:rFonts w:asciiTheme="minorHAnsi" w:hAnsiTheme="minorHAnsi" w:cstheme="minorHAnsi"/>
          <w:sz w:val="24"/>
          <w:szCs w:val="24"/>
          <w:lang w:val="en-GB"/>
        </w:rPr>
        <w:t>Secondary criteria are listed in the methodological rules adopted accordingly by ComCom.</w:t>
      </w:r>
    </w:p>
    <w:p w14:paraId="5EAB91C3" w14:textId="134BEF5F" w:rsidR="00A1177B" w:rsidRPr="00C86D6E" w:rsidRDefault="00A1177B" w:rsidP="00A1177B">
      <w:pPr>
        <w:shd w:val="clear" w:color="auto" w:fill="FFFFFF"/>
        <w:spacing w:after="160" w:line="256" w:lineRule="auto"/>
        <w:jc w:val="both"/>
        <w:rPr>
          <w:rFonts w:eastAsia="Times New Roman" w:cs="Arial"/>
          <w:sz w:val="24"/>
          <w:szCs w:val="24"/>
          <w:lang w:val="en-GB"/>
        </w:rPr>
      </w:pPr>
      <w:bookmarkStart w:id="34" w:name="_Hlk148798794"/>
      <w:r w:rsidRPr="00FA6B60">
        <w:rPr>
          <w:rFonts w:eastAsia="Times New Roman" w:cs="Arial"/>
          <w:sz w:val="24"/>
          <w:szCs w:val="24"/>
          <w:lang w:val="en-GB"/>
        </w:rPr>
        <w:t xml:space="preserve">It should be noted that </w:t>
      </w:r>
      <w:r w:rsidRPr="00AA4DAC">
        <w:rPr>
          <w:rFonts w:eastAsia="Times New Roman" w:cs="Arial"/>
          <w:sz w:val="24"/>
          <w:szCs w:val="24"/>
          <w:lang w:val="en-GB"/>
        </w:rPr>
        <w:t>the</w:t>
      </w:r>
      <w:r>
        <w:rPr>
          <w:rFonts w:eastAsia="Times New Roman" w:cs="Arial"/>
          <w:sz w:val="24"/>
          <w:szCs w:val="24"/>
          <w:lang w:val="en-GB"/>
        </w:rPr>
        <w:t>se secondary criteria are overlapping partly the first and second criteria used for the three criteria</w:t>
      </w:r>
      <w:r w:rsidR="00E53798">
        <w:rPr>
          <w:rFonts w:eastAsia="Times New Roman" w:cs="Arial"/>
          <w:sz w:val="24"/>
          <w:szCs w:val="24"/>
          <w:lang w:val="en-GB"/>
        </w:rPr>
        <w:t xml:space="preserve"> test</w:t>
      </w:r>
      <w:r w:rsidRPr="00FA6B60">
        <w:rPr>
          <w:rFonts w:eastAsia="Times New Roman" w:cs="Arial"/>
          <w:sz w:val="24"/>
          <w:szCs w:val="24"/>
          <w:lang w:val="en-GB"/>
        </w:rPr>
        <w:t xml:space="preserve">. </w:t>
      </w:r>
      <w:r w:rsidRPr="00AA4DAC">
        <w:rPr>
          <w:rFonts w:eastAsia="Times New Roman" w:cs="Arial"/>
          <w:sz w:val="24"/>
          <w:szCs w:val="24"/>
          <w:lang w:val="en-GB"/>
        </w:rPr>
        <w:t xml:space="preserve">The indicators used for the assessment </w:t>
      </w:r>
      <w:r>
        <w:rPr>
          <w:rFonts w:eastAsia="Times New Roman" w:cs="Arial"/>
          <w:sz w:val="24"/>
          <w:szCs w:val="24"/>
          <w:lang w:val="en-GB"/>
        </w:rPr>
        <w:t xml:space="preserve">whether a market is tending to competition are indeed </w:t>
      </w:r>
      <w:r w:rsidRPr="00AA4DAC">
        <w:rPr>
          <w:rFonts w:eastAsia="Times New Roman" w:cs="Arial"/>
          <w:sz w:val="24"/>
          <w:szCs w:val="24"/>
          <w:lang w:val="en-GB"/>
        </w:rPr>
        <w:t xml:space="preserve">equivalent to those that are used in an analysis of whether there are operators in the market with significant market power, given that according </w:t>
      </w:r>
      <w:r w:rsidRPr="00C86D6E">
        <w:rPr>
          <w:rFonts w:eastAsia="Times New Roman" w:cs="Arial"/>
          <w:sz w:val="24"/>
          <w:szCs w:val="24"/>
          <w:lang w:val="en-GB"/>
        </w:rPr>
        <w:t>Article 22 (7) of the law, a market is deemed not competitive “…</w:t>
      </w:r>
      <w:r w:rsidRPr="00C86D6E">
        <w:rPr>
          <w:rFonts w:eastAsia="Times New Roman" w:cs="Arial"/>
          <w:i/>
          <w:sz w:val="24"/>
          <w:szCs w:val="24"/>
          <w:lang w:val="en-GB"/>
        </w:rPr>
        <w:t>if one or several authorised persons operating in that market have joint significant market power</w:t>
      </w:r>
      <w:r w:rsidRPr="00C86D6E">
        <w:rPr>
          <w:rFonts w:eastAsia="Times New Roman" w:cs="Arial"/>
          <w:sz w:val="24"/>
          <w:szCs w:val="24"/>
          <w:lang w:val="en-GB"/>
        </w:rPr>
        <w:t>”.</w:t>
      </w:r>
    </w:p>
    <w:p w14:paraId="517F94D6" w14:textId="508118B6" w:rsidR="00856FF0" w:rsidRDefault="00A1177B" w:rsidP="00FA6B60">
      <w:pPr>
        <w:shd w:val="clear" w:color="auto" w:fill="FFFFFF"/>
        <w:spacing w:after="160" w:line="256" w:lineRule="auto"/>
        <w:jc w:val="both"/>
        <w:rPr>
          <w:rFonts w:eastAsia="Times New Roman" w:cs="Arial"/>
          <w:sz w:val="24"/>
          <w:szCs w:val="24"/>
          <w:lang w:val="en-GB"/>
        </w:rPr>
      </w:pPr>
      <w:r w:rsidRPr="00BC1ABD">
        <w:rPr>
          <w:rFonts w:eastAsia="Times New Roman" w:cs="Arial"/>
          <w:sz w:val="24"/>
          <w:szCs w:val="24"/>
          <w:lang w:val="en-GB"/>
        </w:rPr>
        <w:t xml:space="preserve">The </w:t>
      </w:r>
      <w:r>
        <w:rPr>
          <w:rFonts w:eastAsia="Times New Roman" w:cs="Arial"/>
          <w:sz w:val="24"/>
          <w:szCs w:val="24"/>
          <w:lang w:val="en-GB"/>
        </w:rPr>
        <w:t>difference</w:t>
      </w:r>
      <w:r w:rsidRPr="00BC1ABD">
        <w:rPr>
          <w:rFonts w:eastAsia="Times New Roman" w:cs="Arial"/>
          <w:sz w:val="24"/>
          <w:szCs w:val="24"/>
          <w:lang w:val="en-GB"/>
        </w:rPr>
        <w:t xml:space="preserve"> is that the three criteria test focuses on the overall characteristics and structure of a given market, in a forward-looking perspective, while the assessment of SMP focuses on understanding whether an operator active in a market should be made subject to </w:t>
      </w:r>
      <w:r w:rsidRPr="00BC1ABD">
        <w:rPr>
          <w:rFonts w:eastAsia="Times New Roman" w:cs="Arial"/>
          <w:i/>
          <w:iCs/>
          <w:sz w:val="24"/>
          <w:szCs w:val="24"/>
          <w:lang w:val="en-GB"/>
        </w:rPr>
        <w:t>ex-ante</w:t>
      </w:r>
      <w:r w:rsidRPr="00BC1ABD">
        <w:rPr>
          <w:rFonts w:eastAsia="Times New Roman" w:cs="Arial"/>
          <w:sz w:val="24"/>
          <w:szCs w:val="24"/>
          <w:lang w:val="en-GB"/>
        </w:rPr>
        <w:t xml:space="preserve"> regulation based on past and present indicators. The set of indicators that </w:t>
      </w:r>
      <w:r w:rsidR="00C00505">
        <w:rPr>
          <w:rFonts w:eastAsia="Times New Roman" w:cs="Arial"/>
          <w:sz w:val="24"/>
          <w:szCs w:val="24"/>
          <w:lang w:val="en-GB"/>
        </w:rPr>
        <w:t xml:space="preserve">are </w:t>
      </w:r>
      <w:r w:rsidRPr="00BC1ABD">
        <w:rPr>
          <w:rFonts w:eastAsia="Times New Roman" w:cs="Arial"/>
          <w:sz w:val="24"/>
          <w:szCs w:val="24"/>
          <w:lang w:val="en-GB"/>
        </w:rPr>
        <w:t xml:space="preserve">used for performing the second criterion </w:t>
      </w:r>
      <w:r>
        <w:rPr>
          <w:rFonts w:eastAsia="Times New Roman" w:cs="Arial"/>
          <w:sz w:val="24"/>
          <w:szCs w:val="24"/>
          <w:lang w:val="en-GB"/>
        </w:rPr>
        <w:t xml:space="preserve">of the three criteria test may therefore be more limited than for </w:t>
      </w:r>
      <w:r w:rsidRPr="00BC1ABD">
        <w:rPr>
          <w:rFonts w:eastAsia="Times New Roman" w:cs="Arial"/>
          <w:sz w:val="24"/>
          <w:szCs w:val="24"/>
          <w:lang w:val="en-GB"/>
        </w:rPr>
        <w:t>the SMP assessment</w:t>
      </w:r>
      <w:r>
        <w:rPr>
          <w:rFonts w:eastAsia="Times New Roman" w:cs="Arial"/>
          <w:sz w:val="24"/>
          <w:szCs w:val="24"/>
          <w:lang w:val="en-GB"/>
        </w:rPr>
        <w:t xml:space="preserve"> which will, if fulfilled, bring about possibly intrusive regulatory obligations</w:t>
      </w:r>
      <w:r w:rsidRPr="00BC1ABD">
        <w:rPr>
          <w:rFonts w:eastAsia="Times New Roman" w:cs="Arial"/>
          <w:sz w:val="24"/>
          <w:szCs w:val="24"/>
          <w:lang w:val="en-GB"/>
        </w:rPr>
        <w:t>. This means that different indicators related to market structure, market performance and market dynamics (market shares and trends, market prices and trends) as well as the ones related to the extent and coverage of competing networks or infrastructures, could be used</w:t>
      </w:r>
      <w:r>
        <w:rPr>
          <w:rFonts w:eastAsia="Times New Roman" w:cs="Arial"/>
          <w:sz w:val="24"/>
          <w:szCs w:val="24"/>
          <w:lang w:val="en-GB"/>
        </w:rPr>
        <w:t xml:space="preserve"> in both steps of the market review process, if appropriate</w:t>
      </w:r>
      <w:bookmarkEnd w:id="34"/>
      <w:r w:rsidR="00FA6B60" w:rsidRPr="00BC1ABD">
        <w:rPr>
          <w:rFonts w:eastAsia="Times New Roman" w:cs="Arial"/>
          <w:sz w:val="24"/>
          <w:szCs w:val="24"/>
          <w:lang w:val="en-GB"/>
        </w:rPr>
        <w:t>.</w:t>
      </w:r>
    </w:p>
    <w:p w14:paraId="2DE7608F" w14:textId="723947AE" w:rsidR="00B446E9" w:rsidRPr="00BC1ABD" w:rsidRDefault="00FA6B60" w:rsidP="00B446E9">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5" w:name="_Toc169258898"/>
      <w:r>
        <w:rPr>
          <w:rFonts w:asciiTheme="minorHAnsi" w:hAnsiTheme="minorHAnsi" w:cstheme="minorHAnsi"/>
          <w:b w:val="0"/>
          <w:bCs w:val="0"/>
          <w:sz w:val="24"/>
          <w:szCs w:val="24"/>
          <w:lang w:val="en-GB"/>
        </w:rPr>
        <w:t>Sixth</w:t>
      </w:r>
      <w:r w:rsidR="00B446E9" w:rsidRPr="00BC1ABD">
        <w:rPr>
          <w:rFonts w:asciiTheme="minorHAnsi" w:hAnsiTheme="minorHAnsi" w:cstheme="minorHAnsi"/>
          <w:b w:val="0"/>
          <w:bCs w:val="0"/>
          <w:sz w:val="24"/>
          <w:szCs w:val="24"/>
          <w:lang w:val="en-GB"/>
        </w:rPr>
        <w:t xml:space="preserve"> step: </w:t>
      </w:r>
      <w:r w:rsidR="00B446E9" w:rsidRPr="00B446E9">
        <w:rPr>
          <w:rFonts w:asciiTheme="minorHAnsi" w:hAnsiTheme="minorHAnsi" w:cstheme="minorHAnsi"/>
          <w:b w:val="0"/>
          <w:bCs w:val="0"/>
          <w:sz w:val="24"/>
          <w:szCs w:val="24"/>
          <w:lang w:val="en-GB"/>
        </w:rPr>
        <w:t>Imposition of specific obligations</w:t>
      </w:r>
      <w:r w:rsidR="00B446E9" w:rsidRPr="00BC1ABD">
        <w:rPr>
          <w:rFonts w:asciiTheme="minorHAnsi" w:hAnsiTheme="minorHAnsi" w:cstheme="minorHAnsi"/>
          <w:b w:val="0"/>
          <w:bCs w:val="0"/>
          <w:sz w:val="24"/>
          <w:szCs w:val="24"/>
          <w:lang w:val="en-GB"/>
        </w:rPr>
        <w:t>.</w:t>
      </w:r>
      <w:bookmarkEnd w:id="35"/>
    </w:p>
    <w:p w14:paraId="430208C8" w14:textId="24C63BFA" w:rsidR="00B446E9" w:rsidRPr="00FD4177" w:rsidRDefault="00FA6B60" w:rsidP="00B446E9">
      <w:pPr>
        <w:shd w:val="clear" w:color="auto" w:fill="FFFFFF"/>
        <w:spacing w:after="160" w:line="256" w:lineRule="auto"/>
        <w:jc w:val="both"/>
        <w:rPr>
          <w:rFonts w:eastAsia="Times New Roman" w:cs="Arial"/>
          <w:sz w:val="24"/>
          <w:szCs w:val="24"/>
          <w:lang w:val="en-GB"/>
        </w:rPr>
      </w:pPr>
      <w:r w:rsidRPr="00FD4177">
        <w:rPr>
          <w:rFonts w:eastAsia="Times New Roman" w:cs="Arial"/>
          <w:sz w:val="24"/>
          <w:szCs w:val="24"/>
          <w:lang w:val="en-GB"/>
        </w:rPr>
        <w:t>According to Art.</w:t>
      </w:r>
      <w:r w:rsidR="00B446E9" w:rsidRPr="00FD4177">
        <w:rPr>
          <w:rFonts w:eastAsia="Times New Roman" w:cs="Arial"/>
          <w:sz w:val="24"/>
          <w:szCs w:val="24"/>
          <w:lang w:val="en-GB"/>
        </w:rPr>
        <w:t xml:space="preserve"> 29</w:t>
      </w:r>
      <w:r w:rsidRPr="00FD4177">
        <w:rPr>
          <w:rFonts w:eastAsia="Times New Roman" w:cs="Arial"/>
          <w:sz w:val="24"/>
          <w:szCs w:val="24"/>
          <w:lang w:val="en-GB"/>
        </w:rPr>
        <w:t xml:space="preserve"> of the law: “</w:t>
      </w:r>
      <w:r w:rsidR="00B446E9" w:rsidRPr="00FD4177">
        <w:rPr>
          <w:rFonts w:eastAsia="Times New Roman" w:cs="Arial"/>
          <w:sz w:val="24"/>
          <w:szCs w:val="24"/>
          <w:lang w:val="en-GB"/>
        </w:rPr>
        <w:t>1</w:t>
      </w:r>
      <w:r w:rsidR="00B446E9" w:rsidRPr="00FD4177">
        <w:rPr>
          <w:rFonts w:eastAsia="Times New Roman" w:cs="Arial"/>
          <w:i/>
          <w:iCs/>
          <w:sz w:val="24"/>
          <w:szCs w:val="24"/>
          <w:lang w:val="en-GB"/>
        </w:rPr>
        <w:t>. The Commission may, by a decision, impose on an authorised person with significant market power in the relevant segment of the service market one</w:t>
      </w:r>
      <w:r w:rsidRPr="00FD4177">
        <w:rPr>
          <w:rFonts w:eastAsia="Times New Roman" w:cs="Arial"/>
          <w:i/>
          <w:iCs/>
          <w:sz w:val="24"/>
          <w:szCs w:val="24"/>
          <w:lang w:val="en-GB"/>
        </w:rPr>
        <w:t xml:space="preserve"> </w:t>
      </w:r>
      <w:r w:rsidR="00B446E9" w:rsidRPr="00FD4177">
        <w:rPr>
          <w:rFonts w:eastAsia="Times New Roman" w:cs="Arial"/>
          <w:i/>
          <w:iCs/>
          <w:sz w:val="24"/>
          <w:szCs w:val="24"/>
          <w:lang w:val="en-GB"/>
        </w:rPr>
        <w:t>or several of the following specific obligations</w:t>
      </w:r>
      <w:r w:rsidR="00B446E9" w:rsidRPr="00FD4177">
        <w:rPr>
          <w:rFonts w:eastAsia="Times New Roman" w:cs="Arial"/>
          <w:sz w:val="24"/>
          <w:szCs w:val="24"/>
          <w:lang w:val="en-GB"/>
        </w:rPr>
        <w:t>:</w:t>
      </w:r>
    </w:p>
    <w:p w14:paraId="4017BDF1" w14:textId="505DD4CA" w:rsidR="00B446E9" w:rsidRPr="00FD4177" w:rsidRDefault="00B446E9" w:rsidP="00A1177B">
      <w:pPr>
        <w:pStyle w:val="ListParagraph"/>
        <w:numPr>
          <w:ilvl w:val="0"/>
          <w:numId w:val="96"/>
        </w:numPr>
        <w:shd w:val="clear" w:color="auto" w:fill="FFFFFF"/>
        <w:spacing w:after="160" w:line="256" w:lineRule="auto"/>
        <w:jc w:val="both"/>
        <w:rPr>
          <w:i/>
          <w:sz w:val="24"/>
          <w:szCs w:val="24"/>
          <w:lang w:val="en-GB"/>
        </w:rPr>
      </w:pPr>
      <w:r w:rsidRPr="00FD4177">
        <w:rPr>
          <w:i/>
          <w:sz w:val="24"/>
          <w:szCs w:val="24"/>
          <w:lang w:val="en-GB"/>
        </w:rPr>
        <w:t>obligation to ensure transparency of information;</w:t>
      </w:r>
    </w:p>
    <w:p w14:paraId="69DEA5DB" w14:textId="5AD86CB5" w:rsidR="00B446E9" w:rsidRPr="00FD4177" w:rsidRDefault="00B446E9" w:rsidP="00A1177B">
      <w:pPr>
        <w:pStyle w:val="ListParagraph"/>
        <w:numPr>
          <w:ilvl w:val="0"/>
          <w:numId w:val="96"/>
        </w:numPr>
        <w:shd w:val="clear" w:color="auto" w:fill="FFFFFF"/>
        <w:spacing w:after="160" w:line="256" w:lineRule="auto"/>
        <w:jc w:val="both"/>
        <w:rPr>
          <w:i/>
          <w:sz w:val="24"/>
          <w:szCs w:val="24"/>
          <w:lang w:val="en-GB"/>
        </w:rPr>
      </w:pPr>
      <w:r w:rsidRPr="00FD4177">
        <w:rPr>
          <w:i/>
          <w:sz w:val="24"/>
          <w:szCs w:val="24"/>
          <w:lang w:val="en-GB"/>
        </w:rPr>
        <w:t>obligation to prohibit discrimination;</w:t>
      </w:r>
    </w:p>
    <w:p w14:paraId="1D8DC490" w14:textId="0BACF4F7" w:rsidR="00B446E9" w:rsidRPr="00FD4177" w:rsidRDefault="00B446E9" w:rsidP="00A1177B">
      <w:pPr>
        <w:pStyle w:val="ListParagraph"/>
        <w:numPr>
          <w:ilvl w:val="0"/>
          <w:numId w:val="96"/>
        </w:numPr>
        <w:shd w:val="clear" w:color="auto" w:fill="FFFFFF"/>
        <w:spacing w:after="160" w:line="256" w:lineRule="auto"/>
        <w:jc w:val="both"/>
        <w:rPr>
          <w:i/>
          <w:sz w:val="24"/>
          <w:szCs w:val="24"/>
          <w:lang w:val="en-GB"/>
        </w:rPr>
      </w:pPr>
      <w:r w:rsidRPr="00FD4177">
        <w:rPr>
          <w:i/>
          <w:sz w:val="24"/>
          <w:szCs w:val="24"/>
          <w:lang w:val="en-GB"/>
        </w:rPr>
        <w:t>obligation to record expenditure and income separately in accordance with the methodological rules approved by the Commission;</w:t>
      </w:r>
    </w:p>
    <w:p w14:paraId="62BA8168" w14:textId="1F038334" w:rsidR="00B446E9" w:rsidRPr="00FD4177" w:rsidRDefault="00B446E9" w:rsidP="00A1177B">
      <w:pPr>
        <w:pStyle w:val="ListParagraph"/>
        <w:numPr>
          <w:ilvl w:val="0"/>
          <w:numId w:val="96"/>
        </w:numPr>
        <w:shd w:val="clear" w:color="auto" w:fill="FFFFFF"/>
        <w:spacing w:after="160" w:line="256" w:lineRule="auto"/>
        <w:jc w:val="both"/>
        <w:rPr>
          <w:i/>
          <w:sz w:val="24"/>
          <w:szCs w:val="24"/>
          <w:lang w:val="en-GB"/>
        </w:rPr>
      </w:pPr>
      <w:r w:rsidRPr="00FD4177">
        <w:rPr>
          <w:i/>
          <w:sz w:val="24"/>
          <w:szCs w:val="24"/>
          <w:lang w:val="en-GB"/>
        </w:rPr>
        <w:t>obligation to provide access to relevant elements of an electronic communication network;</w:t>
      </w:r>
    </w:p>
    <w:p w14:paraId="303817D3" w14:textId="344CC38F" w:rsidR="00B446E9" w:rsidRPr="00045321" w:rsidRDefault="00B446E9" w:rsidP="00E82B0B">
      <w:pPr>
        <w:pStyle w:val="ListParagraph"/>
        <w:numPr>
          <w:ilvl w:val="0"/>
          <w:numId w:val="96"/>
        </w:numPr>
        <w:shd w:val="clear" w:color="auto" w:fill="FFFFFF"/>
        <w:spacing w:after="0" w:line="240" w:lineRule="auto"/>
        <w:jc w:val="both"/>
        <w:rPr>
          <w:rFonts w:ascii="Times New Roman" w:eastAsiaTheme="minorHAnsi" w:hAnsi="Times New Roman"/>
          <w:sz w:val="24"/>
          <w:szCs w:val="24"/>
          <w:lang w:val="en-GB" w:eastAsia="en-GB"/>
        </w:rPr>
      </w:pPr>
      <w:r w:rsidRPr="008810C1">
        <w:rPr>
          <w:i/>
          <w:sz w:val="24"/>
          <w:szCs w:val="24"/>
          <w:lang w:val="en-GB"/>
        </w:rPr>
        <w:t>obligation to regulate tariffs and prepare cost estimates</w:t>
      </w:r>
      <w:r w:rsidR="00FA6B60" w:rsidRPr="008810C1">
        <w:rPr>
          <w:i/>
          <w:sz w:val="24"/>
          <w:szCs w:val="24"/>
          <w:lang w:val="en-GB"/>
        </w:rPr>
        <w:t>”</w:t>
      </w:r>
      <w:r w:rsidRPr="008810C1">
        <w:rPr>
          <w:i/>
          <w:sz w:val="24"/>
          <w:szCs w:val="24"/>
          <w:lang w:val="en-GB"/>
        </w:rPr>
        <w:t>.</w:t>
      </w:r>
    </w:p>
    <w:p w14:paraId="57352170"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2A0CCFB3"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3554D88C"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257BA9AF"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3AB01A97"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57057AE7"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13EF95BE"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091B8504"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7279A351"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3BC798F4"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4A733769"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1E8D8C27"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784F8FAA"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32C76FAC"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48BB32A9"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379100E9"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62C95B0C"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71ACF7DD"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11CDA71A"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27BDDFC4"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7F032A93"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2BB9F31F"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3B781CEB"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083A85F9"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0054BCED"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19B5D83A" w14:textId="77777777" w:rsid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60AB6F1C" w14:textId="77777777" w:rsidR="00045321" w:rsidRPr="00045321" w:rsidRDefault="00045321" w:rsidP="00045321">
      <w:pPr>
        <w:shd w:val="clear" w:color="auto" w:fill="FFFFFF"/>
        <w:spacing w:after="0" w:line="240" w:lineRule="auto"/>
        <w:jc w:val="both"/>
        <w:rPr>
          <w:rFonts w:ascii="Times New Roman" w:eastAsiaTheme="minorHAnsi" w:hAnsi="Times New Roman"/>
          <w:sz w:val="24"/>
          <w:szCs w:val="24"/>
          <w:lang w:val="en-GB" w:eastAsia="en-GB"/>
        </w:rPr>
      </w:pPr>
    </w:p>
    <w:p w14:paraId="4B8B23CB" w14:textId="77777777" w:rsidR="00B271E6" w:rsidRPr="00BC1ABD" w:rsidRDefault="00B271E6" w:rsidP="00EB11F7">
      <w:pPr>
        <w:pStyle w:val="Heading1"/>
        <w:numPr>
          <w:ilvl w:val="0"/>
          <w:numId w:val="88"/>
        </w:numPr>
        <w:rPr>
          <w:lang w:val="en-GB"/>
        </w:rPr>
      </w:pPr>
      <w:bookmarkStart w:id="36" w:name="_Toc169258899"/>
      <w:r w:rsidRPr="00BC1ABD">
        <w:rPr>
          <w:lang w:val="en-GB"/>
        </w:rPr>
        <w:t>Fixed broadband services</w:t>
      </w:r>
      <w:bookmarkEnd w:id="36"/>
      <w:r w:rsidRPr="00BC1ABD">
        <w:rPr>
          <w:lang w:val="en-GB"/>
        </w:rPr>
        <w:tab/>
      </w:r>
    </w:p>
    <w:p w14:paraId="73FE4DF2" w14:textId="0865F634" w:rsidR="00656B70" w:rsidRPr="00BC1ABD" w:rsidRDefault="00B271E6" w:rsidP="00503ADC">
      <w:pPr>
        <w:pStyle w:val="Heading2"/>
        <w:numPr>
          <w:ilvl w:val="1"/>
          <w:numId w:val="88"/>
        </w:numPr>
        <w:spacing w:after="240"/>
        <w:rPr>
          <w:lang w:val="en-GB"/>
        </w:rPr>
      </w:pPr>
      <w:bookmarkStart w:id="37" w:name="_Toc169258900"/>
      <w:r w:rsidRPr="00BC1ABD">
        <w:rPr>
          <w:lang w:val="en-GB"/>
        </w:rPr>
        <w:t xml:space="preserve">Overview of </w:t>
      </w:r>
      <w:r w:rsidR="00DE60F4">
        <w:rPr>
          <w:lang w:val="en-GB"/>
        </w:rPr>
        <w:t>Georgia’s</w:t>
      </w:r>
      <w:r w:rsidRPr="00BC1ABD">
        <w:rPr>
          <w:lang w:val="en-GB"/>
        </w:rPr>
        <w:t xml:space="preserve"> coverage with different fixed broadband technologies</w:t>
      </w:r>
      <w:bookmarkEnd w:id="37"/>
    </w:p>
    <w:p w14:paraId="705F4C8E" w14:textId="77777777" w:rsidR="00B55501" w:rsidRPr="00503ADC" w:rsidRDefault="00B55501" w:rsidP="00503ADC">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8" w:name="_Toc146107794"/>
      <w:bookmarkStart w:id="39" w:name="_Toc169258901"/>
      <w:r w:rsidRPr="00503ADC">
        <w:rPr>
          <w:rFonts w:asciiTheme="minorHAnsi" w:hAnsiTheme="minorHAnsi" w:cstheme="minorHAnsi"/>
          <w:b w:val="0"/>
          <w:bCs w:val="0"/>
          <w:sz w:val="24"/>
          <w:szCs w:val="24"/>
          <w:lang w:val="en-GB"/>
        </w:rPr>
        <w:t>Methodology</w:t>
      </w:r>
      <w:bookmarkEnd w:id="38"/>
      <w:bookmarkEnd w:id="39"/>
    </w:p>
    <w:p w14:paraId="0857EB59" w14:textId="77777777" w:rsidR="00CB4094" w:rsidRPr="00BC1ABD" w:rsidRDefault="00CB4094" w:rsidP="00CB4094">
      <w:pPr>
        <w:spacing w:before="240" w:after="120" w:line="259" w:lineRule="auto"/>
        <w:jc w:val="both"/>
        <w:rPr>
          <w:rFonts w:asciiTheme="minorHAnsi" w:eastAsia="Times New Roman" w:hAnsiTheme="minorHAnsi" w:cs="Calibri"/>
          <w:bCs/>
          <w:iCs/>
          <w:sz w:val="24"/>
          <w:szCs w:val="24"/>
          <w:lang w:val="en-GB"/>
        </w:rPr>
      </w:pPr>
      <w:bookmarkStart w:id="40" w:name="_Hlk118791180"/>
      <w:r w:rsidRPr="00BC1ABD">
        <w:rPr>
          <w:rFonts w:asciiTheme="minorHAnsi" w:eastAsia="Times New Roman" w:hAnsiTheme="minorHAnsi" w:cs="Calibri"/>
          <w:bCs/>
          <w:iCs/>
          <w:sz w:val="24"/>
          <w:szCs w:val="24"/>
          <w:lang w:val="en-GB"/>
        </w:rPr>
        <w:t>In this section we will identify as a starting point, an electronic communications service or product that is offered together with all relevant alternatives and then assess whether there is any evidence for a geographic subdivision of the market.</w:t>
      </w:r>
    </w:p>
    <w:p w14:paraId="2FEC6A28" w14:textId="3074D703" w:rsidR="00CB4094" w:rsidRPr="00BC1ABD" w:rsidRDefault="00CB4094" w:rsidP="00CB4094">
      <w:pPr>
        <w:spacing w:before="240" w:after="120" w:line="259" w:lineRule="auto"/>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 analysis has used the data provided by the main service providers in Georgia from their answers to a questionnaire sent to them by ComCom</w:t>
      </w:r>
      <w:r w:rsidR="00DE60F4">
        <w:rPr>
          <w:rFonts w:asciiTheme="minorHAnsi" w:eastAsia="Times New Roman" w:hAnsiTheme="minorHAnsi" w:cs="Calibri"/>
          <w:bCs/>
          <w:iCs/>
          <w:sz w:val="24"/>
          <w:szCs w:val="24"/>
          <w:lang w:val="en-GB"/>
        </w:rPr>
        <w:t xml:space="preserve"> in 2022</w:t>
      </w:r>
      <w:r w:rsidRPr="00BC1ABD">
        <w:rPr>
          <w:rFonts w:asciiTheme="minorHAnsi" w:eastAsia="Times New Roman" w:hAnsiTheme="minorHAnsi" w:cs="Calibri"/>
          <w:bCs/>
          <w:iCs/>
          <w:sz w:val="24"/>
          <w:szCs w:val="24"/>
          <w:lang w:val="en-GB"/>
        </w:rPr>
        <w:t>. The purpose of the questionnaire was to explore the existing competition of all fixed broadband technologies (</w:t>
      </w:r>
      <w:r w:rsidR="00DE60F4">
        <w:rPr>
          <w:rFonts w:asciiTheme="minorHAnsi" w:eastAsia="Times New Roman" w:hAnsiTheme="minorHAnsi" w:cs="Calibri"/>
          <w:bCs/>
          <w:iCs/>
          <w:sz w:val="24"/>
          <w:szCs w:val="24"/>
          <w:lang w:val="en-GB"/>
        </w:rPr>
        <w:t xml:space="preserve">in terms of </w:t>
      </w:r>
      <w:r w:rsidRPr="00BC1ABD">
        <w:rPr>
          <w:rFonts w:asciiTheme="minorHAnsi" w:eastAsia="Times New Roman" w:hAnsiTheme="minorHAnsi" w:cs="Calibri"/>
          <w:bCs/>
          <w:iCs/>
          <w:sz w:val="24"/>
          <w:szCs w:val="24"/>
          <w:lang w:val="en-GB"/>
        </w:rPr>
        <w:t>active connections) as well as potential competition of all fixed broadband technologies (</w:t>
      </w:r>
      <w:r w:rsidR="00DE60F4">
        <w:rPr>
          <w:rFonts w:asciiTheme="minorHAnsi" w:eastAsia="Times New Roman" w:hAnsiTheme="minorHAnsi" w:cs="Calibri"/>
          <w:bCs/>
          <w:iCs/>
          <w:sz w:val="24"/>
          <w:szCs w:val="24"/>
          <w:lang w:val="en-GB"/>
        </w:rPr>
        <w:t xml:space="preserve">network coverage in terms of </w:t>
      </w:r>
      <w:r w:rsidRPr="00BC1ABD">
        <w:rPr>
          <w:rFonts w:asciiTheme="minorHAnsi" w:eastAsia="Times New Roman" w:hAnsiTheme="minorHAnsi" w:cs="Calibri"/>
          <w:bCs/>
          <w:iCs/>
          <w:sz w:val="24"/>
          <w:szCs w:val="24"/>
          <w:lang w:val="en-GB"/>
        </w:rPr>
        <w:t xml:space="preserve">premises passed). Every operator that has more than </w:t>
      </w:r>
      <w:r w:rsidR="00DE60F4">
        <w:rPr>
          <w:rFonts w:asciiTheme="minorHAnsi" w:eastAsia="Times New Roman" w:hAnsiTheme="minorHAnsi" w:cs="Calibri"/>
          <w:bCs/>
          <w:iCs/>
          <w:sz w:val="24"/>
          <w:szCs w:val="24"/>
          <w:lang w:val="en-GB"/>
        </w:rPr>
        <w:t xml:space="preserve">a total of </w:t>
      </w:r>
      <w:r w:rsidRPr="00BC1ABD">
        <w:rPr>
          <w:rFonts w:asciiTheme="minorHAnsi" w:eastAsia="Times New Roman" w:hAnsiTheme="minorHAnsi" w:cs="Calibri"/>
          <w:bCs/>
          <w:iCs/>
          <w:sz w:val="24"/>
          <w:szCs w:val="24"/>
          <w:lang w:val="en-GB"/>
        </w:rPr>
        <w:t>500 subscribers</w:t>
      </w:r>
      <w:r w:rsidR="004A40EA">
        <w:rPr>
          <w:rFonts w:asciiTheme="minorHAnsi" w:eastAsia="Times New Roman" w:hAnsiTheme="minorHAnsi" w:cs="Calibri"/>
          <w:bCs/>
          <w:iCs/>
          <w:sz w:val="24"/>
          <w:szCs w:val="24"/>
          <w:lang w:val="en-GB"/>
        </w:rPr>
        <w:t xml:space="preserve"> </w:t>
      </w:r>
      <w:r w:rsidRPr="00BC1ABD">
        <w:rPr>
          <w:rFonts w:asciiTheme="minorHAnsi" w:eastAsia="Times New Roman" w:hAnsiTheme="minorHAnsi" w:cs="Calibri"/>
          <w:bCs/>
          <w:iCs/>
          <w:sz w:val="24"/>
          <w:szCs w:val="24"/>
          <w:lang w:val="en-GB"/>
        </w:rPr>
        <w:t xml:space="preserve">was included, which means that more than 99% of the market is covered by the collected data. The </w:t>
      </w:r>
      <w:bookmarkStart w:id="41" w:name="_Hlk124271721"/>
      <w:r w:rsidRPr="00BC1ABD">
        <w:rPr>
          <w:rFonts w:asciiTheme="minorHAnsi" w:eastAsia="Times New Roman" w:hAnsiTheme="minorHAnsi" w:cs="Calibri"/>
          <w:bCs/>
          <w:iCs/>
          <w:sz w:val="24"/>
          <w:szCs w:val="24"/>
          <w:lang w:val="en-GB"/>
        </w:rPr>
        <w:t>unit of a geographic</w:t>
      </w:r>
      <w:r w:rsidR="00DE60F4">
        <w:rPr>
          <w:rFonts w:asciiTheme="minorHAnsi" w:eastAsia="Times New Roman" w:hAnsiTheme="minorHAnsi" w:cs="Calibri"/>
          <w:bCs/>
          <w:iCs/>
          <w:sz w:val="24"/>
          <w:szCs w:val="24"/>
          <w:lang w:val="en-GB"/>
        </w:rPr>
        <w:t>al</w:t>
      </w:r>
      <w:r w:rsidRPr="00BC1ABD">
        <w:rPr>
          <w:rFonts w:asciiTheme="minorHAnsi" w:eastAsia="Times New Roman" w:hAnsiTheme="minorHAnsi" w:cs="Calibri"/>
          <w:bCs/>
          <w:iCs/>
          <w:sz w:val="24"/>
          <w:szCs w:val="24"/>
          <w:lang w:val="en-GB"/>
        </w:rPr>
        <w:t xml:space="preserve"> area which was taken into account for the analysis is the “settlement</w:t>
      </w:r>
      <w:bookmarkEnd w:id="41"/>
      <w:r w:rsidRPr="00BC1ABD">
        <w:rPr>
          <w:rFonts w:asciiTheme="minorHAnsi" w:eastAsia="Times New Roman" w:hAnsiTheme="minorHAnsi" w:cs="Calibri"/>
          <w:bCs/>
          <w:iCs/>
          <w:sz w:val="24"/>
          <w:szCs w:val="24"/>
          <w:lang w:val="en-GB"/>
        </w:rPr>
        <w:t>”, and there are 3,605 settlements in the whole of Georgia</w:t>
      </w:r>
      <w:r w:rsidR="00DE60F4">
        <w:rPr>
          <w:rStyle w:val="FootnoteReference"/>
          <w:rFonts w:asciiTheme="minorHAnsi" w:eastAsia="Times New Roman" w:hAnsiTheme="minorHAnsi" w:cs="Calibri"/>
          <w:bCs/>
          <w:iCs/>
          <w:sz w:val="24"/>
          <w:szCs w:val="24"/>
          <w:lang w:val="en-GB"/>
        </w:rPr>
        <w:footnoteReference w:id="38"/>
      </w:r>
      <w:r w:rsidRPr="00BC1ABD">
        <w:rPr>
          <w:rFonts w:asciiTheme="minorHAnsi" w:eastAsia="Times New Roman" w:hAnsiTheme="minorHAnsi" w:cs="Calibri"/>
          <w:bCs/>
          <w:iCs/>
          <w:sz w:val="24"/>
          <w:szCs w:val="24"/>
          <w:lang w:val="en-GB"/>
        </w:rPr>
        <w:t xml:space="preserve">. </w:t>
      </w:r>
    </w:p>
    <w:p w14:paraId="1BB15C8C" w14:textId="06D7CEB9" w:rsidR="00CB4094" w:rsidRPr="00BC1ABD" w:rsidRDefault="00CB4094" w:rsidP="00CB4094">
      <w:pPr>
        <w:spacing w:before="240" w:after="120"/>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 questionnaire co</w:t>
      </w:r>
      <w:r w:rsidR="00DE60F4">
        <w:rPr>
          <w:rFonts w:asciiTheme="minorHAnsi" w:eastAsia="Times New Roman" w:hAnsiTheme="minorHAnsi" w:cs="Calibri"/>
          <w:bCs/>
          <w:iCs/>
          <w:sz w:val="24"/>
          <w:szCs w:val="24"/>
          <w:lang w:val="en-GB"/>
        </w:rPr>
        <w:t>llected</w:t>
      </w:r>
      <w:r w:rsidRPr="00BC1ABD">
        <w:rPr>
          <w:rFonts w:asciiTheme="minorHAnsi" w:eastAsia="Times New Roman" w:hAnsiTheme="minorHAnsi" w:cs="Calibri"/>
          <w:bCs/>
          <w:iCs/>
          <w:sz w:val="24"/>
          <w:szCs w:val="24"/>
          <w:lang w:val="en-GB"/>
        </w:rPr>
        <w:t xml:space="preserve"> the following data:</w:t>
      </w:r>
    </w:p>
    <w:p w14:paraId="7E381C6E" w14:textId="77777777" w:rsidR="00CB4094" w:rsidRPr="00BC1ABD" w:rsidRDefault="00CB4094" w:rsidP="00EB11F7">
      <w:pPr>
        <w:numPr>
          <w:ilvl w:val="0"/>
          <w:numId w:val="92"/>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Numbers of connected homes (active subscribers)</w:t>
      </w:r>
    </w:p>
    <w:p w14:paraId="49A7A34B" w14:textId="118EC86A" w:rsidR="00CB4094" w:rsidRPr="00BC1ABD" w:rsidRDefault="00CB4094" w:rsidP="00EB11F7">
      <w:pPr>
        <w:numPr>
          <w:ilvl w:val="0"/>
          <w:numId w:val="92"/>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Number of premises passed (</w:t>
      </w:r>
      <w:r w:rsidR="00DE60F4">
        <w:rPr>
          <w:rFonts w:asciiTheme="minorHAnsi" w:eastAsia="Times New Roman" w:hAnsiTheme="minorHAnsi" w:cs="Calibri"/>
          <w:bCs/>
          <w:iCs/>
          <w:sz w:val="24"/>
          <w:szCs w:val="24"/>
          <w:lang w:val="en-GB"/>
        </w:rPr>
        <w:t xml:space="preserve">this figure includes </w:t>
      </w:r>
      <w:r w:rsidRPr="00BC1ABD">
        <w:rPr>
          <w:rFonts w:asciiTheme="minorHAnsi" w:eastAsia="Times New Roman" w:hAnsiTheme="minorHAnsi" w:cs="Calibri"/>
          <w:bCs/>
          <w:iCs/>
          <w:sz w:val="24"/>
          <w:szCs w:val="24"/>
          <w:lang w:val="en-GB"/>
        </w:rPr>
        <w:t>unconnected homes which could be connected within 7 days without significant costs)</w:t>
      </w:r>
    </w:p>
    <w:p w14:paraId="3F304D7C" w14:textId="77777777" w:rsidR="00CB4094" w:rsidRPr="00BC1ABD" w:rsidRDefault="00CB4094" w:rsidP="00EB11F7">
      <w:pPr>
        <w:numPr>
          <w:ilvl w:val="0"/>
          <w:numId w:val="92"/>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Usage of passive infrastructure (where one operator shares its infrastructure with another operator, or where the passive infrastructure of another utility is used (for example the use electricity company poles or waste-water ducts).</w:t>
      </w:r>
    </w:p>
    <w:p w14:paraId="3B1974B3" w14:textId="77777777" w:rsidR="00CB4094" w:rsidRPr="00BC1ABD" w:rsidRDefault="00CB4094" w:rsidP="00CB4094">
      <w:pPr>
        <w:spacing w:before="240" w:after="120"/>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 questionnaire asked for details of the different technologies used in the provision of fixed broadband services:</w:t>
      </w:r>
    </w:p>
    <w:p w14:paraId="5A9ECB05" w14:textId="2022350C"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Fibre P2P (point-to-point) broadband access</w:t>
      </w:r>
      <w:r w:rsidR="003E3272">
        <w:rPr>
          <w:rFonts w:asciiTheme="minorHAnsi" w:eastAsia="Times New Roman" w:hAnsiTheme="minorHAnsi" w:cs="Calibri"/>
          <w:bCs/>
          <w:iCs/>
          <w:sz w:val="24"/>
          <w:szCs w:val="24"/>
          <w:lang w:val="en-GB"/>
        </w:rPr>
        <w:t>;</w:t>
      </w:r>
    </w:p>
    <w:p w14:paraId="18DF7069" w14:textId="64769CFD"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Fibre P2MP</w:t>
      </w:r>
      <w:r w:rsidR="00DE60F4">
        <w:rPr>
          <w:rFonts w:asciiTheme="minorHAnsi" w:eastAsia="Times New Roman" w:hAnsiTheme="minorHAnsi" w:cs="Calibri"/>
          <w:bCs/>
          <w:iCs/>
          <w:sz w:val="24"/>
          <w:szCs w:val="24"/>
          <w:lang w:val="en-GB"/>
        </w:rPr>
        <w:t xml:space="preserve"> </w:t>
      </w:r>
      <w:r w:rsidR="0096075F">
        <w:rPr>
          <w:rFonts w:asciiTheme="minorHAnsi" w:eastAsia="Times New Roman" w:hAnsiTheme="minorHAnsi" w:cs="Calibri"/>
          <w:bCs/>
          <w:iCs/>
          <w:sz w:val="24"/>
          <w:szCs w:val="24"/>
          <w:lang w:val="en-GB"/>
        </w:rPr>
        <w:t>(</w:t>
      </w:r>
      <w:r w:rsidRPr="00BC1ABD">
        <w:rPr>
          <w:rFonts w:asciiTheme="minorHAnsi" w:eastAsia="Times New Roman" w:hAnsiTheme="minorHAnsi" w:cs="Calibri"/>
          <w:bCs/>
          <w:iCs/>
          <w:sz w:val="24"/>
          <w:szCs w:val="24"/>
          <w:lang w:val="en-GB"/>
        </w:rPr>
        <w:t>point-to-multipoint) broadband access</w:t>
      </w:r>
      <w:r w:rsidR="003E3272">
        <w:rPr>
          <w:rFonts w:asciiTheme="minorHAnsi" w:eastAsia="Times New Roman" w:hAnsiTheme="minorHAnsi" w:cs="Calibri"/>
          <w:bCs/>
          <w:iCs/>
          <w:sz w:val="24"/>
          <w:szCs w:val="24"/>
          <w:lang w:val="en-GB"/>
        </w:rPr>
        <w:t>;</w:t>
      </w:r>
    </w:p>
    <w:p w14:paraId="4EE82DB5" w14:textId="77777777"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xDSL Copper line broadband access, capable of at least 10 Mbps download speed,</w:t>
      </w:r>
    </w:p>
    <w:p w14:paraId="3C2E501F" w14:textId="0CED3C1E"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Coaxial cable broadband access</w:t>
      </w:r>
      <w:r w:rsidR="003E3272">
        <w:rPr>
          <w:rFonts w:asciiTheme="minorHAnsi" w:eastAsia="Times New Roman" w:hAnsiTheme="minorHAnsi" w:cs="Calibri"/>
          <w:bCs/>
          <w:iCs/>
          <w:sz w:val="24"/>
          <w:szCs w:val="24"/>
          <w:lang w:val="en-GB"/>
        </w:rPr>
        <w:t>;</w:t>
      </w:r>
    </w:p>
    <w:p w14:paraId="57C48728" w14:textId="04280B6A"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FWA (fixed wireless access) broadband access capable of at least 10 Mbps download speed</w:t>
      </w:r>
      <w:r w:rsidR="003E3272">
        <w:rPr>
          <w:rFonts w:asciiTheme="minorHAnsi" w:eastAsia="Times New Roman" w:hAnsiTheme="minorHAnsi" w:cs="Calibri"/>
          <w:bCs/>
          <w:iCs/>
          <w:sz w:val="24"/>
          <w:szCs w:val="24"/>
          <w:lang w:val="en-GB"/>
        </w:rPr>
        <w:t>;</w:t>
      </w:r>
    </w:p>
    <w:p w14:paraId="2981F7D4" w14:textId="0F4AA40C"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Fixed broadband access over the mobile network (LTE) capable of at least 10 Mbps download speed</w:t>
      </w:r>
      <w:r w:rsidR="003E3272">
        <w:rPr>
          <w:rFonts w:asciiTheme="minorHAnsi" w:eastAsia="Times New Roman" w:hAnsiTheme="minorHAnsi" w:cs="Calibri"/>
          <w:bCs/>
          <w:iCs/>
          <w:sz w:val="24"/>
          <w:szCs w:val="24"/>
          <w:lang w:val="en-GB"/>
        </w:rPr>
        <w:t>;</w:t>
      </w:r>
    </w:p>
    <w:p w14:paraId="7A0D41E0" w14:textId="77777777" w:rsidR="00CB4094" w:rsidRPr="00BC1ABD" w:rsidRDefault="00CB4094" w:rsidP="00EB11F7">
      <w:pPr>
        <w:numPr>
          <w:ilvl w:val="0"/>
          <w:numId w:val="93"/>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 xml:space="preserve">Any other technologies for broadband access capable of at least 10 Mbps download speed. </w:t>
      </w:r>
    </w:p>
    <w:p w14:paraId="69A5219D" w14:textId="77777777" w:rsidR="00CB4094" w:rsidRPr="00BC1ABD" w:rsidRDefault="00CB4094" w:rsidP="00CB4094">
      <w:pPr>
        <w:spacing w:before="240" w:after="120"/>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There was also a question related to the number of business users using a residential broadband service (mainly small and medium enterprises).</w:t>
      </w:r>
    </w:p>
    <w:p w14:paraId="0BC5C4E9" w14:textId="6BEB041B" w:rsidR="002F0E62" w:rsidRDefault="00CB4094" w:rsidP="00CB4094">
      <w:pPr>
        <w:spacing w:before="240" w:after="120"/>
        <w:jc w:val="both"/>
        <w:rPr>
          <w:rFonts w:eastAsia="Times New Roman"/>
          <w:sz w:val="24"/>
          <w:szCs w:val="24"/>
          <w:lang w:val="en-GB"/>
        </w:rPr>
      </w:pPr>
      <w:r w:rsidRPr="00BC1ABD">
        <w:rPr>
          <w:rFonts w:asciiTheme="minorHAnsi" w:eastAsia="Times New Roman" w:hAnsiTheme="minorHAnsi" w:cs="Calibri"/>
          <w:bCs/>
          <w:iCs/>
          <w:sz w:val="24"/>
          <w:szCs w:val="24"/>
          <w:lang w:val="en-GB"/>
        </w:rPr>
        <w:t xml:space="preserve">The results from the completed questionnaires were compared with the data about households and population from </w:t>
      </w:r>
      <w:r w:rsidRPr="00E517D9">
        <w:rPr>
          <w:sz w:val="24"/>
          <w:szCs w:val="24"/>
          <w:lang w:val="en-US"/>
        </w:rPr>
        <w:t>Geostat</w:t>
      </w:r>
      <w:r w:rsidRPr="00BC1ABD">
        <w:rPr>
          <w:rFonts w:asciiTheme="minorHAnsi" w:eastAsia="Times New Roman" w:hAnsiTheme="minorHAnsi" w:cs="Calibri"/>
          <w:bCs/>
          <w:iCs/>
          <w:sz w:val="24"/>
          <w:szCs w:val="24"/>
          <w:vertAlign w:val="superscript"/>
          <w:lang w:val="en-GB"/>
        </w:rPr>
        <w:footnoteReference w:id="39"/>
      </w:r>
      <w:r w:rsidRPr="00BC1ABD">
        <w:rPr>
          <w:rFonts w:asciiTheme="minorHAnsi" w:eastAsia="Times New Roman" w:hAnsiTheme="minorHAnsi" w:cs="Calibri"/>
          <w:bCs/>
          <w:iCs/>
          <w:sz w:val="24"/>
          <w:szCs w:val="24"/>
          <w:lang w:val="en-GB"/>
        </w:rPr>
        <w:t>.</w:t>
      </w:r>
      <w:r w:rsidRPr="0021119E">
        <w:rPr>
          <w:rFonts w:eastAsia="Times New Roman"/>
          <w:lang w:val="en-GB"/>
        </w:rPr>
        <w:t xml:space="preserve"> </w:t>
      </w:r>
      <w:r w:rsidR="003E3272">
        <w:rPr>
          <w:rFonts w:eastAsia="Times New Roman"/>
          <w:sz w:val="24"/>
          <w:szCs w:val="24"/>
          <w:lang w:val="en-GB"/>
        </w:rPr>
        <w:t>Their data for</w:t>
      </w:r>
      <w:r w:rsidR="003E3272" w:rsidRPr="00BC1ABD">
        <w:rPr>
          <w:rFonts w:eastAsia="Times New Roman"/>
          <w:sz w:val="24"/>
          <w:szCs w:val="24"/>
          <w:lang w:val="en-GB"/>
        </w:rPr>
        <w:t xml:space="preserve"> households </w:t>
      </w:r>
      <w:r w:rsidR="003E3272">
        <w:rPr>
          <w:rFonts w:eastAsia="Times New Roman"/>
          <w:sz w:val="24"/>
          <w:szCs w:val="24"/>
          <w:lang w:val="en-GB"/>
        </w:rPr>
        <w:t xml:space="preserve">is still </w:t>
      </w:r>
      <w:r w:rsidR="003E3272" w:rsidRPr="00BC1ABD">
        <w:rPr>
          <w:rFonts w:eastAsia="Times New Roman"/>
          <w:sz w:val="24"/>
          <w:szCs w:val="24"/>
          <w:lang w:val="en-GB"/>
        </w:rPr>
        <w:t xml:space="preserve">based on the 2014 Georgian census, which is the most recent available. </w:t>
      </w:r>
      <w:r w:rsidR="003E3272">
        <w:rPr>
          <w:rFonts w:eastAsia="Times New Roman"/>
          <w:sz w:val="24"/>
          <w:szCs w:val="24"/>
          <w:lang w:val="en-GB"/>
        </w:rPr>
        <w:t>For the analysis of fixed broadband coverage, a</w:t>
      </w:r>
      <w:r w:rsidR="003E3272" w:rsidRPr="00BC1ABD">
        <w:rPr>
          <w:rFonts w:eastAsia="Times New Roman"/>
          <w:sz w:val="24"/>
          <w:szCs w:val="24"/>
          <w:lang w:val="en-GB"/>
        </w:rPr>
        <w:t>n estimation of the growth in households has been made using data from the Georgian energy regulator on the changes in the number of electric meters installed. Electric meters were chosen because generally each household has one electricity meter.</w:t>
      </w:r>
    </w:p>
    <w:p w14:paraId="5AC593BB" w14:textId="1FF75C9B" w:rsidR="00CB4094" w:rsidRPr="00BC1ABD" w:rsidRDefault="00CB4094" w:rsidP="00CB4094">
      <w:pPr>
        <w:spacing w:before="240" w:after="120"/>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 xml:space="preserve">The geographic unit used for the analysis is a ‘settlement’. According to paragraph 40 of the </w:t>
      </w:r>
      <w:r w:rsidR="003E3272">
        <w:rPr>
          <w:rFonts w:asciiTheme="minorHAnsi" w:eastAsia="Times New Roman" w:hAnsiTheme="minorHAnsi" w:cs="Calibri"/>
          <w:bCs/>
          <w:iCs/>
          <w:sz w:val="24"/>
          <w:szCs w:val="24"/>
          <w:lang w:val="en-GB"/>
        </w:rPr>
        <w:t xml:space="preserve">EU </w:t>
      </w:r>
      <w:r w:rsidRPr="00BC1ABD">
        <w:rPr>
          <w:rFonts w:asciiTheme="minorHAnsi" w:eastAsia="Times New Roman" w:hAnsiTheme="minorHAnsi" w:cs="Calibri"/>
          <w:bCs/>
          <w:iCs/>
          <w:sz w:val="24"/>
          <w:szCs w:val="24"/>
          <w:lang w:val="en-GB"/>
        </w:rPr>
        <w:t xml:space="preserve">Guidelines, the relevant geographic market comprises an area in which the undertakings concerned are involved in the supply and demand of the relevant products or services, </w:t>
      </w:r>
      <w:r w:rsidR="003E3272">
        <w:rPr>
          <w:rFonts w:asciiTheme="minorHAnsi" w:eastAsia="Times New Roman" w:hAnsiTheme="minorHAnsi" w:cs="Calibri"/>
          <w:bCs/>
          <w:iCs/>
          <w:sz w:val="24"/>
          <w:szCs w:val="24"/>
          <w:lang w:val="en-GB"/>
        </w:rPr>
        <w:t>“…</w:t>
      </w:r>
      <w:r w:rsidRPr="00642730">
        <w:rPr>
          <w:rFonts w:asciiTheme="minorHAnsi" w:eastAsia="Times New Roman" w:hAnsiTheme="minorHAnsi" w:cs="Calibri"/>
          <w:bCs/>
          <w:i/>
          <w:sz w:val="24"/>
          <w:szCs w:val="24"/>
          <w:lang w:val="en-GB"/>
        </w:rPr>
        <w:t>in which the conditions of competition are sufficiently homogeneous, and which can be distinguished from neighbouring areas in which the prevailing conditions of competition are significantly different.</w:t>
      </w:r>
      <w:r w:rsidRPr="00BC1ABD">
        <w:rPr>
          <w:rFonts w:asciiTheme="minorHAnsi" w:eastAsia="Times New Roman" w:hAnsiTheme="minorHAnsi" w:cs="Calibri"/>
          <w:bCs/>
          <w:iCs/>
          <w:sz w:val="24"/>
          <w:szCs w:val="24"/>
          <w:lang w:val="en-GB"/>
        </w:rPr>
        <w:t xml:space="preserve"> Paragraph 41 further states that these areas have to satisfy the following criteria:</w:t>
      </w:r>
    </w:p>
    <w:p w14:paraId="68C16557" w14:textId="6FA879A0" w:rsidR="00CB4094" w:rsidRPr="00BC1ABD" w:rsidRDefault="00CB4094" w:rsidP="00EB11F7">
      <w:pPr>
        <w:numPr>
          <w:ilvl w:val="0"/>
          <w:numId w:val="94"/>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 geographical areas are of an appropriate size, i.e. small enough to avoid significant variations of competitive conditions within each unit but big enough to avoid a resource-intensive and burdensome micro-analysis that could lead to market fragmentation</w:t>
      </w:r>
      <w:r w:rsidR="003E3272">
        <w:rPr>
          <w:rFonts w:asciiTheme="minorHAnsi" w:eastAsia="Times New Roman" w:hAnsiTheme="minorHAnsi" w:cs="Calibri"/>
          <w:bCs/>
          <w:iCs/>
          <w:sz w:val="24"/>
          <w:szCs w:val="24"/>
          <w:lang w:val="en-GB"/>
        </w:rPr>
        <w:t>;</w:t>
      </w:r>
      <w:r w:rsidRPr="00BC1ABD">
        <w:rPr>
          <w:rFonts w:asciiTheme="minorHAnsi" w:eastAsia="Times New Roman" w:hAnsiTheme="minorHAnsi" w:cs="Calibri"/>
          <w:bCs/>
          <w:iCs/>
          <w:sz w:val="24"/>
          <w:szCs w:val="24"/>
          <w:lang w:val="en-GB"/>
        </w:rPr>
        <w:t xml:space="preserve"> </w:t>
      </w:r>
    </w:p>
    <w:p w14:paraId="5E59B6D6" w14:textId="77777777" w:rsidR="00CB4094" w:rsidRPr="00BC1ABD" w:rsidRDefault="00CB4094" w:rsidP="00EB11F7">
      <w:pPr>
        <w:numPr>
          <w:ilvl w:val="0"/>
          <w:numId w:val="94"/>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They are able to reflect the network structure of all relevant operators, and</w:t>
      </w:r>
    </w:p>
    <w:p w14:paraId="32C80FBA" w14:textId="77777777" w:rsidR="00CB4094" w:rsidRPr="00BC1ABD" w:rsidRDefault="00CB4094" w:rsidP="00EB11F7">
      <w:pPr>
        <w:numPr>
          <w:ilvl w:val="0"/>
          <w:numId w:val="94"/>
        </w:numPr>
        <w:spacing w:before="240" w:after="120"/>
        <w:contextualSpacing/>
        <w:jc w:val="both"/>
        <w:rPr>
          <w:rFonts w:asciiTheme="minorHAnsi" w:eastAsia="Times New Roman" w:hAnsiTheme="minorHAnsi" w:cs="Calibri"/>
          <w:bCs/>
          <w:iCs/>
          <w:sz w:val="24"/>
          <w:szCs w:val="24"/>
          <w:lang w:val="en-GB"/>
        </w:rPr>
      </w:pPr>
      <w:r w:rsidRPr="00BC1ABD">
        <w:rPr>
          <w:rFonts w:asciiTheme="minorHAnsi" w:eastAsia="Times New Roman" w:hAnsiTheme="minorHAnsi" w:cs="Calibri"/>
          <w:bCs/>
          <w:iCs/>
          <w:sz w:val="24"/>
          <w:szCs w:val="24"/>
          <w:lang w:val="en-GB"/>
        </w:rPr>
        <w:t>They have clear and stable boundaries over time.</w:t>
      </w:r>
    </w:p>
    <w:p w14:paraId="40102032" w14:textId="1AB46B5B"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The majority of NRAs in the EU performed their geographical analyses on the basis of administrative units (for example regions, municipalities, settlements) or on the basis of the network topology of the dominant operator. For example, the geographical unit could be taken as an area served by one MDF (</w:t>
      </w:r>
      <w:r w:rsidRPr="00E517D9">
        <w:rPr>
          <w:sz w:val="24"/>
          <w:szCs w:val="24"/>
          <w:lang w:val="en-US"/>
        </w:rPr>
        <w:t>main distribution frame</w:t>
      </w:r>
      <w:r w:rsidRPr="00BC1ABD">
        <w:rPr>
          <w:rFonts w:eastAsia="Times New Roman" w:cs="Arial"/>
          <w:sz w:val="24"/>
          <w:szCs w:val="24"/>
          <w:vertAlign w:val="superscript"/>
          <w:lang w:val="en-GB"/>
        </w:rPr>
        <w:footnoteReference w:id="40"/>
      </w:r>
      <w:r w:rsidRPr="00BC1ABD">
        <w:rPr>
          <w:rFonts w:eastAsia="Times New Roman" w:cs="Arial"/>
          <w:sz w:val="24"/>
          <w:szCs w:val="24"/>
          <w:lang w:val="en-GB"/>
        </w:rPr>
        <w:t>) or an ODF (</w:t>
      </w:r>
      <w:r w:rsidRPr="00E517D9">
        <w:rPr>
          <w:sz w:val="24"/>
          <w:szCs w:val="24"/>
          <w:lang w:val="en-US"/>
        </w:rPr>
        <w:t>optical distribution frame</w:t>
      </w:r>
      <w:r w:rsidRPr="00BC1ABD">
        <w:rPr>
          <w:rFonts w:eastAsia="Times New Roman" w:cs="Arial"/>
          <w:sz w:val="24"/>
          <w:szCs w:val="24"/>
          <w:vertAlign w:val="superscript"/>
          <w:lang w:val="en-GB"/>
        </w:rPr>
        <w:footnoteReference w:id="41"/>
      </w:r>
      <w:r w:rsidRPr="00BC1ABD">
        <w:rPr>
          <w:rFonts w:eastAsia="Times New Roman" w:cs="Arial"/>
          <w:sz w:val="24"/>
          <w:szCs w:val="24"/>
          <w:lang w:val="en-GB"/>
        </w:rPr>
        <w:t>). This network-related methodology has the main disadvantage that the boundaries are less stable over time, for example the network topology might change during an update in technology. The main advantage of a network-based geographical segmentation is that if regulatory measures are defined at a segmented geographical level, then it is easier to implement and supervise them.</w:t>
      </w:r>
    </w:p>
    <w:p w14:paraId="45AFFEE5" w14:textId="3F19D7AA"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In Georgia’s case, it is considered more appropriate to have administrative units, not areas based on the topology of </w:t>
      </w:r>
      <w:r w:rsidR="003E3272">
        <w:rPr>
          <w:rFonts w:eastAsia="Times New Roman" w:cs="Arial"/>
          <w:sz w:val="24"/>
          <w:szCs w:val="24"/>
          <w:lang w:val="en-GB"/>
        </w:rPr>
        <w:t xml:space="preserve">any </w:t>
      </w:r>
      <w:r w:rsidR="007D2138">
        <w:rPr>
          <w:rFonts w:eastAsia="Times New Roman" w:cs="Arial"/>
          <w:sz w:val="24"/>
          <w:szCs w:val="24"/>
          <w:lang w:val="en-GB"/>
        </w:rPr>
        <w:t>main</w:t>
      </w:r>
      <w:r w:rsidRPr="00BC1ABD">
        <w:rPr>
          <w:rFonts w:eastAsia="Times New Roman" w:cs="Arial"/>
          <w:sz w:val="24"/>
          <w:szCs w:val="24"/>
          <w:lang w:val="en-GB"/>
        </w:rPr>
        <w:t xml:space="preserve"> operator. The following factors support this choice of the geographical basis for segmentation:</w:t>
      </w:r>
    </w:p>
    <w:p w14:paraId="0BD28424" w14:textId="5D737AA9" w:rsidR="00CB4094" w:rsidRPr="00BC1ABD" w:rsidRDefault="00CB4094" w:rsidP="00EB11F7">
      <w:pPr>
        <w:numPr>
          <w:ilvl w:val="0"/>
          <w:numId w:val="58"/>
        </w:numPr>
        <w:contextualSpacing/>
        <w:jc w:val="both"/>
        <w:rPr>
          <w:rFonts w:eastAsia="Times New Roman" w:cs="Arial"/>
          <w:sz w:val="24"/>
          <w:szCs w:val="24"/>
          <w:lang w:val="en-GB"/>
        </w:rPr>
      </w:pPr>
      <w:r w:rsidRPr="00BC1ABD">
        <w:rPr>
          <w:rFonts w:eastAsia="Times New Roman" w:cs="Arial"/>
          <w:sz w:val="24"/>
          <w:szCs w:val="24"/>
          <w:lang w:val="en-GB"/>
        </w:rPr>
        <w:t>In EU countries the largest operator is most usually the former incumbent, which is not the case in Georgia. The fast-growing fibre access networks, which overtook copper networks, were built according to the technical and economic conditions relating to fibre network layouts, which giving a different network structure compared with the previous copper-based networks</w:t>
      </w:r>
      <w:r w:rsidR="003E3272">
        <w:rPr>
          <w:rFonts w:eastAsia="Times New Roman" w:cs="Arial"/>
          <w:sz w:val="24"/>
          <w:szCs w:val="24"/>
          <w:lang w:val="en-GB"/>
        </w:rPr>
        <w:t>;</w:t>
      </w:r>
    </w:p>
    <w:p w14:paraId="2624109A" w14:textId="2455F30C" w:rsidR="00CB4094" w:rsidRPr="00BC1ABD" w:rsidRDefault="00CB4094" w:rsidP="00EB11F7">
      <w:pPr>
        <w:numPr>
          <w:ilvl w:val="0"/>
          <w:numId w:val="58"/>
        </w:numPr>
        <w:contextualSpacing/>
        <w:jc w:val="both"/>
        <w:rPr>
          <w:rFonts w:eastAsia="Times New Roman" w:cs="Arial"/>
          <w:sz w:val="24"/>
          <w:szCs w:val="24"/>
          <w:lang w:val="en-GB"/>
        </w:rPr>
      </w:pPr>
      <w:r w:rsidRPr="00BC1ABD">
        <w:rPr>
          <w:rFonts w:eastAsia="Times New Roman" w:cs="Arial"/>
          <w:sz w:val="24"/>
          <w:szCs w:val="24"/>
          <w:lang w:val="en-GB"/>
        </w:rPr>
        <w:t xml:space="preserve">Some </w:t>
      </w:r>
      <w:r w:rsidRPr="00E517D9">
        <w:rPr>
          <w:sz w:val="24"/>
          <w:szCs w:val="24"/>
          <w:lang w:val="en-US"/>
        </w:rPr>
        <w:t>acquisitions</w:t>
      </w:r>
      <w:r w:rsidRPr="00162AC7">
        <w:rPr>
          <w:rFonts w:eastAsia="Times New Roman" w:cs="Arial"/>
          <w:sz w:val="24"/>
          <w:szCs w:val="24"/>
          <w:lang w:val="en-GB"/>
        </w:rPr>
        <w:t xml:space="preserve"> </w:t>
      </w:r>
      <w:r w:rsidRPr="00BC1ABD">
        <w:rPr>
          <w:rFonts w:eastAsia="Times New Roman" w:cs="Arial"/>
          <w:sz w:val="24"/>
          <w:szCs w:val="24"/>
          <w:lang w:val="en-GB"/>
        </w:rPr>
        <w:t>of smaller players</w:t>
      </w:r>
      <w:r w:rsidRPr="00BC1ABD">
        <w:rPr>
          <w:rFonts w:eastAsia="Times New Roman" w:cs="Arial"/>
          <w:sz w:val="24"/>
          <w:szCs w:val="24"/>
          <w:vertAlign w:val="superscript"/>
          <w:lang w:val="en-GB"/>
        </w:rPr>
        <w:footnoteReference w:id="42"/>
      </w:r>
      <w:r w:rsidRPr="00BC1ABD">
        <w:rPr>
          <w:rFonts w:eastAsia="Times New Roman" w:cs="Arial"/>
          <w:sz w:val="24"/>
          <w:szCs w:val="24"/>
          <w:lang w:val="en-GB"/>
        </w:rPr>
        <w:t xml:space="preserve"> have taken place in Georgia, and this may continue to happen in the future. A change in ownership could result in a significant change in the network structure in a very short time</w:t>
      </w:r>
      <w:r w:rsidR="003E3272">
        <w:rPr>
          <w:rFonts w:eastAsia="Times New Roman" w:cs="Arial"/>
          <w:sz w:val="24"/>
          <w:szCs w:val="24"/>
          <w:lang w:val="en-GB"/>
        </w:rPr>
        <w:t>;</w:t>
      </w:r>
    </w:p>
    <w:p w14:paraId="509DAE46" w14:textId="3EEF5D3C" w:rsidR="00CB4094" w:rsidRPr="00BC1ABD" w:rsidRDefault="00CB4094" w:rsidP="00EB11F7">
      <w:pPr>
        <w:numPr>
          <w:ilvl w:val="0"/>
          <w:numId w:val="58"/>
        </w:numPr>
        <w:contextualSpacing/>
        <w:jc w:val="both"/>
        <w:rPr>
          <w:rFonts w:eastAsia="Times New Roman" w:cs="Arial"/>
          <w:sz w:val="24"/>
          <w:szCs w:val="24"/>
          <w:lang w:val="en-GB"/>
        </w:rPr>
      </w:pPr>
      <w:r w:rsidRPr="00BC1ABD">
        <w:rPr>
          <w:rFonts w:eastAsia="Times New Roman" w:cs="Arial"/>
          <w:sz w:val="24"/>
          <w:szCs w:val="24"/>
          <w:lang w:val="en-GB"/>
        </w:rPr>
        <w:t xml:space="preserve">It is also possible that there are some areas where </w:t>
      </w:r>
      <w:r w:rsidR="003E3272">
        <w:rPr>
          <w:rFonts w:eastAsia="Times New Roman" w:cs="Arial"/>
          <w:sz w:val="24"/>
          <w:szCs w:val="24"/>
          <w:lang w:val="en-GB"/>
        </w:rPr>
        <w:t>a large national</w:t>
      </w:r>
      <w:r w:rsidRPr="00BC1ABD">
        <w:rPr>
          <w:rFonts w:eastAsia="Times New Roman" w:cs="Arial"/>
          <w:sz w:val="24"/>
          <w:szCs w:val="24"/>
          <w:lang w:val="en-GB"/>
        </w:rPr>
        <w:t xml:space="preserve"> operator is not present at all, but there are some small local operators. Those areas would be excluded from the analysis if geographic segmentation is based on the network layout of the dominant operator</w:t>
      </w:r>
      <w:r w:rsidR="003E3272">
        <w:rPr>
          <w:rFonts w:eastAsia="Times New Roman" w:cs="Arial"/>
          <w:sz w:val="24"/>
          <w:szCs w:val="24"/>
          <w:lang w:val="en-GB"/>
        </w:rPr>
        <w:t>;</w:t>
      </w:r>
    </w:p>
    <w:p w14:paraId="1C8CCDFF" w14:textId="5EEC5A74" w:rsidR="00D733BF" w:rsidRPr="00D733BF" w:rsidRDefault="00CB4094" w:rsidP="00D733BF">
      <w:pPr>
        <w:numPr>
          <w:ilvl w:val="0"/>
          <w:numId w:val="58"/>
        </w:numPr>
        <w:contextualSpacing/>
        <w:jc w:val="both"/>
        <w:rPr>
          <w:rFonts w:eastAsia="Times New Roman" w:cs="Arial"/>
          <w:sz w:val="24"/>
          <w:szCs w:val="24"/>
          <w:lang w:val="en-GB"/>
        </w:rPr>
      </w:pPr>
      <w:r w:rsidRPr="00BC1ABD">
        <w:rPr>
          <w:rFonts w:eastAsia="Times New Roman" w:cs="Arial"/>
          <w:sz w:val="24"/>
          <w:szCs w:val="24"/>
          <w:lang w:val="en-GB"/>
        </w:rPr>
        <w:t>By using the administrative ‘settlement’ boundaries, a more stable geographical basis will enable results of any future market analysis to be directly compared.</w:t>
      </w:r>
    </w:p>
    <w:p w14:paraId="550501C6" w14:textId="017A09A7" w:rsidR="001915F5"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Regarding the size of administrative units taken into account for the analysis, Georgia has geographical subdivisions consisting of a settlement or a group of settlements. A total of 69 municipalities are registered (January 2019). Five municipalities are entirely located in the </w:t>
      </w:r>
      <w:r w:rsidR="00AB4D62">
        <w:rPr>
          <w:rFonts w:eastAsia="Times New Roman" w:cs="Arial"/>
          <w:sz w:val="24"/>
          <w:szCs w:val="24"/>
          <w:lang w:val="en-GB"/>
        </w:rPr>
        <w:t>regions</w:t>
      </w:r>
      <w:r w:rsidRPr="00BC1ABD">
        <w:rPr>
          <w:rFonts w:eastAsia="Times New Roman" w:cs="Arial"/>
          <w:sz w:val="24"/>
          <w:szCs w:val="24"/>
          <w:lang w:val="en-GB"/>
        </w:rPr>
        <w:t xml:space="preserve"> of Abkhazia and South Ossetia. The remaining 64 municipalities include five self-governing cities and 59 self-governing communities. Within these municipalities there are more than 3,000 settlements. A typical municipality consists of a centre and its surrounding villages, which can be quite at a distance from the centre of the municipality. In some cases there may be a set of small urban centres surrounded by rural, sparsely populated areas. It is considered that, if a geographical unit at municipality level is used, then conditions would not be sufficiently homogeneous, leading to wrong conclusions. For example, it may happen that some settlements are covered by operator A, others by operator B, the centre of the municipality by operators C and A, and some settlements are without fixed network coverage. At the municipality level, competition may seem sufficient with three competing operators, but in reality, the level of competition is not so favourable at the settlement level.</w:t>
      </w:r>
    </w:p>
    <w:p w14:paraId="537D1E8D" w14:textId="0E5F5445"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Some settlements are still not homogenous, especially </w:t>
      </w:r>
      <w:r w:rsidR="00AB4D62">
        <w:rPr>
          <w:rFonts w:eastAsia="Times New Roman" w:cs="Arial"/>
          <w:sz w:val="24"/>
          <w:szCs w:val="24"/>
          <w:lang w:val="en-GB"/>
        </w:rPr>
        <w:t>the larger</w:t>
      </w:r>
      <w:r w:rsidRPr="00BC1ABD">
        <w:rPr>
          <w:rFonts w:eastAsia="Times New Roman" w:cs="Arial"/>
          <w:sz w:val="24"/>
          <w:szCs w:val="24"/>
          <w:lang w:val="en-GB"/>
        </w:rPr>
        <w:t xml:space="preserve"> ones</w:t>
      </w:r>
      <w:r w:rsidRPr="00BC1ABD">
        <w:rPr>
          <w:rFonts w:eastAsia="Times New Roman" w:cs="Arial"/>
          <w:sz w:val="24"/>
          <w:szCs w:val="24"/>
          <w:vertAlign w:val="superscript"/>
          <w:lang w:val="en-GB"/>
        </w:rPr>
        <w:footnoteReference w:id="43"/>
      </w:r>
      <w:r w:rsidRPr="00BC1ABD">
        <w:rPr>
          <w:rFonts w:eastAsia="Times New Roman" w:cs="Arial"/>
          <w:sz w:val="24"/>
          <w:szCs w:val="24"/>
          <w:lang w:val="en-GB"/>
        </w:rPr>
        <w:t>, but</w:t>
      </w:r>
      <w:r w:rsidR="00AB4D62">
        <w:rPr>
          <w:rFonts w:eastAsia="Times New Roman" w:cs="Arial"/>
          <w:sz w:val="24"/>
          <w:szCs w:val="24"/>
          <w:lang w:val="en-GB"/>
        </w:rPr>
        <w:t xml:space="preserve"> there is not any further</w:t>
      </w:r>
      <w:r w:rsidRPr="00BC1ABD">
        <w:rPr>
          <w:rFonts w:eastAsia="Times New Roman" w:cs="Arial"/>
          <w:sz w:val="24"/>
          <w:szCs w:val="24"/>
          <w:lang w:val="en-GB"/>
        </w:rPr>
        <w:t xml:space="preserve"> data </w:t>
      </w:r>
      <w:r w:rsidR="00AB4D62">
        <w:rPr>
          <w:rFonts w:eastAsia="Times New Roman" w:cs="Arial"/>
          <w:sz w:val="24"/>
          <w:szCs w:val="24"/>
          <w:lang w:val="en-GB"/>
        </w:rPr>
        <w:t xml:space="preserve">available </w:t>
      </w:r>
      <w:r w:rsidRPr="00BC1ABD">
        <w:rPr>
          <w:rFonts w:eastAsia="Times New Roman" w:cs="Arial"/>
          <w:sz w:val="24"/>
          <w:szCs w:val="24"/>
          <w:lang w:val="en-GB"/>
        </w:rPr>
        <w:t xml:space="preserve">for smaller geographic </w:t>
      </w:r>
      <w:r w:rsidR="00AB4D62">
        <w:rPr>
          <w:rFonts w:eastAsia="Times New Roman" w:cs="Arial"/>
          <w:sz w:val="24"/>
          <w:szCs w:val="24"/>
          <w:lang w:val="en-GB"/>
        </w:rPr>
        <w:t>areas within these larger settlements.</w:t>
      </w:r>
      <w:bookmarkStart w:id="42" w:name="_Hlk124844410"/>
      <w:r w:rsidR="00026476">
        <w:rPr>
          <w:rFonts w:eastAsia="Times New Roman" w:cs="Arial"/>
          <w:sz w:val="24"/>
          <w:szCs w:val="24"/>
          <w:lang w:val="en-GB"/>
        </w:rPr>
        <w:t xml:space="preserve"> </w:t>
      </w:r>
      <w:r w:rsidRPr="00BC1ABD">
        <w:rPr>
          <w:rFonts w:eastAsia="Times New Roman" w:cs="Arial"/>
          <w:sz w:val="24"/>
          <w:szCs w:val="24"/>
          <w:lang w:val="en-GB"/>
        </w:rPr>
        <w:t>For fixed broadband coverage, the basic unit for the calculation of coverage is a household. It could be considered that in one apartment or house (home) lives one household. This is sometimes not the case, but the statistical error caused by any anomaly is not considered to influence the outcome of the analysis. For general comparisons between different geographical areas, it is usual in the telecommunications sector to report and compare fixed broadband connections per household. (This is different from the usual way of reporting and comparing mobile penetration which is calculated as mobile subscribers per head of population.)</w:t>
      </w:r>
    </w:p>
    <w:p w14:paraId="0209F97E" w14:textId="5F2929FA"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Rather than using “homes” (an apartment or individual house), it would be preferable, where possible to use the term “premise</w:t>
      </w:r>
      <w:r w:rsidR="00AB4D62">
        <w:rPr>
          <w:rFonts w:eastAsia="Times New Roman" w:cs="Arial"/>
          <w:sz w:val="24"/>
          <w:szCs w:val="24"/>
          <w:lang w:val="en-GB"/>
        </w:rPr>
        <w:t>s</w:t>
      </w:r>
      <w:r w:rsidRPr="00BC1ABD">
        <w:rPr>
          <w:rFonts w:eastAsia="Times New Roman" w:cs="Arial"/>
          <w:sz w:val="24"/>
          <w:szCs w:val="24"/>
          <w:lang w:val="en-GB"/>
        </w:rPr>
        <w:t>” (apartment, individual house, office, shop, other place used for residential or business purpose) as the basic unit for calculating coverage. In our analysis of the available data, this distinction between "homes" and "premises" is not always possible. We have attempted to ensure that any resulting errors introduced in the analysis are minimised.</w:t>
      </w:r>
    </w:p>
    <w:p w14:paraId="53B50A53" w14:textId="77777777" w:rsidR="00CB4094" w:rsidRPr="00B569B5" w:rsidRDefault="00CB4094" w:rsidP="00B569B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43" w:name="_Toc146107795"/>
      <w:bookmarkStart w:id="44" w:name="_Toc169258902"/>
      <w:r w:rsidRPr="00B569B5">
        <w:rPr>
          <w:rFonts w:asciiTheme="minorHAnsi" w:hAnsiTheme="minorHAnsi" w:cstheme="minorHAnsi"/>
          <w:b w:val="0"/>
          <w:bCs w:val="0"/>
          <w:sz w:val="24"/>
          <w:szCs w:val="24"/>
          <w:lang w:val="en-GB"/>
        </w:rPr>
        <w:t>General description of the geo-segmentation-analysis and its limitations</w:t>
      </w:r>
      <w:bookmarkEnd w:id="43"/>
      <w:bookmarkEnd w:id="44"/>
    </w:p>
    <w:p w14:paraId="6359EACB" w14:textId="374E9456"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The aim of the geo-segmentation-analysis in this chapter is to assess the spatial distribution of fixed broadband operators and technologies within Georgia. The results of this analysis are used to help determine the geographic market definition and the subsequent assessment of the level of competition in the fixed broadband access market within different areas of Georgia.</w:t>
      </w:r>
    </w:p>
    <w:p w14:paraId="0B915A05" w14:textId="10C975D0" w:rsidR="00CB4094" w:rsidRPr="00A345C1" w:rsidRDefault="00CB4094" w:rsidP="00A345C1">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45" w:name="_Toc146107796"/>
      <w:bookmarkStart w:id="46" w:name="_Toc169258903"/>
      <w:r w:rsidRPr="00A345C1">
        <w:rPr>
          <w:rFonts w:asciiTheme="minorHAnsi" w:hAnsiTheme="minorHAnsi" w:cstheme="minorHAnsi"/>
          <w:b w:val="0"/>
          <w:bCs w:val="0"/>
          <w:sz w:val="24"/>
          <w:szCs w:val="24"/>
          <w:lang w:val="en-GB"/>
        </w:rPr>
        <w:t>The methodology used</w:t>
      </w:r>
      <w:bookmarkEnd w:id="45"/>
      <w:r w:rsidR="00A1177B">
        <w:rPr>
          <w:rFonts w:asciiTheme="minorHAnsi" w:hAnsiTheme="minorHAnsi" w:cstheme="minorHAnsi"/>
          <w:b w:val="0"/>
          <w:bCs w:val="0"/>
          <w:sz w:val="24"/>
          <w:szCs w:val="24"/>
          <w:lang w:val="en-GB"/>
        </w:rPr>
        <w:t xml:space="preserve"> for this analysis</w:t>
      </w:r>
      <w:bookmarkEnd w:id="46"/>
    </w:p>
    <w:p w14:paraId="62373759"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The geographic analysis has been done at a settlement level, based on data obtained from a ComCom questionnaire completed by Georgian operators in December 2022. Other data, such as population and numbers of households were obtained from the Geostat database or other official sources.</w:t>
      </w:r>
    </w:p>
    <w:p w14:paraId="7B5340BF" w14:textId="2554E60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analysis identifies each different customer-serving fixed broadband access technology that is available from each operator within each settlement. For the </w:t>
      </w:r>
      <w:r w:rsidR="00F026B4">
        <w:rPr>
          <w:rFonts w:eastAsia="Times New Roman" w:cs="Arial"/>
          <w:sz w:val="24"/>
          <w:szCs w:val="24"/>
          <w:lang w:val="en-GB"/>
        </w:rPr>
        <w:t>FTTx</w:t>
      </w:r>
      <w:r w:rsidRPr="00BC1ABD">
        <w:rPr>
          <w:rFonts w:eastAsia="Times New Roman" w:cs="Arial"/>
          <w:sz w:val="24"/>
          <w:szCs w:val="24"/>
          <w:lang w:val="en-GB"/>
        </w:rPr>
        <w:t xml:space="preserve"> access technology, the presence of </w:t>
      </w:r>
      <w:r w:rsidR="00F026B4">
        <w:rPr>
          <w:rFonts w:eastAsia="Times New Roman" w:cs="Arial"/>
          <w:sz w:val="24"/>
          <w:szCs w:val="24"/>
          <w:lang w:val="en-GB"/>
        </w:rPr>
        <w:t>FTTx</w:t>
      </w:r>
      <w:r w:rsidRPr="00BC1ABD">
        <w:rPr>
          <w:rFonts w:eastAsia="Times New Roman" w:cs="Arial"/>
          <w:sz w:val="24"/>
          <w:szCs w:val="24"/>
          <w:lang w:val="en-GB"/>
        </w:rPr>
        <w:t xml:space="preserve"> networks was directly recorded by each operator. For wireless access technologies (FWA and fixed LTE), an operator is assumed to be present within a settlement if at least one subscriber is using that technology. This lower subscriber criterion is used in the case of wireless technologies because the actual network coverage is not known. Copper and FWA networks are typically not duplicated within a settlement. Cable (DOCIS) networks are not present in Georgia. In the case of fixed LTE, the real capacity of networks available for providing fixed access is uncertain.</w:t>
      </w:r>
    </w:p>
    <w:p w14:paraId="6875041A" w14:textId="77EF6334" w:rsidR="005E16B9"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For every settlement, all households and inhabitants are counted, despite the possibility that only parts of settlements are within the actual reach of a particular network. To estimate the reach of every network, all households and inhabitants from all settlements where at least one subscriber is connected were included. Despite the possibility for over-estimation, this approach will reveal the level of competition in each settlement because it ensures that each network and technology is counted.</w:t>
      </w:r>
    </w:p>
    <w:p w14:paraId="320C0F15" w14:textId="77777777" w:rsidR="00CB4094" w:rsidRPr="00A345C1" w:rsidRDefault="00CB4094" w:rsidP="00A345C1">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47" w:name="_Toc146107797"/>
      <w:bookmarkStart w:id="48" w:name="_Toc169258904"/>
      <w:r w:rsidRPr="00A345C1">
        <w:rPr>
          <w:rFonts w:asciiTheme="minorHAnsi" w:hAnsiTheme="minorHAnsi" w:cstheme="minorHAnsi"/>
          <w:b w:val="0"/>
          <w:bCs w:val="0"/>
          <w:sz w:val="24"/>
          <w:szCs w:val="24"/>
          <w:lang w:val="en-GB"/>
        </w:rPr>
        <w:t>The definition of geographical units</w:t>
      </w:r>
      <w:bookmarkEnd w:id="47"/>
      <w:bookmarkEnd w:id="48"/>
    </w:p>
    <w:p w14:paraId="13AB6D9A"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Ideally, a full geo-segmentation analysis would be carried out to establish which networks and technologies are available at each household in Georgia. This level of geo-segmentation data is not available in Georgia. In contrast, an analysis of networks and technology at a national level would not reveal competition problems within the different parts of Georgia. As a compromise, an analysis at a settlement level has been chosen to assess the level of competition at a sub-national level.</w:t>
      </w:r>
    </w:p>
    <w:p w14:paraId="32985FAC"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In Georgia, settlements are clearly defined administratively with stable geographical boundaries. There are very large differences in the sizes of different settlements. The city of Tbilisi is defined administratively as one settlement in the same way as the smallest rural settlements, even though there are very large differences in their relative geographical areas and populations.</w:t>
      </w:r>
    </w:p>
    <w:p w14:paraId="1A9B2234" w14:textId="77777777" w:rsidR="00CB4094" w:rsidRPr="00BC1ABD" w:rsidRDefault="00CB4094" w:rsidP="00CB4094">
      <w:pPr>
        <w:jc w:val="both"/>
        <w:rPr>
          <w:rFonts w:eastAsia="Times New Roman" w:cs="Arial"/>
          <w:b/>
          <w:bCs/>
          <w:sz w:val="24"/>
          <w:szCs w:val="24"/>
          <w:lang w:val="en-GB"/>
        </w:rPr>
      </w:pPr>
      <w:r w:rsidRPr="00BC1ABD">
        <w:rPr>
          <w:rFonts w:eastAsia="Times New Roman" w:cs="Arial"/>
          <w:sz w:val="24"/>
          <w:szCs w:val="24"/>
          <w:lang w:val="en-GB"/>
        </w:rPr>
        <w:t>The data for smaller parts of the larger settlements (such as districts within Tbilisi) are not available, nor are the boundaries of sub-settlement districts well defined. The geographical boundaries of some rural settlements are not well defined either, but as there are not many inhabitants in these settlements, the possible errors that could arise in data reporting for these more ill-defined settlements will not significantly affect the outcome of the analysis. If ill-defined sub-settlement districts within the large cities had been investigated, the possible errors introduced could have been significant because the populations of these districts are large and some households could have been incorrectly added to the wrong district.</w:t>
      </w:r>
    </w:p>
    <w:p w14:paraId="4C7BDAC3" w14:textId="51063F6B"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Data for the sub-districts within the larger settlements was not collected due to the time required and the possibility for error. It is considered that this lack of </w:t>
      </w:r>
      <w:r w:rsidR="00A1177B">
        <w:rPr>
          <w:rFonts w:eastAsia="Times New Roman" w:cs="Arial"/>
          <w:sz w:val="24"/>
          <w:szCs w:val="24"/>
          <w:lang w:val="en-GB"/>
        </w:rPr>
        <w:t xml:space="preserve">more granular </w:t>
      </w:r>
      <w:r w:rsidRPr="00BC1ABD">
        <w:rPr>
          <w:rFonts w:eastAsia="Times New Roman" w:cs="Arial"/>
          <w:sz w:val="24"/>
          <w:szCs w:val="24"/>
          <w:lang w:val="en-GB"/>
        </w:rPr>
        <w:t>data does not significantly alter the conclusions of the geo-segmentation analysis.</w:t>
      </w:r>
      <w:r w:rsidR="0031604A">
        <w:rPr>
          <w:rFonts w:eastAsia="Times New Roman" w:cs="Arial"/>
          <w:sz w:val="24"/>
          <w:szCs w:val="24"/>
          <w:lang w:val="en-GB"/>
        </w:rPr>
        <w:t xml:space="preserve"> Data was collected at a settlement level for the purposes of this analysis. This data is the most up to date available (end of 2022) and is considered to be sufficient for the purposes of geo-segmentation and for analysing network and technology coverage and competition.</w:t>
      </w:r>
    </w:p>
    <w:p w14:paraId="46845BAF" w14:textId="77777777" w:rsidR="00CB4094" w:rsidRPr="00A345C1" w:rsidRDefault="00CB4094" w:rsidP="00A345C1">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49" w:name="_Toc146107798"/>
      <w:bookmarkStart w:id="50" w:name="_Toc169258905"/>
      <w:r w:rsidRPr="00A345C1">
        <w:rPr>
          <w:rFonts w:asciiTheme="minorHAnsi" w:hAnsiTheme="minorHAnsi" w:cstheme="minorHAnsi"/>
          <w:b w:val="0"/>
          <w:bCs w:val="0"/>
          <w:sz w:val="24"/>
          <w:szCs w:val="24"/>
          <w:lang w:val="en-GB"/>
        </w:rPr>
        <w:t>Definition of coverage</w:t>
      </w:r>
      <w:bookmarkEnd w:id="49"/>
      <w:bookmarkEnd w:id="50"/>
    </w:p>
    <w:p w14:paraId="5EBE112E" w14:textId="48C47D08" w:rsidR="00CB4094" w:rsidRPr="00BC1ABD" w:rsidRDefault="00CB4094" w:rsidP="00CB4094">
      <w:pPr>
        <w:jc w:val="both"/>
        <w:rPr>
          <w:rFonts w:eastAsia="Times New Roman"/>
          <w:bCs/>
          <w:sz w:val="24"/>
          <w:szCs w:val="24"/>
          <w:lang w:val="en-GB"/>
        </w:rPr>
      </w:pPr>
      <w:r w:rsidRPr="00BC1ABD">
        <w:rPr>
          <w:rFonts w:eastAsia="Times New Roman"/>
          <w:sz w:val="24"/>
          <w:szCs w:val="24"/>
          <w:lang w:val="en-GB"/>
        </w:rPr>
        <w:t>It is assumed that an operator, once present in a settlement, is capable of expanding its network within the settlement or at least to the more populated parts of the settlement.</w:t>
      </w:r>
      <w:r w:rsidRPr="00BC1ABD">
        <w:rPr>
          <w:rFonts w:eastAsia="Times New Roman"/>
          <w:bCs/>
          <w:sz w:val="24"/>
          <w:szCs w:val="24"/>
          <w:lang w:val="en-GB"/>
        </w:rPr>
        <w:t xml:space="preserve"> Therefore, the whole settlement is defined as covered by any given operator and if at least one subscriber is reported in a settlement for its network. This assumption ha</w:t>
      </w:r>
      <w:r w:rsidR="0031604A">
        <w:rPr>
          <w:rFonts w:eastAsia="Times New Roman"/>
          <w:bCs/>
          <w:sz w:val="24"/>
          <w:szCs w:val="24"/>
          <w:lang w:val="en-GB"/>
        </w:rPr>
        <w:t>s</w:t>
      </w:r>
      <w:r w:rsidRPr="00BC1ABD">
        <w:rPr>
          <w:rFonts w:eastAsia="Times New Roman"/>
          <w:bCs/>
          <w:sz w:val="24"/>
          <w:szCs w:val="24"/>
          <w:lang w:val="en-GB"/>
        </w:rPr>
        <w:t xml:space="preserve"> to be made because data at a household level is not available. The ComCom questionnaires completed by operators only provided data at a settlement level.</w:t>
      </w:r>
    </w:p>
    <w:p w14:paraId="3CA5EBED" w14:textId="77777777" w:rsidR="00CB4094" w:rsidRPr="00BC1ABD" w:rsidRDefault="00CB4094" w:rsidP="00CB4094">
      <w:pPr>
        <w:jc w:val="both"/>
        <w:rPr>
          <w:rFonts w:eastAsia="Times New Roman"/>
          <w:bCs/>
          <w:sz w:val="24"/>
          <w:szCs w:val="24"/>
          <w:lang w:val="en-GB"/>
        </w:rPr>
      </w:pPr>
      <w:r w:rsidRPr="00BC1ABD">
        <w:rPr>
          <w:rFonts w:eastAsia="Times New Roman"/>
          <w:bCs/>
          <w:sz w:val="24"/>
          <w:szCs w:val="24"/>
          <w:lang w:val="en-GB"/>
        </w:rPr>
        <w:t>In some settlements where an operator has established wireless technology access, that operator has reported no subscriber take-up. Such settlements are counted as uncovered by that operator.</w:t>
      </w:r>
    </w:p>
    <w:p w14:paraId="4458B13F" w14:textId="7EF0E0F1" w:rsidR="00CB4094" w:rsidRPr="00BC1ABD" w:rsidRDefault="00CB4094" w:rsidP="00CB4094">
      <w:pPr>
        <w:jc w:val="both"/>
        <w:rPr>
          <w:rFonts w:eastAsia="Times New Roman"/>
          <w:bCs/>
          <w:sz w:val="24"/>
          <w:szCs w:val="24"/>
          <w:lang w:val="en-GB"/>
        </w:rPr>
      </w:pPr>
      <w:r w:rsidRPr="00BC1ABD">
        <w:rPr>
          <w:rFonts w:eastAsia="Times New Roman"/>
          <w:bCs/>
          <w:sz w:val="24"/>
          <w:szCs w:val="24"/>
          <w:lang w:val="en-GB"/>
        </w:rPr>
        <w:t>If m</w:t>
      </w:r>
      <w:r w:rsidR="0031604A">
        <w:rPr>
          <w:rFonts w:eastAsia="Times New Roman"/>
          <w:bCs/>
          <w:sz w:val="24"/>
          <w:szCs w:val="24"/>
          <w:lang w:val="en-GB"/>
        </w:rPr>
        <w:t xml:space="preserve">ore </w:t>
      </w:r>
      <w:r w:rsidR="002F0E62">
        <w:rPr>
          <w:rFonts w:eastAsia="Times New Roman"/>
          <w:bCs/>
          <w:sz w:val="24"/>
          <w:szCs w:val="24"/>
          <w:lang w:val="en-GB"/>
        </w:rPr>
        <w:t xml:space="preserve">than </w:t>
      </w:r>
      <w:r w:rsidR="0031604A">
        <w:rPr>
          <w:rFonts w:eastAsia="Times New Roman"/>
          <w:bCs/>
          <w:sz w:val="24"/>
          <w:szCs w:val="24"/>
          <w:lang w:val="en-GB"/>
        </w:rPr>
        <w:t xml:space="preserve">one </w:t>
      </w:r>
      <w:r w:rsidRPr="00BC1ABD">
        <w:rPr>
          <w:rFonts w:eastAsia="Times New Roman"/>
          <w:bCs/>
          <w:sz w:val="24"/>
          <w:szCs w:val="24"/>
          <w:lang w:val="en-GB"/>
        </w:rPr>
        <w:t xml:space="preserve">operator </w:t>
      </w:r>
      <w:r w:rsidR="002F0E62">
        <w:rPr>
          <w:rFonts w:eastAsia="Times New Roman"/>
          <w:bCs/>
          <w:sz w:val="24"/>
          <w:szCs w:val="24"/>
          <w:lang w:val="en-GB"/>
        </w:rPr>
        <w:t>is</w:t>
      </w:r>
      <w:r w:rsidRPr="00BC1ABD">
        <w:rPr>
          <w:rFonts w:eastAsia="Times New Roman"/>
          <w:bCs/>
          <w:sz w:val="24"/>
          <w:szCs w:val="24"/>
          <w:lang w:val="en-GB"/>
        </w:rPr>
        <w:t xml:space="preserve"> present in the same settlement, it is assumed that all operators cover the whole settlement.</w:t>
      </w:r>
    </w:p>
    <w:p w14:paraId="1994A909" w14:textId="77777777" w:rsidR="00CB4094" w:rsidRPr="00A345C1" w:rsidRDefault="00CB4094" w:rsidP="00A345C1">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51" w:name="_Toc146107799"/>
      <w:bookmarkStart w:id="52" w:name="_Toc169258906"/>
      <w:r w:rsidRPr="00A345C1">
        <w:rPr>
          <w:rFonts w:asciiTheme="minorHAnsi" w:hAnsiTheme="minorHAnsi" w:cstheme="minorHAnsi"/>
          <w:b w:val="0"/>
          <w:bCs w:val="0"/>
          <w:sz w:val="24"/>
          <w:szCs w:val="24"/>
          <w:lang w:val="en-GB"/>
        </w:rPr>
        <w:t>Overlapping of technologies</w:t>
      </w:r>
      <w:bookmarkEnd w:id="51"/>
      <w:bookmarkEnd w:id="52"/>
    </w:p>
    <w:p w14:paraId="77258E5D" w14:textId="77777777" w:rsidR="00CB4094" w:rsidRPr="00BC1ABD" w:rsidRDefault="00CB4094" w:rsidP="00CB4094">
      <w:pPr>
        <w:jc w:val="both"/>
        <w:rPr>
          <w:rFonts w:eastAsia="Times New Roman" w:cs="Arial"/>
          <w:b/>
          <w:bCs/>
          <w:sz w:val="24"/>
          <w:szCs w:val="24"/>
          <w:lang w:val="en-GB"/>
        </w:rPr>
      </w:pPr>
      <w:r w:rsidRPr="00BC1ABD">
        <w:rPr>
          <w:rFonts w:eastAsia="Times New Roman" w:cs="Arial"/>
          <w:sz w:val="24"/>
          <w:szCs w:val="24"/>
          <w:lang w:val="en-GB"/>
        </w:rPr>
        <w:t>Since data at the house address level is not available, the overlap of technologies can only be estimated at the settlement level. According to the definition of coverage above, the settlement is counted as having overlapping technologies if at least one subscriber is reported for each of the technologies present.</w:t>
      </w:r>
    </w:p>
    <w:p w14:paraId="76D38CA7" w14:textId="77777777" w:rsidR="00CB4094" w:rsidRPr="00A345C1" w:rsidRDefault="00CB4094" w:rsidP="00A345C1">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53" w:name="_Toc146107800"/>
      <w:bookmarkStart w:id="54" w:name="_Toc169258907"/>
      <w:r w:rsidRPr="00A345C1">
        <w:rPr>
          <w:rFonts w:asciiTheme="minorHAnsi" w:hAnsiTheme="minorHAnsi" w:cstheme="minorHAnsi"/>
          <w:b w:val="0"/>
          <w:bCs w:val="0"/>
          <w:sz w:val="24"/>
          <w:szCs w:val="24"/>
          <w:lang w:val="en-GB"/>
        </w:rPr>
        <w:t>Data accuracy</w:t>
      </w:r>
      <w:bookmarkEnd w:id="53"/>
      <w:bookmarkEnd w:id="54"/>
    </w:p>
    <w:p w14:paraId="19994659" w14:textId="7EB87047" w:rsidR="00A1177B" w:rsidRPr="00241EFD" w:rsidRDefault="00CB4094" w:rsidP="00A1177B">
      <w:pPr>
        <w:jc w:val="both"/>
        <w:rPr>
          <w:rFonts w:eastAsia="Times New Roman"/>
          <w:sz w:val="24"/>
          <w:szCs w:val="24"/>
          <w:lang w:val="en-GB"/>
        </w:rPr>
      </w:pPr>
      <w:r w:rsidRPr="00BC1ABD">
        <w:rPr>
          <w:rFonts w:eastAsia="Times New Roman"/>
          <w:sz w:val="24"/>
          <w:szCs w:val="24"/>
          <w:lang w:val="en-GB"/>
        </w:rPr>
        <w:t>This is the first time that coverage data for fixed broadband access networks and technologies has been collected at a settlement level within Georgia. It is possible that there are some mistakes in the data collection, but generally the summarised data can be reconciled with data already collected by ComCom at the national level.</w:t>
      </w:r>
      <w:r w:rsidR="00A1177B">
        <w:rPr>
          <w:rFonts w:eastAsia="Times New Roman"/>
          <w:sz w:val="24"/>
          <w:szCs w:val="24"/>
          <w:lang w:val="en-GB"/>
        </w:rPr>
        <w:t xml:space="preserve"> </w:t>
      </w:r>
      <w:r w:rsidR="00B36737">
        <w:rPr>
          <w:rFonts w:cs="Arial"/>
          <w:sz w:val="24"/>
          <w:szCs w:val="24"/>
          <w:lang w:val="en-GB"/>
        </w:rPr>
        <w:t xml:space="preserve">In the geographical analysis of competition (see Chapter 6.3.5), the collected data on </w:t>
      </w:r>
      <w:r w:rsidR="00F026B4">
        <w:rPr>
          <w:rFonts w:cs="Arial"/>
          <w:sz w:val="24"/>
          <w:szCs w:val="24"/>
          <w:lang w:val="en-GB"/>
        </w:rPr>
        <w:t>FTTx</w:t>
      </w:r>
      <w:r w:rsidR="00B36737">
        <w:rPr>
          <w:rFonts w:cs="Arial"/>
          <w:sz w:val="24"/>
          <w:szCs w:val="24"/>
          <w:lang w:val="en-GB"/>
        </w:rPr>
        <w:t xml:space="preserve"> coverage is mainly used. </w:t>
      </w:r>
      <w:r w:rsidR="00F026B4">
        <w:rPr>
          <w:rFonts w:cs="Arial"/>
          <w:sz w:val="24"/>
          <w:szCs w:val="24"/>
          <w:lang w:val="en-GB"/>
        </w:rPr>
        <w:t>FTTx</w:t>
      </w:r>
      <w:r w:rsidR="00B36737">
        <w:rPr>
          <w:rFonts w:cs="Arial"/>
          <w:sz w:val="24"/>
          <w:szCs w:val="24"/>
          <w:lang w:val="en-GB"/>
        </w:rPr>
        <w:t xml:space="preserve"> coverage data is considered to be the most accurate of the collected data.</w:t>
      </w:r>
    </w:p>
    <w:p w14:paraId="5A0E4375" w14:textId="77777777" w:rsidR="00CB4094" w:rsidRPr="00EE6EDC" w:rsidRDefault="00CB4094" w:rsidP="00EE6EDC">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55" w:name="_Toc141447224"/>
      <w:bookmarkStart w:id="56" w:name="_Toc146107801"/>
      <w:bookmarkStart w:id="57" w:name="_Toc169258908"/>
      <w:bookmarkEnd w:id="42"/>
      <w:bookmarkEnd w:id="55"/>
      <w:r w:rsidRPr="00EE6EDC">
        <w:rPr>
          <w:rFonts w:asciiTheme="minorHAnsi" w:hAnsiTheme="minorHAnsi" w:cstheme="minorHAnsi"/>
          <w:b w:val="0"/>
          <w:bCs w:val="0"/>
          <w:sz w:val="24"/>
          <w:szCs w:val="24"/>
          <w:lang w:val="en-GB"/>
        </w:rPr>
        <w:t>Results</w:t>
      </w:r>
      <w:bookmarkEnd w:id="56"/>
      <w:bookmarkEnd w:id="57"/>
    </w:p>
    <w:p w14:paraId="703EC6FA" w14:textId="2B3C74D6"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questionnaire was distributed among 43 operators in November 2022. ComCom received </w:t>
      </w:r>
      <w:r w:rsidR="00B36737">
        <w:rPr>
          <w:rFonts w:eastAsia="Times New Roman" w:cs="Arial"/>
          <w:sz w:val="24"/>
          <w:szCs w:val="24"/>
          <w:lang w:val="en-GB"/>
        </w:rPr>
        <w:t xml:space="preserve">answers from </w:t>
      </w:r>
      <w:r w:rsidRPr="00BC1ABD">
        <w:rPr>
          <w:rFonts w:eastAsia="Times New Roman" w:cs="Arial"/>
          <w:sz w:val="24"/>
          <w:szCs w:val="24"/>
          <w:lang w:val="en-GB"/>
        </w:rPr>
        <w:t xml:space="preserve">35 </w:t>
      </w:r>
      <w:r w:rsidR="00B36737">
        <w:rPr>
          <w:rFonts w:eastAsia="Times New Roman" w:cs="Arial"/>
          <w:sz w:val="24"/>
          <w:szCs w:val="24"/>
          <w:lang w:val="en-GB"/>
        </w:rPr>
        <w:t>operators</w:t>
      </w:r>
      <w:r w:rsidRPr="00BC1ABD">
        <w:rPr>
          <w:rFonts w:eastAsia="Times New Roman" w:cs="Arial"/>
          <w:sz w:val="24"/>
          <w:szCs w:val="24"/>
          <w:lang w:val="en-GB"/>
        </w:rPr>
        <w:t xml:space="preserve">. The cumulative market share of </w:t>
      </w:r>
      <w:r w:rsidR="00B36737">
        <w:rPr>
          <w:rFonts w:eastAsia="Times New Roman" w:cs="Arial"/>
          <w:sz w:val="24"/>
          <w:szCs w:val="24"/>
          <w:lang w:val="en-GB"/>
        </w:rPr>
        <w:t xml:space="preserve">the </w:t>
      </w:r>
      <w:r w:rsidRPr="00BC1ABD">
        <w:rPr>
          <w:rFonts w:eastAsia="Times New Roman" w:cs="Arial"/>
          <w:sz w:val="24"/>
          <w:szCs w:val="24"/>
          <w:lang w:val="en-GB"/>
        </w:rPr>
        <w:t>operators who responded up to 4</w:t>
      </w:r>
      <w:r w:rsidRPr="00BC1ABD">
        <w:rPr>
          <w:rFonts w:eastAsia="Times New Roman" w:cs="Arial"/>
          <w:sz w:val="24"/>
          <w:szCs w:val="24"/>
          <w:vertAlign w:val="superscript"/>
          <w:lang w:val="en-GB"/>
        </w:rPr>
        <w:t>th</w:t>
      </w:r>
      <w:r w:rsidRPr="00BC1ABD">
        <w:rPr>
          <w:rFonts w:eastAsia="Times New Roman" w:cs="Arial"/>
          <w:sz w:val="24"/>
          <w:szCs w:val="24"/>
          <w:lang w:val="en-GB"/>
        </w:rPr>
        <w:t xml:space="preserve"> January 2023, represent 93 % of the total market and 96%, 83% and 70% of all </w:t>
      </w:r>
      <w:r w:rsidR="00F026B4">
        <w:rPr>
          <w:rFonts w:eastAsia="Times New Roman" w:cs="Arial"/>
          <w:sz w:val="24"/>
          <w:szCs w:val="24"/>
          <w:lang w:val="en-GB"/>
        </w:rPr>
        <w:t>FTTx</w:t>
      </w:r>
      <w:r w:rsidRPr="00BC1ABD">
        <w:rPr>
          <w:rFonts w:eastAsia="Times New Roman" w:cs="Arial"/>
          <w:sz w:val="24"/>
          <w:szCs w:val="24"/>
          <w:lang w:val="en-GB"/>
        </w:rPr>
        <w:t>, xDSL and FWA connections respectively.</w:t>
      </w:r>
    </w:p>
    <w:p w14:paraId="5B82F3F9" w14:textId="2EA380FC" w:rsidR="00CB4094"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According to </w:t>
      </w:r>
      <w:r w:rsidR="00B36737">
        <w:rPr>
          <w:rFonts w:eastAsia="Times New Roman" w:cs="Arial"/>
          <w:sz w:val="24"/>
          <w:szCs w:val="24"/>
          <w:lang w:val="en-GB"/>
        </w:rPr>
        <w:t xml:space="preserve">the </w:t>
      </w:r>
      <w:r w:rsidRPr="00BC1ABD">
        <w:rPr>
          <w:rFonts w:eastAsia="Times New Roman" w:cs="Arial"/>
          <w:sz w:val="24"/>
          <w:szCs w:val="24"/>
          <w:lang w:val="en-GB"/>
        </w:rPr>
        <w:t>2014 census, Georgia has 1,109,222 households and 3,716,900 inhabitants with permanent residence. The population density varies from densely populated metropolitan area of Tbilisi to the almost non-populated mountainous areas, as depicted in chart below.</w:t>
      </w:r>
    </w:p>
    <w:p w14:paraId="7CC18ED9"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bookmarkStart w:id="58" w:name="_Toc141200241"/>
    </w:p>
    <w:p w14:paraId="5EFC555C"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1EEC609C"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415A3286"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24E25C7F"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10B6BB85"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3ECEA5A7"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04A83121"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49D6732B" w14:textId="2D467FF9"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59" w:name="_Toc152931352"/>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Population density </w:t>
      </w:r>
      <w:hyperlink r:id="rId12" w:history="1">
        <w:r w:rsidRPr="00E517D9">
          <w:rPr>
            <w:color w:val="44546A" w:themeColor="text2"/>
            <w:lang w:val="en-US"/>
          </w:rPr>
          <w:t>map</w:t>
        </w:r>
      </w:hyperlink>
      <w:r w:rsidRPr="00BC1ABD">
        <w:rPr>
          <w:rFonts w:asciiTheme="minorHAnsi" w:eastAsia="Times New Roman" w:hAnsiTheme="minorHAnsi"/>
          <w:i/>
          <w:iCs/>
          <w:color w:val="44546A" w:themeColor="text2"/>
          <w:sz w:val="20"/>
          <w:szCs w:val="20"/>
          <w:lang w:val="en-GB"/>
        </w:rPr>
        <w:t xml:space="preserve"> from 2014 census</w:t>
      </w:r>
      <w:bookmarkEnd w:id="58"/>
      <w:bookmarkEnd w:id="59"/>
    </w:p>
    <w:p w14:paraId="430D1F0C" w14:textId="5B3274CD" w:rsidR="00CB4094" w:rsidRPr="00BC1ABD" w:rsidRDefault="00CB4094" w:rsidP="00E82B0B">
      <w:pPr>
        <w:jc w:val="center"/>
        <w:rPr>
          <w:rFonts w:eastAsia="Times New Roman" w:cs="Arial"/>
          <w:sz w:val="24"/>
          <w:szCs w:val="24"/>
          <w:lang w:val="en-GB"/>
        </w:rPr>
      </w:pPr>
      <w:r w:rsidRPr="00BC1ABD">
        <w:rPr>
          <w:rFonts w:eastAsia="Times New Roman"/>
          <w:noProof/>
          <w:lang w:val="sl-SI" w:eastAsia="sl-SI"/>
        </w:rPr>
        <w:drawing>
          <wp:inline distT="0" distB="0" distL="0" distR="0" wp14:anchorId="3693055E" wp14:editId="3A442DCD">
            <wp:extent cx="4905375" cy="2538963"/>
            <wp:effectExtent l="0" t="0" r="0" b="0"/>
            <wp:docPr id="1794009343" name="Slika 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09343" name="Slika 6" descr="Slika na kojoj se prikazuje karta&#10;&#10;Opis je automatski generira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5023" cy="2543956"/>
                    </a:xfrm>
                    <a:prstGeom prst="rect">
                      <a:avLst/>
                    </a:prstGeom>
                    <a:noFill/>
                    <a:ln>
                      <a:noFill/>
                    </a:ln>
                  </pic:spPr>
                </pic:pic>
              </a:graphicData>
            </a:graphic>
          </wp:inline>
        </w:drawing>
      </w:r>
    </w:p>
    <w:p w14:paraId="696CF4CF" w14:textId="2ECD96B2" w:rsidR="00CB4094" w:rsidRPr="001915F5" w:rsidRDefault="00CB4094" w:rsidP="00CB4094">
      <w:pPr>
        <w:jc w:val="center"/>
        <w:rPr>
          <w:rFonts w:eastAsia="Times New Roman" w:cs="Arial"/>
          <w:sz w:val="20"/>
          <w:szCs w:val="20"/>
          <w:lang w:val="fr-BE"/>
        </w:rPr>
      </w:pPr>
      <w:r w:rsidRPr="001915F5">
        <w:rPr>
          <w:rFonts w:eastAsia="Times New Roman" w:cs="Arial"/>
          <w:sz w:val="20"/>
          <w:szCs w:val="20"/>
          <w:lang w:val="fr-BE"/>
        </w:rPr>
        <w:t>Source:</w:t>
      </w:r>
      <w:r w:rsidRPr="001915F5">
        <w:rPr>
          <w:rFonts w:eastAsia="Times New Roman" w:cs="Arial"/>
          <w:sz w:val="24"/>
          <w:szCs w:val="24"/>
          <w:lang w:val="fr-BE"/>
        </w:rPr>
        <w:t xml:space="preserve"> </w:t>
      </w:r>
      <w:hyperlink r:id="rId14" w:history="1">
        <w:r w:rsidRPr="001915F5">
          <w:rPr>
            <w:rFonts w:eastAsia="Times New Roman" w:cs="Arial"/>
            <w:color w:val="0000FF"/>
            <w:sz w:val="20"/>
            <w:szCs w:val="20"/>
            <w:u w:val="single"/>
            <w:lang w:val="fr-BE"/>
          </w:rPr>
          <w:t>https://demotrends.org/2020/01/20/population-change-in-georgia-from-1990-to-2018/</w:t>
        </w:r>
      </w:hyperlink>
      <w:r w:rsidRPr="001915F5">
        <w:rPr>
          <w:rFonts w:eastAsia="Times New Roman" w:cs="Arial"/>
          <w:sz w:val="20"/>
          <w:szCs w:val="20"/>
          <w:lang w:val="fr-BE"/>
        </w:rPr>
        <w:t xml:space="preserve"> </w:t>
      </w:r>
    </w:p>
    <w:p w14:paraId="13F8A728" w14:textId="4FFF98A0"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Premises passed </w:t>
      </w:r>
      <w:r w:rsidR="00B36737">
        <w:rPr>
          <w:rFonts w:eastAsia="Times New Roman" w:cs="Arial"/>
          <w:sz w:val="24"/>
          <w:szCs w:val="24"/>
          <w:lang w:val="en-GB"/>
        </w:rPr>
        <w:t>were</w:t>
      </w:r>
      <w:r w:rsidRPr="00BC1ABD">
        <w:rPr>
          <w:rFonts w:eastAsia="Times New Roman" w:cs="Arial"/>
          <w:sz w:val="24"/>
          <w:szCs w:val="24"/>
          <w:lang w:val="en-GB"/>
        </w:rPr>
        <w:t xml:space="preserve"> reported by every operator separately. In many cases the same building is passed with more than one infrastructure, so premises passed will be counted more than once. This is the reason </w:t>
      </w:r>
      <w:r w:rsidR="00B36737">
        <w:rPr>
          <w:rFonts w:eastAsia="Times New Roman" w:cs="Arial"/>
          <w:sz w:val="24"/>
          <w:szCs w:val="24"/>
          <w:lang w:val="en-GB"/>
        </w:rPr>
        <w:t>(</w:t>
      </w:r>
      <w:r w:rsidRPr="00BC1ABD">
        <w:rPr>
          <w:rFonts w:eastAsia="Times New Roman" w:cs="Arial"/>
          <w:sz w:val="24"/>
          <w:szCs w:val="24"/>
          <w:lang w:val="en-GB"/>
        </w:rPr>
        <w:t>in the results stated in this section</w:t>
      </w:r>
      <w:r w:rsidR="00B36737">
        <w:rPr>
          <w:rFonts w:eastAsia="Times New Roman" w:cs="Arial"/>
          <w:sz w:val="24"/>
          <w:szCs w:val="24"/>
          <w:lang w:val="en-GB"/>
        </w:rPr>
        <w:t>)</w:t>
      </w:r>
      <w:r w:rsidRPr="00BC1ABD">
        <w:rPr>
          <w:rFonts w:eastAsia="Times New Roman" w:cs="Arial"/>
          <w:sz w:val="24"/>
          <w:szCs w:val="24"/>
          <w:lang w:val="en-GB"/>
        </w:rPr>
        <w:t xml:space="preserve"> </w:t>
      </w:r>
      <w:r w:rsidR="00B36737">
        <w:rPr>
          <w:rFonts w:eastAsia="Times New Roman" w:cs="Arial"/>
          <w:sz w:val="24"/>
          <w:szCs w:val="24"/>
          <w:lang w:val="en-GB"/>
        </w:rPr>
        <w:t xml:space="preserve">that </w:t>
      </w:r>
      <w:r w:rsidRPr="00BC1ABD">
        <w:rPr>
          <w:rFonts w:eastAsia="Times New Roman" w:cs="Arial"/>
          <w:sz w:val="24"/>
          <w:szCs w:val="24"/>
          <w:lang w:val="en-GB"/>
        </w:rPr>
        <w:t>the total number of premises passed is higher than the total number of households in Georgia.</w:t>
      </w:r>
    </w:p>
    <w:p w14:paraId="453169F8" w14:textId="597D37E5"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geographic analysis of coverage is performed according to a range of criteria, in order to determine whether areas have different levels of competition between different infrastructures. In the later step </w:t>
      </w:r>
      <w:r w:rsidR="003716BD">
        <w:rPr>
          <w:rFonts w:eastAsia="Times New Roman" w:cs="Arial"/>
          <w:sz w:val="24"/>
          <w:szCs w:val="24"/>
          <w:lang w:val="en-GB"/>
        </w:rPr>
        <w:t xml:space="preserve">a </w:t>
      </w:r>
      <w:r w:rsidRPr="00BC1ABD">
        <w:rPr>
          <w:rFonts w:eastAsia="Times New Roman" w:cs="Arial"/>
          <w:sz w:val="24"/>
          <w:szCs w:val="24"/>
          <w:lang w:val="en-GB"/>
        </w:rPr>
        <w:t xml:space="preserve">detailed geo-segmentation is carried out and it is important to stress that initially, in this current section, an overview of infrastructure coverage is presented (using the data from the results of the questionnaire). This overview has to be seen as without prejudice to the later </w:t>
      </w:r>
      <w:r w:rsidR="003716BD">
        <w:rPr>
          <w:rFonts w:eastAsia="Times New Roman" w:cs="Arial"/>
          <w:sz w:val="24"/>
          <w:szCs w:val="24"/>
          <w:lang w:val="en-GB"/>
        </w:rPr>
        <w:t xml:space="preserve">fixed broadband </w:t>
      </w:r>
      <w:r w:rsidRPr="00BC1ABD">
        <w:rPr>
          <w:rFonts w:eastAsia="Times New Roman" w:cs="Arial"/>
          <w:sz w:val="24"/>
          <w:szCs w:val="24"/>
          <w:lang w:val="en-GB"/>
        </w:rPr>
        <w:t xml:space="preserve">market definition </w:t>
      </w:r>
      <w:r w:rsidR="003716BD">
        <w:rPr>
          <w:rFonts w:eastAsia="Times New Roman" w:cs="Arial"/>
          <w:sz w:val="24"/>
          <w:szCs w:val="24"/>
          <w:lang w:val="en-GB"/>
        </w:rPr>
        <w:t xml:space="preserve">in </w:t>
      </w:r>
      <w:r w:rsidRPr="00BC1ABD">
        <w:rPr>
          <w:rFonts w:eastAsia="Times New Roman" w:cs="Arial"/>
          <w:sz w:val="24"/>
          <w:szCs w:val="24"/>
          <w:lang w:val="en-GB"/>
        </w:rPr>
        <w:t xml:space="preserve">Chapter </w:t>
      </w:r>
      <w:r w:rsidR="00203F61">
        <w:rPr>
          <w:rFonts w:eastAsia="Times New Roman" w:cs="Arial"/>
          <w:sz w:val="24"/>
          <w:szCs w:val="24"/>
          <w:lang w:val="en-GB"/>
        </w:rPr>
        <w:t>3</w:t>
      </w:r>
      <w:r w:rsidRPr="00BC1ABD">
        <w:rPr>
          <w:rFonts w:eastAsia="Times New Roman" w:cs="Arial"/>
          <w:sz w:val="24"/>
          <w:szCs w:val="24"/>
          <w:lang w:val="en-GB"/>
        </w:rPr>
        <w:t>.</w:t>
      </w:r>
      <w:r w:rsidR="00203F61">
        <w:rPr>
          <w:rFonts w:eastAsia="Times New Roman" w:cs="Arial"/>
          <w:sz w:val="24"/>
          <w:szCs w:val="24"/>
          <w:lang w:val="en-GB"/>
        </w:rPr>
        <w:t>5</w:t>
      </w:r>
      <w:r w:rsidRPr="00BC1ABD">
        <w:rPr>
          <w:rFonts w:eastAsia="Times New Roman" w:cs="Arial"/>
          <w:sz w:val="24"/>
          <w:szCs w:val="24"/>
          <w:lang w:val="en-GB"/>
        </w:rPr>
        <w:t>.</w:t>
      </w:r>
    </w:p>
    <w:p w14:paraId="13BB3107" w14:textId="77A50DF8"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In this initial step, all available fixed broadband infrastructures will be examined, regardless of whether or not all these infrastructures will form part of (in the later step) the same fixed broadband access market to be defined in </w:t>
      </w:r>
      <w:r w:rsidR="003716BD">
        <w:rPr>
          <w:rFonts w:eastAsia="Times New Roman" w:cs="Arial"/>
          <w:sz w:val="24"/>
          <w:szCs w:val="24"/>
          <w:lang w:val="en-GB"/>
        </w:rPr>
        <w:t xml:space="preserve">the </w:t>
      </w:r>
      <w:r w:rsidRPr="00BC1ABD">
        <w:rPr>
          <w:rFonts w:eastAsia="Times New Roman" w:cs="Arial"/>
          <w:sz w:val="24"/>
          <w:szCs w:val="24"/>
          <w:lang w:val="en-GB"/>
        </w:rPr>
        <w:t>next chapters.</w:t>
      </w:r>
    </w:p>
    <w:p w14:paraId="0F549C88" w14:textId="33D621C3"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In th</w:t>
      </w:r>
      <w:r w:rsidR="003716BD">
        <w:rPr>
          <w:rFonts w:eastAsia="Times New Roman" w:cs="Arial"/>
          <w:sz w:val="24"/>
          <w:szCs w:val="24"/>
          <w:lang w:val="en-GB"/>
        </w:rPr>
        <w:t>is</w:t>
      </w:r>
      <w:r w:rsidRPr="00BC1ABD">
        <w:rPr>
          <w:rFonts w:eastAsia="Times New Roman" w:cs="Arial"/>
          <w:sz w:val="24"/>
          <w:szCs w:val="24"/>
          <w:lang w:val="en-GB"/>
        </w:rPr>
        <w:t xml:space="preserve"> initial analysis, settlements are included where at least one active subscriber is present, regardless of the technology. </w:t>
      </w:r>
    </w:p>
    <w:p w14:paraId="3C05CFB8"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Settlements are grouped in four categories:</w:t>
      </w:r>
    </w:p>
    <w:p w14:paraId="45FE962B" w14:textId="38D9F9F3" w:rsidR="00CB4094" w:rsidRPr="00BC1ABD" w:rsidRDefault="00CB4094" w:rsidP="00EB11F7">
      <w:pPr>
        <w:numPr>
          <w:ilvl w:val="1"/>
          <w:numId w:val="59"/>
        </w:numPr>
        <w:contextualSpacing/>
        <w:jc w:val="both"/>
        <w:rPr>
          <w:rFonts w:eastAsia="Times New Roman" w:cs="Arial"/>
          <w:sz w:val="24"/>
          <w:szCs w:val="24"/>
          <w:lang w:val="en-GB"/>
        </w:rPr>
      </w:pPr>
      <w:r w:rsidRPr="00BC1ABD">
        <w:rPr>
          <w:rFonts w:eastAsia="Times New Roman" w:cs="Arial"/>
          <w:sz w:val="24"/>
          <w:szCs w:val="24"/>
          <w:lang w:val="en-GB"/>
        </w:rPr>
        <w:t>3 or more operators are present</w:t>
      </w:r>
      <w:r w:rsidR="003716BD">
        <w:rPr>
          <w:rFonts w:eastAsia="Times New Roman" w:cs="Arial"/>
          <w:sz w:val="24"/>
          <w:szCs w:val="24"/>
          <w:lang w:val="en-GB"/>
        </w:rPr>
        <w:t>;</w:t>
      </w:r>
    </w:p>
    <w:p w14:paraId="52D3BEAB" w14:textId="1D56BD64" w:rsidR="00CB4094" w:rsidRPr="00BC1ABD" w:rsidRDefault="00CB4094" w:rsidP="00EB11F7">
      <w:pPr>
        <w:numPr>
          <w:ilvl w:val="1"/>
          <w:numId w:val="59"/>
        </w:numPr>
        <w:contextualSpacing/>
        <w:jc w:val="both"/>
        <w:rPr>
          <w:rFonts w:eastAsia="Times New Roman" w:cs="Arial"/>
          <w:sz w:val="24"/>
          <w:szCs w:val="24"/>
          <w:lang w:val="en-GB"/>
        </w:rPr>
      </w:pPr>
      <w:r w:rsidRPr="00BC1ABD">
        <w:rPr>
          <w:rFonts w:eastAsia="Times New Roman" w:cs="Arial"/>
          <w:sz w:val="24"/>
          <w:szCs w:val="24"/>
          <w:lang w:val="en-GB"/>
        </w:rPr>
        <w:t>2 operators are present</w:t>
      </w:r>
      <w:r w:rsidR="003716BD">
        <w:rPr>
          <w:rFonts w:eastAsia="Times New Roman" w:cs="Arial"/>
          <w:sz w:val="24"/>
          <w:szCs w:val="24"/>
          <w:lang w:val="en-GB"/>
        </w:rPr>
        <w:t>;</w:t>
      </w:r>
    </w:p>
    <w:p w14:paraId="2046982A" w14:textId="23AC5E33" w:rsidR="00CB4094" w:rsidRPr="00BC1ABD" w:rsidRDefault="00CB4094" w:rsidP="00EB11F7">
      <w:pPr>
        <w:numPr>
          <w:ilvl w:val="1"/>
          <w:numId w:val="59"/>
        </w:numPr>
        <w:contextualSpacing/>
        <w:jc w:val="both"/>
        <w:rPr>
          <w:rFonts w:eastAsia="Times New Roman" w:cs="Arial"/>
          <w:sz w:val="24"/>
          <w:szCs w:val="24"/>
          <w:lang w:val="en-GB"/>
        </w:rPr>
      </w:pPr>
      <w:r w:rsidRPr="00BC1ABD">
        <w:rPr>
          <w:rFonts w:eastAsia="Times New Roman" w:cs="Arial"/>
          <w:sz w:val="24"/>
          <w:szCs w:val="24"/>
          <w:lang w:val="en-GB"/>
        </w:rPr>
        <w:t>1 operator is present</w:t>
      </w:r>
      <w:r w:rsidR="003716BD">
        <w:rPr>
          <w:rFonts w:eastAsia="Times New Roman" w:cs="Arial"/>
          <w:sz w:val="24"/>
          <w:szCs w:val="24"/>
          <w:lang w:val="en-GB"/>
        </w:rPr>
        <w:t>;</w:t>
      </w:r>
    </w:p>
    <w:p w14:paraId="4F484844" w14:textId="77777777" w:rsidR="00CB4094" w:rsidRPr="00BC1ABD" w:rsidRDefault="00CB4094" w:rsidP="00EB11F7">
      <w:pPr>
        <w:numPr>
          <w:ilvl w:val="1"/>
          <w:numId w:val="59"/>
        </w:numPr>
        <w:contextualSpacing/>
        <w:jc w:val="both"/>
        <w:rPr>
          <w:rFonts w:eastAsia="Times New Roman" w:cs="Arial"/>
          <w:sz w:val="24"/>
          <w:szCs w:val="24"/>
          <w:lang w:val="en-GB"/>
        </w:rPr>
      </w:pPr>
      <w:r w:rsidRPr="00BC1ABD">
        <w:rPr>
          <w:rFonts w:eastAsia="Times New Roman" w:cs="Arial"/>
          <w:sz w:val="24"/>
          <w:szCs w:val="24"/>
          <w:lang w:val="en-GB"/>
        </w:rPr>
        <w:t>No operator is present.</w:t>
      </w:r>
    </w:p>
    <w:p w14:paraId="31D0F1BB" w14:textId="77777777" w:rsidR="003716BD" w:rsidRDefault="003716BD" w:rsidP="00CB4094">
      <w:pPr>
        <w:jc w:val="both"/>
        <w:rPr>
          <w:rFonts w:eastAsia="Times New Roman" w:cs="Arial"/>
          <w:sz w:val="24"/>
          <w:szCs w:val="24"/>
          <w:lang w:val="en-GB"/>
        </w:rPr>
      </w:pPr>
    </w:p>
    <w:p w14:paraId="23093DB5" w14:textId="18A42A23"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population in Tbilisi represents more than 30% of the population of Georgia, so in the following tables (where appropriate) </w:t>
      </w:r>
      <w:r w:rsidR="003716BD">
        <w:rPr>
          <w:rFonts w:eastAsia="Times New Roman" w:cs="Arial"/>
          <w:sz w:val="24"/>
          <w:szCs w:val="24"/>
          <w:lang w:val="en-GB"/>
        </w:rPr>
        <w:t xml:space="preserve">there are </w:t>
      </w:r>
      <w:r w:rsidRPr="00BC1ABD">
        <w:rPr>
          <w:rFonts w:eastAsia="Times New Roman" w:cs="Arial"/>
          <w:sz w:val="24"/>
          <w:szCs w:val="24"/>
          <w:lang w:val="en-GB"/>
        </w:rPr>
        <w:t xml:space="preserve">separate rows with data for Tbilisi only, then the rest of the settlements with the same criterion (for example number of networks) are added. For </w:t>
      </w:r>
      <w:r w:rsidR="00173A66" w:rsidRPr="00BC1ABD">
        <w:rPr>
          <w:rFonts w:eastAsia="Times New Roman" w:cs="Arial"/>
          <w:sz w:val="24"/>
          <w:szCs w:val="24"/>
          <w:lang w:val="en-GB"/>
        </w:rPr>
        <w:t>example,</w:t>
      </w:r>
      <w:r w:rsidRPr="00BC1ABD">
        <w:rPr>
          <w:rFonts w:eastAsia="Times New Roman" w:cs="Arial"/>
          <w:sz w:val="24"/>
          <w:szCs w:val="24"/>
          <w:lang w:val="en-GB"/>
        </w:rPr>
        <w:t xml:space="preserve"> in Figure </w:t>
      </w:r>
      <w:r w:rsidR="00800741">
        <w:rPr>
          <w:rFonts w:eastAsia="Times New Roman" w:cs="Arial"/>
          <w:sz w:val="24"/>
          <w:szCs w:val="24"/>
          <w:lang w:val="en-GB"/>
        </w:rPr>
        <w:t>2</w:t>
      </w:r>
      <w:r w:rsidRPr="00BC1ABD">
        <w:rPr>
          <w:rFonts w:eastAsia="Times New Roman" w:cs="Arial"/>
          <w:sz w:val="24"/>
          <w:szCs w:val="24"/>
          <w:lang w:val="en-GB"/>
        </w:rPr>
        <w:t>, Tbilisi is included in the data in the first row (settlements with 3 or more operators). A total of 866,306 subscriptions are in these settlements. In the two added rows (also showing data for settlements with 3 or more operators) 425,610 subscriptions are in Tbilisi and 440,696 subscriptions are in other settlements.</w:t>
      </w:r>
    </w:p>
    <w:p w14:paraId="2B627ADD" w14:textId="6D96DC44" w:rsidR="005E16B9"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For this part of the analysis, the size of an operator is not important, but only its presence. The presence of an operator is taken into account even in the case that only a small part of a settlement is covered by that operator. For any operator, the initial cost of establishing a presence at a settlement is high and once established, it is much easier to extend coverage.</w:t>
      </w:r>
    </w:p>
    <w:p w14:paraId="3E0E7CB8" w14:textId="2EDFAEDB"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60" w:name="_Toc141200242"/>
      <w:bookmarkStart w:id="61" w:name="_Toc152931353"/>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olor w:val="44546A" w:themeColor="text2"/>
          <w:sz w:val="20"/>
          <w:szCs w:val="20"/>
          <w:lang w:val="en-GB"/>
        </w:rPr>
        <w:t xml:space="preserve"> </w:t>
      </w:r>
      <w:r w:rsidRPr="00BC1ABD">
        <w:rPr>
          <w:rFonts w:asciiTheme="minorHAnsi" w:eastAsia="Times New Roman" w:hAnsiTheme="minorHAnsi"/>
          <w:i/>
          <w:iCs/>
          <w:color w:val="44546A" w:themeColor="text2"/>
          <w:sz w:val="20"/>
          <w:szCs w:val="20"/>
          <w:lang w:val="en-GB"/>
        </w:rPr>
        <w:t>Active operators in settlements</w:t>
      </w:r>
      <w:bookmarkEnd w:id="60"/>
      <w:bookmarkEnd w:id="61"/>
    </w:p>
    <w:tbl>
      <w:tblPr>
        <w:tblW w:w="9066" w:type="dxa"/>
        <w:tblLayout w:type="fixed"/>
        <w:tblCellMar>
          <w:left w:w="70" w:type="dxa"/>
          <w:right w:w="70" w:type="dxa"/>
        </w:tblCellMar>
        <w:tblLook w:val="04A0" w:firstRow="1" w:lastRow="0" w:firstColumn="1" w:lastColumn="0" w:noHBand="0" w:noVBand="1"/>
      </w:tblPr>
      <w:tblGrid>
        <w:gridCol w:w="1838"/>
        <w:gridCol w:w="1074"/>
        <w:gridCol w:w="1619"/>
        <w:gridCol w:w="1458"/>
        <w:gridCol w:w="1458"/>
        <w:gridCol w:w="1619"/>
      </w:tblGrid>
      <w:tr w:rsidR="00CB4094" w:rsidRPr="00BC1ABD" w14:paraId="25C58D63" w14:textId="77777777" w:rsidTr="001915F5">
        <w:trPr>
          <w:trHeight w:val="612"/>
        </w:trPr>
        <w:tc>
          <w:tcPr>
            <w:tcW w:w="1838" w:type="dxa"/>
            <w:tcBorders>
              <w:top w:val="single" w:sz="4" w:space="0" w:color="auto"/>
              <w:left w:val="single" w:sz="4" w:space="0" w:color="auto"/>
              <w:bottom w:val="single" w:sz="4" w:space="0" w:color="auto"/>
              <w:right w:val="single" w:sz="4" w:space="0" w:color="auto"/>
            </w:tcBorders>
            <w:shd w:val="clear" w:color="000000" w:fill="D0CECE" w:themeFill="background2" w:themeFillShade="E6"/>
            <w:vAlign w:val="bottom"/>
            <w:hideMark/>
          </w:tcPr>
          <w:p w14:paraId="4CD37E87" w14:textId="77777777" w:rsidR="00CB4094" w:rsidRPr="00BC1ABD" w:rsidRDefault="00CB4094" w:rsidP="00CB4094">
            <w:pPr>
              <w:spacing w:after="0" w:line="240" w:lineRule="auto"/>
              <w:jc w:val="center"/>
              <w:rPr>
                <w:rFonts w:eastAsia="Times New Roman" w:cs="Calibri"/>
                <w:b/>
                <w:bCs/>
                <w:color w:val="000000"/>
                <w:lang w:val="en-GB" w:eastAsia="hr-HR"/>
              </w:rPr>
            </w:pPr>
            <w:r w:rsidRPr="00BC1ABD">
              <w:rPr>
                <w:rFonts w:eastAsia="Times New Roman" w:cs="Calibri"/>
                <w:b/>
                <w:bCs/>
                <w:color w:val="000000"/>
                <w:lang w:val="en-GB" w:eastAsia="hr-HR"/>
              </w:rPr>
              <w:t>No of operators</w:t>
            </w:r>
          </w:p>
        </w:tc>
        <w:tc>
          <w:tcPr>
            <w:tcW w:w="1074" w:type="dxa"/>
            <w:tcBorders>
              <w:top w:val="single" w:sz="4" w:space="0" w:color="auto"/>
              <w:left w:val="nil"/>
              <w:bottom w:val="single" w:sz="4" w:space="0" w:color="auto"/>
              <w:right w:val="single" w:sz="4" w:space="0" w:color="auto"/>
            </w:tcBorders>
            <w:shd w:val="clear" w:color="000000" w:fill="D0CECE" w:themeFill="background2" w:themeFillShade="E6"/>
            <w:vAlign w:val="bottom"/>
            <w:hideMark/>
          </w:tcPr>
          <w:p w14:paraId="68A9D928" w14:textId="77777777" w:rsidR="00CB4094" w:rsidRPr="00BC1ABD" w:rsidRDefault="00CB4094" w:rsidP="00CB4094">
            <w:pPr>
              <w:spacing w:after="0" w:line="240" w:lineRule="auto"/>
              <w:jc w:val="center"/>
              <w:rPr>
                <w:rFonts w:eastAsia="Times New Roman" w:cs="Calibri"/>
                <w:b/>
                <w:bCs/>
                <w:color w:val="000000"/>
                <w:lang w:val="en-GB" w:eastAsia="hr-HR"/>
              </w:rPr>
            </w:pPr>
            <w:r w:rsidRPr="00BC1ABD">
              <w:rPr>
                <w:rFonts w:eastAsia="Times New Roman" w:cs="Calibri"/>
                <w:b/>
                <w:bCs/>
                <w:color w:val="000000"/>
                <w:lang w:val="en-GB" w:eastAsia="hr-HR"/>
              </w:rPr>
              <w:t xml:space="preserve">No of settlements </w:t>
            </w:r>
          </w:p>
        </w:tc>
        <w:tc>
          <w:tcPr>
            <w:tcW w:w="1619" w:type="dxa"/>
            <w:tcBorders>
              <w:top w:val="single" w:sz="4" w:space="0" w:color="auto"/>
              <w:left w:val="nil"/>
              <w:bottom w:val="single" w:sz="4" w:space="0" w:color="auto"/>
              <w:right w:val="single" w:sz="4" w:space="0" w:color="auto"/>
            </w:tcBorders>
            <w:shd w:val="clear" w:color="000000" w:fill="D0CECE" w:themeFill="background2" w:themeFillShade="E6"/>
            <w:vAlign w:val="bottom"/>
            <w:hideMark/>
          </w:tcPr>
          <w:p w14:paraId="56FCC4BF" w14:textId="77777777" w:rsidR="00CB4094" w:rsidRPr="00BC1ABD" w:rsidRDefault="00CB4094" w:rsidP="00CB4094">
            <w:pPr>
              <w:spacing w:after="0" w:line="240" w:lineRule="auto"/>
              <w:jc w:val="center"/>
              <w:rPr>
                <w:rFonts w:eastAsia="Times New Roman" w:cs="Calibri"/>
                <w:b/>
                <w:bCs/>
                <w:color w:val="000000"/>
                <w:lang w:val="en-GB" w:eastAsia="hr-HR"/>
              </w:rPr>
            </w:pPr>
            <w:r w:rsidRPr="00BC1ABD">
              <w:rPr>
                <w:rFonts w:eastAsia="Times New Roman" w:cs="Calibri"/>
                <w:b/>
                <w:bCs/>
                <w:color w:val="000000"/>
                <w:lang w:val="en-GB" w:eastAsia="hr-HR"/>
              </w:rPr>
              <w:t xml:space="preserve">No of Households </w:t>
            </w:r>
          </w:p>
        </w:tc>
        <w:tc>
          <w:tcPr>
            <w:tcW w:w="1458" w:type="dxa"/>
            <w:tcBorders>
              <w:top w:val="single" w:sz="4" w:space="0" w:color="auto"/>
              <w:left w:val="nil"/>
              <w:bottom w:val="single" w:sz="4" w:space="0" w:color="auto"/>
              <w:right w:val="single" w:sz="4" w:space="0" w:color="auto"/>
            </w:tcBorders>
            <w:shd w:val="clear" w:color="000000" w:fill="D0CECE" w:themeFill="background2" w:themeFillShade="E6"/>
            <w:vAlign w:val="bottom"/>
            <w:hideMark/>
          </w:tcPr>
          <w:p w14:paraId="3A14BED6" w14:textId="77777777" w:rsidR="00CB4094" w:rsidRPr="00BC1ABD" w:rsidRDefault="00CB4094" w:rsidP="00CB4094">
            <w:pPr>
              <w:spacing w:after="0" w:line="240" w:lineRule="auto"/>
              <w:jc w:val="center"/>
              <w:rPr>
                <w:rFonts w:eastAsia="Times New Roman" w:cs="Calibri"/>
                <w:b/>
                <w:bCs/>
                <w:color w:val="000000"/>
                <w:lang w:val="en-GB" w:eastAsia="hr-HR"/>
              </w:rPr>
            </w:pPr>
            <w:r w:rsidRPr="00BC1ABD">
              <w:rPr>
                <w:rFonts w:eastAsia="Times New Roman" w:cs="Calibri"/>
                <w:b/>
                <w:bCs/>
                <w:color w:val="000000"/>
                <w:lang w:val="en-GB" w:eastAsia="hr-HR"/>
              </w:rPr>
              <w:t xml:space="preserve">% of total households </w:t>
            </w:r>
          </w:p>
        </w:tc>
        <w:tc>
          <w:tcPr>
            <w:tcW w:w="1458" w:type="dxa"/>
            <w:tcBorders>
              <w:top w:val="single" w:sz="4" w:space="0" w:color="auto"/>
              <w:left w:val="nil"/>
              <w:bottom w:val="single" w:sz="4" w:space="0" w:color="auto"/>
              <w:right w:val="single" w:sz="4" w:space="0" w:color="auto"/>
            </w:tcBorders>
            <w:shd w:val="clear" w:color="000000" w:fill="D0CECE" w:themeFill="background2" w:themeFillShade="E6"/>
            <w:vAlign w:val="bottom"/>
            <w:hideMark/>
          </w:tcPr>
          <w:p w14:paraId="48E9DD5A" w14:textId="77777777" w:rsidR="00CB4094" w:rsidRPr="00BC1ABD" w:rsidRDefault="00CB4094" w:rsidP="00CB4094">
            <w:pPr>
              <w:spacing w:after="0" w:line="240" w:lineRule="auto"/>
              <w:jc w:val="center"/>
              <w:rPr>
                <w:rFonts w:eastAsia="Times New Roman" w:cs="Calibri"/>
                <w:b/>
                <w:bCs/>
                <w:color w:val="000000"/>
                <w:lang w:val="en-GB" w:eastAsia="hr-HR"/>
              </w:rPr>
            </w:pPr>
            <w:r w:rsidRPr="00BC1ABD">
              <w:rPr>
                <w:rFonts w:eastAsia="Times New Roman" w:cs="Calibri"/>
                <w:b/>
                <w:bCs/>
                <w:color w:val="000000"/>
                <w:lang w:val="en-GB" w:eastAsia="hr-HR"/>
              </w:rPr>
              <w:t xml:space="preserve">Population </w:t>
            </w:r>
          </w:p>
        </w:tc>
        <w:tc>
          <w:tcPr>
            <w:tcW w:w="1619" w:type="dxa"/>
            <w:tcBorders>
              <w:top w:val="single" w:sz="4" w:space="0" w:color="auto"/>
              <w:left w:val="nil"/>
              <w:bottom w:val="single" w:sz="4" w:space="0" w:color="auto"/>
              <w:right w:val="single" w:sz="4" w:space="0" w:color="auto"/>
            </w:tcBorders>
            <w:shd w:val="clear" w:color="000000" w:fill="D0CECE" w:themeFill="background2" w:themeFillShade="E6"/>
            <w:vAlign w:val="bottom"/>
            <w:hideMark/>
          </w:tcPr>
          <w:p w14:paraId="4EDD95B8" w14:textId="411FB9BE" w:rsidR="00CB4094" w:rsidRPr="00BC1ABD" w:rsidRDefault="00A44F66" w:rsidP="00CB4094">
            <w:pPr>
              <w:spacing w:after="0" w:line="240" w:lineRule="auto"/>
              <w:jc w:val="center"/>
              <w:rPr>
                <w:rFonts w:eastAsia="Times New Roman" w:cs="Calibri"/>
                <w:b/>
                <w:bCs/>
                <w:color w:val="000000"/>
                <w:lang w:val="en-GB" w:eastAsia="hr-HR"/>
              </w:rPr>
            </w:pPr>
            <w:r w:rsidRPr="00BC1ABD">
              <w:rPr>
                <w:rFonts w:eastAsia="Times New Roman" w:cs="Calibri"/>
                <w:b/>
                <w:bCs/>
                <w:color w:val="000000"/>
                <w:lang w:val="en-GB" w:eastAsia="hr-HR"/>
              </w:rPr>
              <w:t>Subscriptions</w:t>
            </w:r>
            <w:r w:rsidR="00CB4094" w:rsidRPr="00BC1ABD">
              <w:rPr>
                <w:rFonts w:eastAsia="Times New Roman" w:cs="Calibri"/>
                <w:b/>
                <w:bCs/>
                <w:color w:val="000000"/>
                <w:lang w:val="en-GB" w:eastAsia="hr-HR"/>
              </w:rPr>
              <w:t xml:space="preserve"> </w:t>
            </w:r>
          </w:p>
        </w:tc>
      </w:tr>
      <w:tr w:rsidR="00CB4094" w:rsidRPr="00BC1ABD" w14:paraId="1C1F1A12" w14:textId="77777777" w:rsidTr="001915F5">
        <w:trPr>
          <w:trHeight w:val="300"/>
        </w:trPr>
        <w:tc>
          <w:tcPr>
            <w:tcW w:w="1838" w:type="dxa"/>
            <w:tcBorders>
              <w:top w:val="nil"/>
              <w:left w:val="single" w:sz="4" w:space="0" w:color="auto"/>
              <w:bottom w:val="single" w:sz="4" w:space="0" w:color="auto"/>
              <w:right w:val="single" w:sz="4" w:space="0" w:color="auto"/>
            </w:tcBorders>
            <w:noWrap/>
            <w:vAlign w:val="bottom"/>
            <w:hideMark/>
          </w:tcPr>
          <w:p w14:paraId="26CDC4C4" w14:textId="7FF49407" w:rsidR="00CB4094" w:rsidRPr="00BC1ABD" w:rsidRDefault="00CB4094" w:rsidP="001915F5">
            <w:pPr>
              <w:spacing w:after="0" w:line="240" w:lineRule="auto"/>
              <w:jc w:val="center"/>
              <w:rPr>
                <w:rFonts w:eastAsia="Times New Roman" w:cs="Calibri"/>
                <w:bCs/>
                <w:color w:val="000000"/>
                <w:lang w:val="en-GB" w:eastAsia="hr-HR"/>
              </w:rPr>
            </w:pPr>
            <w:r w:rsidRPr="00BC1ABD">
              <w:rPr>
                <w:rFonts w:eastAsia="Times New Roman" w:cs="Calibri"/>
                <w:bCs/>
                <w:color w:val="000000"/>
                <w:lang w:val="en-GB" w:eastAsia="hr-HR"/>
              </w:rPr>
              <w:t>3</w:t>
            </w:r>
          </w:p>
        </w:tc>
        <w:tc>
          <w:tcPr>
            <w:tcW w:w="1074" w:type="dxa"/>
            <w:tcBorders>
              <w:top w:val="nil"/>
              <w:left w:val="nil"/>
              <w:bottom w:val="single" w:sz="4" w:space="0" w:color="auto"/>
              <w:right w:val="single" w:sz="4" w:space="0" w:color="auto"/>
            </w:tcBorders>
            <w:vAlign w:val="center"/>
            <w:hideMark/>
          </w:tcPr>
          <w:p w14:paraId="3F0256B7"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474</w:t>
            </w:r>
          </w:p>
        </w:tc>
        <w:tc>
          <w:tcPr>
            <w:tcW w:w="1619" w:type="dxa"/>
            <w:tcBorders>
              <w:top w:val="nil"/>
              <w:left w:val="nil"/>
              <w:bottom w:val="single" w:sz="4" w:space="0" w:color="auto"/>
              <w:right w:val="single" w:sz="4" w:space="0" w:color="auto"/>
            </w:tcBorders>
            <w:vAlign w:val="center"/>
            <w:hideMark/>
          </w:tcPr>
          <w:p w14:paraId="57C57735"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957,053</w:t>
            </w:r>
          </w:p>
        </w:tc>
        <w:tc>
          <w:tcPr>
            <w:tcW w:w="1458" w:type="dxa"/>
            <w:tcBorders>
              <w:top w:val="nil"/>
              <w:left w:val="nil"/>
              <w:bottom w:val="single" w:sz="4" w:space="0" w:color="auto"/>
              <w:right w:val="single" w:sz="4" w:space="0" w:color="auto"/>
            </w:tcBorders>
            <w:vAlign w:val="center"/>
            <w:hideMark/>
          </w:tcPr>
          <w:p w14:paraId="4D7B0618"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76.4</w:t>
            </w:r>
          </w:p>
        </w:tc>
        <w:tc>
          <w:tcPr>
            <w:tcW w:w="1458" w:type="dxa"/>
            <w:tcBorders>
              <w:top w:val="nil"/>
              <w:left w:val="nil"/>
              <w:bottom w:val="single" w:sz="4" w:space="0" w:color="auto"/>
              <w:right w:val="single" w:sz="4" w:space="0" w:color="auto"/>
            </w:tcBorders>
            <w:vAlign w:val="center"/>
            <w:hideMark/>
          </w:tcPr>
          <w:p w14:paraId="03A59865"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2,682,727</w:t>
            </w:r>
          </w:p>
        </w:tc>
        <w:tc>
          <w:tcPr>
            <w:tcW w:w="1619" w:type="dxa"/>
            <w:tcBorders>
              <w:top w:val="nil"/>
              <w:left w:val="nil"/>
              <w:bottom w:val="single" w:sz="4" w:space="0" w:color="auto"/>
              <w:right w:val="single" w:sz="4" w:space="0" w:color="auto"/>
            </w:tcBorders>
            <w:vAlign w:val="center"/>
            <w:hideMark/>
          </w:tcPr>
          <w:p w14:paraId="02D40DB9"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866,306</w:t>
            </w:r>
          </w:p>
        </w:tc>
      </w:tr>
      <w:tr w:rsidR="00CB4094" w:rsidRPr="00BC1ABD" w14:paraId="0A64A655" w14:textId="77777777" w:rsidTr="001915F5">
        <w:trPr>
          <w:trHeight w:val="300"/>
        </w:trPr>
        <w:tc>
          <w:tcPr>
            <w:tcW w:w="1838" w:type="dxa"/>
            <w:tcBorders>
              <w:top w:val="nil"/>
              <w:left w:val="single" w:sz="4" w:space="0" w:color="auto"/>
              <w:bottom w:val="single" w:sz="4" w:space="0" w:color="auto"/>
              <w:right w:val="single" w:sz="4" w:space="0" w:color="auto"/>
            </w:tcBorders>
            <w:noWrap/>
            <w:vAlign w:val="bottom"/>
            <w:hideMark/>
          </w:tcPr>
          <w:p w14:paraId="7037F04B" w14:textId="77777777" w:rsidR="00CB4094" w:rsidRPr="00BC1ABD" w:rsidRDefault="00CB4094" w:rsidP="001915F5">
            <w:pPr>
              <w:spacing w:after="0" w:line="240" w:lineRule="auto"/>
              <w:jc w:val="center"/>
              <w:rPr>
                <w:rFonts w:eastAsia="Times New Roman" w:cs="Calibri"/>
                <w:bCs/>
                <w:color w:val="000000"/>
                <w:lang w:val="en-GB" w:eastAsia="hr-HR"/>
              </w:rPr>
            </w:pPr>
            <w:r w:rsidRPr="00BC1ABD">
              <w:rPr>
                <w:rFonts w:eastAsia="Times New Roman" w:cs="Calibri"/>
                <w:bCs/>
                <w:color w:val="000000"/>
                <w:lang w:val="en-GB" w:eastAsia="hr-HR"/>
              </w:rPr>
              <w:t>2</w:t>
            </w:r>
          </w:p>
        </w:tc>
        <w:tc>
          <w:tcPr>
            <w:tcW w:w="1074" w:type="dxa"/>
            <w:tcBorders>
              <w:top w:val="nil"/>
              <w:left w:val="nil"/>
              <w:bottom w:val="single" w:sz="4" w:space="0" w:color="auto"/>
              <w:right w:val="single" w:sz="4" w:space="0" w:color="auto"/>
            </w:tcBorders>
            <w:vAlign w:val="center"/>
            <w:hideMark/>
          </w:tcPr>
          <w:p w14:paraId="2D0A503A"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607</w:t>
            </w:r>
          </w:p>
        </w:tc>
        <w:tc>
          <w:tcPr>
            <w:tcW w:w="1619" w:type="dxa"/>
            <w:tcBorders>
              <w:top w:val="nil"/>
              <w:left w:val="nil"/>
              <w:bottom w:val="single" w:sz="4" w:space="0" w:color="auto"/>
              <w:right w:val="single" w:sz="4" w:space="0" w:color="auto"/>
            </w:tcBorders>
            <w:vAlign w:val="center"/>
            <w:hideMark/>
          </w:tcPr>
          <w:p w14:paraId="7FB498F5"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119,539</w:t>
            </w:r>
          </w:p>
        </w:tc>
        <w:tc>
          <w:tcPr>
            <w:tcW w:w="1458" w:type="dxa"/>
            <w:tcBorders>
              <w:top w:val="nil"/>
              <w:left w:val="nil"/>
              <w:bottom w:val="single" w:sz="4" w:space="0" w:color="auto"/>
              <w:right w:val="single" w:sz="4" w:space="0" w:color="auto"/>
            </w:tcBorders>
            <w:vAlign w:val="center"/>
            <w:hideMark/>
          </w:tcPr>
          <w:p w14:paraId="4E5CF1AE"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9.5</w:t>
            </w:r>
          </w:p>
        </w:tc>
        <w:tc>
          <w:tcPr>
            <w:tcW w:w="1458" w:type="dxa"/>
            <w:tcBorders>
              <w:top w:val="nil"/>
              <w:left w:val="nil"/>
              <w:bottom w:val="single" w:sz="4" w:space="0" w:color="auto"/>
              <w:right w:val="single" w:sz="4" w:space="0" w:color="auto"/>
            </w:tcBorders>
            <w:vAlign w:val="center"/>
            <w:hideMark/>
          </w:tcPr>
          <w:p w14:paraId="5EB071A8"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411,791</w:t>
            </w:r>
          </w:p>
        </w:tc>
        <w:tc>
          <w:tcPr>
            <w:tcW w:w="1619" w:type="dxa"/>
            <w:tcBorders>
              <w:top w:val="nil"/>
              <w:left w:val="nil"/>
              <w:bottom w:val="single" w:sz="4" w:space="0" w:color="auto"/>
              <w:right w:val="single" w:sz="4" w:space="0" w:color="auto"/>
            </w:tcBorders>
            <w:vAlign w:val="center"/>
            <w:hideMark/>
          </w:tcPr>
          <w:p w14:paraId="320524E1"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56,725</w:t>
            </w:r>
          </w:p>
        </w:tc>
      </w:tr>
      <w:tr w:rsidR="00CB4094" w:rsidRPr="00BC1ABD" w14:paraId="2FE72FC7" w14:textId="77777777" w:rsidTr="001915F5">
        <w:trPr>
          <w:trHeight w:val="300"/>
        </w:trPr>
        <w:tc>
          <w:tcPr>
            <w:tcW w:w="1838" w:type="dxa"/>
            <w:tcBorders>
              <w:top w:val="nil"/>
              <w:left w:val="single" w:sz="4" w:space="0" w:color="auto"/>
              <w:bottom w:val="single" w:sz="4" w:space="0" w:color="auto"/>
              <w:right w:val="single" w:sz="4" w:space="0" w:color="auto"/>
            </w:tcBorders>
            <w:noWrap/>
            <w:vAlign w:val="bottom"/>
            <w:hideMark/>
          </w:tcPr>
          <w:p w14:paraId="524DAF25" w14:textId="77777777" w:rsidR="00CB4094" w:rsidRPr="00BC1ABD" w:rsidRDefault="00CB4094" w:rsidP="001915F5">
            <w:pPr>
              <w:spacing w:after="0" w:line="240" w:lineRule="auto"/>
              <w:jc w:val="center"/>
              <w:rPr>
                <w:rFonts w:eastAsia="Times New Roman" w:cs="Calibri"/>
                <w:bCs/>
                <w:color w:val="000000"/>
                <w:lang w:val="en-GB" w:eastAsia="hr-HR"/>
              </w:rPr>
            </w:pPr>
            <w:r w:rsidRPr="00BC1ABD">
              <w:rPr>
                <w:rFonts w:eastAsia="Times New Roman" w:cs="Calibri"/>
                <w:bCs/>
                <w:color w:val="000000"/>
                <w:lang w:val="en-GB" w:eastAsia="hr-HR"/>
              </w:rPr>
              <w:t>1</w:t>
            </w:r>
          </w:p>
        </w:tc>
        <w:tc>
          <w:tcPr>
            <w:tcW w:w="1074" w:type="dxa"/>
            <w:tcBorders>
              <w:top w:val="nil"/>
              <w:left w:val="nil"/>
              <w:bottom w:val="single" w:sz="4" w:space="0" w:color="auto"/>
              <w:right w:val="single" w:sz="4" w:space="0" w:color="auto"/>
            </w:tcBorders>
            <w:vAlign w:val="center"/>
            <w:hideMark/>
          </w:tcPr>
          <w:p w14:paraId="0944F4FD"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1,104</w:t>
            </w:r>
          </w:p>
        </w:tc>
        <w:tc>
          <w:tcPr>
            <w:tcW w:w="1619" w:type="dxa"/>
            <w:tcBorders>
              <w:top w:val="nil"/>
              <w:left w:val="nil"/>
              <w:bottom w:val="single" w:sz="4" w:space="0" w:color="auto"/>
              <w:right w:val="single" w:sz="4" w:space="0" w:color="auto"/>
            </w:tcBorders>
            <w:vAlign w:val="center"/>
            <w:hideMark/>
          </w:tcPr>
          <w:p w14:paraId="35773985"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114,612</w:t>
            </w:r>
          </w:p>
        </w:tc>
        <w:tc>
          <w:tcPr>
            <w:tcW w:w="1458" w:type="dxa"/>
            <w:tcBorders>
              <w:top w:val="nil"/>
              <w:left w:val="nil"/>
              <w:bottom w:val="single" w:sz="4" w:space="0" w:color="auto"/>
              <w:right w:val="single" w:sz="4" w:space="0" w:color="auto"/>
            </w:tcBorders>
            <w:vAlign w:val="center"/>
            <w:hideMark/>
          </w:tcPr>
          <w:p w14:paraId="39E67237"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9.2</w:t>
            </w:r>
          </w:p>
        </w:tc>
        <w:tc>
          <w:tcPr>
            <w:tcW w:w="1458" w:type="dxa"/>
            <w:tcBorders>
              <w:top w:val="nil"/>
              <w:left w:val="nil"/>
              <w:bottom w:val="single" w:sz="4" w:space="0" w:color="auto"/>
              <w:right w:val="single" w:sz="4" w:space="0" w:color="auto"/>
            </w:tcBorders>
            <w:vAlign w:val="center"/>
            <w:hideMark/>
          </w:tcPr>
          <w:p w14:paraId="58B88C15"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391,704</w:t>
            </w:r>
          </w:p>
        </w:tc>
        <w:tc>
          <w:tcPr>
            <w:tcW w:w="1619" w:type="dxa"/>
            <w:tcBorders>
              <w:top w:val="nil"/>
              <w:left w:val="nil"/>
              <w:bottom w:val="single" w:sz="4" w:space="0" w:color="auto"/>
              <w:right w:val="single" w:sz="4" w:space="0" w:color="auto"/>
            </w:tcBorders>
            <w:vAlign w:val="center"/>
            <w:hideMark/>
          </w:tcPr>
          <w:p w14:paraId="3AE2F53E"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33,896</w:t>
            </w:r>
          </w:p>
        </w:tc>
      </w:tr>
      <w:tr w:rsidR="00CB4094" w:rsidRPr="00BC1ABD" w14:paraId="7170D558" w14:textId="77777777" w:rsidTr="001915F5">
        <w:trPr>
          <w:trHeight w:val="300"/>
        </w:trPr>
        <w:tc>
          <w:tcPr>
            <w:tcW w:w="1838" w:type="dxa"/>
            <w:tcBorders>
              <w:top w:val="nil"/>
              <w:left w:val="single" w:sz="4" w:space="0" w:color="auto"/>
              <w:bottom w:val="single" w:sz="4" w:space="0" w:color="auto"/>
              <w:right w:val="single" w:sz="4" w:space="0" w:color="auto"/>
            </w:tcBorders>
            <w:noWrap/>
            <w:vAlign w:val="bottom"/>
            <w:hideMark/>
          </w:tcPr>
          <w:p w14:paraId="5320C07B" w14:textId="77777777" w:rsidR="00CB4094" w:rsidRPr="00BC1ABD" w:rsidRDefault="00CB4094" w:rsidP="001915F5">
            <w:pPr>
              <w:spacing w:after="0" w:line="240" w:lineRule="auto"/>
              <w:jc w:val="center"/>
              <w:rPr>
                <w:rFonts w:eastAsia="Times New Roman" w:cs="Calibri"/>
                <w:bCs/>
                <w:color w:val="000000"/>
                <w:lang w:val="en-GB" w:eastAsia="hr-HR"/>
              </w:rPr>
            </w:pPr>
            <w:r w:rsidRPr="00BC1ABD">
              <w:rPr>
                <w:rFonts w:eastAsia="Times New Roman" w:cs="Calibri"/>
                <w:bCs/>
                <w:color w:val="000000"/>
                <w:lang w:val="en-GB" w:eastAsia="hr-HR"/>
              </w:rPr>
              <w:t>0</w:t>
            </w:r>
          </w:p>
        </w:tc>
        <w:tc>
          <w:tcPr>
            <w:tcW w:w="1074" w:type="dxa"/>
            <w:tcBorders>
              <w:top w:val="nil"/>
              <w:left w:val="nil"/>
              <w:bottom w:val="single" w:sz="4" w:space="0" w:color="auto"/>
              <w:right w:val="single" w:sz="4" w:space="0" w:color="auto"/>
            </w:tcBorders>
            <w:vAlign w:val="center"/>
            <w:hideMark/>
          </w:tcPr>
          <w:p w14:paraId="2A850AB2"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1,420</w:t>
            </w:r>
          </w:p>
        </w:tc>
        <w:tc>
          <w:tcPr>
            <w:tcW w:w="1619" w:type="dxa"/>
            <w:tcBorders>
              <w:top w:val="nil"/>
              <w:left w:val="nil"/>
              <w:bottom w:val="single" w:sz="4" w:space="0" w:color="auto"/>
              <w:right w:val="single" w:sz="4" w:space="0" w:color="auto"/>
            </w:tcBorders>
            <w:vAlign w:val="center"/>
            <w:hideMark/>
          </w:tcPr>
          <w:p w14:paraId="4CF82A9A"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60,771</w:t>
            </w:r>
          </w:p>
        </w:tc>
        <w:tc>
          <w:tcPr>
            <w:tcW w:w="1458" w:type="dxa"/>
            <w:tcBorders>
              <w:top w:val="nil"/>
              <w:left w:val="nil"/>
              <w:bottom w:val="single" w:sz="4" w:space="0" w:color="auto"/>
              <w:right w:val="single" w:sz="4" w:space="0" w:color="auto"/>
            </w:tcBorders>
            <w:vAlign w:val="center"/>
            <w:hideMark/>
          </w:tcPr>
          <w:p w14:paraId="67872AE9"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4.9</w:t>
            </w:r>
          </w:p>
        </w:tc>
        <w:tc>
          <w:tcPr>
            <w:tcW w:w="1458" w:type="dxa"/>
            <w:tcBorders>
              <w:top w:val="nil"/>
              <w:left w:val="nil"/>
              <w:bottom w:val="single" w:sz="4" w:space="0" w:color="auto"/>
              <w:right w:val="single" w:sz="4" w:space="0" w:color="auto"/>
            </w:tcBorders>
            <w:vAlign w:val="center"/>
            <w:hideMark/>
          </w:tcPr>
          <w:p w14:paraId="47862C19"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193,523</w:t>
            </w:r>
          </w:p>
        </w:tc>
        <w:tc>
          <w:tcPr>
            <w:tcW w:w="1619" w:type="dxa"/>
            <w:tcBorders>
              <w:top w:val="nil"/>
              <w:left w:val="nil"/>
              <w:bottom w:val="single" w:sz="4" w:space="0" w:color="auto"/>
              <w:right w:val="single" w:sz="4" w:space="0" w:color="auto"/>
            </w:tcBorders>
            <w:vAlign w:val="center"/>
            <w:hideMark/>
          </w:tcPr>
          <w:p w14:paraId="015693CD"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0</w:t>
            </w:r>
          </w:p>
        </w:tc>
      </w:tr>
      <w:tr w:rsidR="00CB4094" w:rsidRPr="00BC1ABD" w14:paraId="4D445578" w14:textId="77777777" w:rsidTr="001915F5">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D0CECE" w:themeFill="background2" w:themeFillShade="E6"/>
            <w:noWrap/>
            <w:vAlign w:val="bottom"/>
            <w:hideMark/>
          </w:tcPr>
          <w:p w14:paraId="10B581D1" w14:textId="77777777" w:rsidR="00CB4094" w:rsidRPr="00BC1ABD" w:rsidRDefault="00CB4094" w:rsidP="00CB4094">
            <w:pPr>
              <w:spacing w:after="0" w:line="240" w:lineRule="auto"/>
              <w:jc w:val="right"/>
              <w:rPr>
                <w:rFonts w:eastAsia="Times New Roman" w:cs="Calibri"/>
                <w:b/>
                <w:bCs/>
                <w:color w:val="000000"/>
                <w:lang w:val="en-GB" w:eastAsia="hr-HR"/>
              </w:rPr>
            </w:pPr>
            <w:r w:rsidRPr="00BC1ABD">
              <w:rPr>
                <w:rFonts w:eastAsia="Times New Roman" w:cs="Calibri"/>
                <w:b/>
                <w:bCs/>
                <w:color w:val="000000"/>
                <w:lang w:val="en-GB" w:eastAsia="hr-HR"/>
              </w:rPr>
              <w:t>TOTAL</w:t>
            </w:r>
          </w:p>
        </w:tc>
        <w:tc>
          <w:tcPr>
            <w:tcW w:w="1074"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1E41DCB6" w14:textId="77777777" w:rsidR="00CB4094" w:rsidRPr="00BC1ABD" w:rsidRDefault="00CB4094" w:rsidP="00CB4094">
            <w:pPr>
              <w:spacing w:after="0" w:line="240" w:lineRule="auto"/>
              <w:jc w:val="right"/>
              <w:rPr>
                <w:rFonts w:eastAsia="Times New Roman" w:cs="Calibri"/>
                <w:b/>
                <w:bCs/>
                <w:color w:val="000000"/>
                <w:lang w:val="en-GB" w:eastAsia="hr-HR"/>
              </w:rPr>
            </w:pPr>
            <w:r w:rsidRPr="00BC1ABD">
              <w:rPr>
                <w:rFonts w:eastAsia="Times New Roman" w:cs="Calibri"/>
                <w:b/>
                <w:bCs/>
                <w:color w:val="000000"/>
                <w:lang w:val="en-GB" w:eastAsia="hr-HR"/>
              </w:rPr>
              <w:t>3,605</w:t>
            </w:r>
          </w:p>
        </w:tc>
        <w:tc>
          <w:tcPr>
            <w:tcW w:w="1619"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FBCE4EB" w14:textId="77777777" w:rsidR="00CB4094" w:rsidRPr="00BC1ABD" w:rsidRDefault="00CB4094" w:rsidP="00CB4094">
            <w:pPr>
              <w:spacing w:after="0" w:line="240" w:lineRule="auto"/>
              <w:jc w:val="right"/>
              <w:rPr>
                <w:rFonts w:eastAsia="Times New Roman" w:cs="Calibri"/>
                <w:b/>
                <w:bCs/>
                <w:color w:val="000000"/>
                <w:lang w:val="en-GB" w:eastAsia="hr-HR"/>
              </w:rPr>
            </w:pPr>
            <w:r w:rsidRPr="00BC1ABD">
              <w:rPr>
                <w:rFonts w:eastAsia="Times New Roman" w:cs="Calibri"/>
                <w:b/>
                <w:bCs/>
                <w:color w:val="000000"/>
                <w:lang w:val="en-GB" w:eastAsia="hr-HR"/>
              </w:rPr>
              <w:t>1,251,975</w:t>
            </w:r>
          </w:p>
        </w:tc>
        <w:tc>
          <w:tcPr>
            <w:tcW w:w="1458"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6CA6EB0D" w14:textId="77777777" w:rsidR="00CB4094" w:rsidRPr="00BC1ABD" w:rsidRDefault="00CB4094" w:rsidP="00CB4094">
            <w:pPr>
              <w:spacing w:after="0" w:line="240" w:lineRule="auto"/>
              <w:jc w:val="right"/>
              <w:rPr>
                <w:rFonts w:eastAsia="Times New Roman" w:cs="Calibri"/>
                <w:b/>
                <w:bCs/>
                <w:color w:val="000000"/>
                <w:lang w:val="en-GB" w:eastAsia="hr-HR"/>
              </w:rPr>
            </w:pPr>
            <w:r w:rsidRPr="00BC1ABD">
              <w:rPr>
                <w:rFonts w:eastAsia="Times New Roman" w:cs="Calibri"/>
                <w:b/>
                <w:bCs/>
                <w:color w:val="000000"/>
                <w:lang w:val="en-GB" w:eastAsia="hr-HR"/>
              </w:rPr>
              <w:t>100.0</w:t>
            </w:r>
          </w:p>
        </w:tc>
        <w:tc>
          <w:tcPr>
            <w:tcW w:w="1458"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A945033" w14:textId="77777777" w:rsidR="00CB4094" w:rsidRPr="00BC1ABD" w:rsidRDefault="00CB4094" w:rsidP="00CB4094">
            <w:pPr>
              <w:spacing w:after="0" w:line="240" w:lineRule="auto"/>
              <w:jc w:val="right"/>
              <w:rPr>
                <w:rFonts w:eastAsia="Times New Roman" w:cs="Calibri"/>
                <w:b/>
                <w:bCs/>
                <w:color w:val="000000"/>
                <w:lang w:val="en-GB" w:eastAsia="hr-HR"/>
              </w:rPr>
            </w:pPr>
            <w:r w:rsidRPr="00BC1ABD">
              <w:rPr>
                <w:rFonts w:eastAsia="Times New Roman" w:cs="Calibri"/>
                <w:b/>
                <w:bCs/>
                <w:color w:val="000000"/>
                <w:lang w:val="en-GB" w:eastAsia="hr-HR"/>
              </w:rPr>
              <w:t>3,679,745</w:t>
            </w:r>
          </w:p>
        </w:tc>
        <w:tc>
          <w:tcPr>
            <w:tcW w:w="1619"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06D5A5BF" w14:textId="77777777" w:rsidR="00CB4094" w:rsidRPr="00BC1ABD" w:rsidRDefault="00CB4094" w:rsidP="00CB4094">
            <w:pPr>
              <w:spacing w:after="0" w:line="240" w:lineRule="auto"/>
              <w:jc w:val="right"/>
              <w:rPr>
                <w:rFonts w:eastAsia="Times New Roman" w:cs="Calibri"/>
                <w:b/>
                <w:bCs/>
                <w:color w:val="000000"/>
                <w:lang w:val="en-GB" w:eastAsia="hr-HR"/>
              </w:rPr>
            </w:pPr>
            <w:r w:rsidRPr="00BC1ABD">
              <w:rPr>
                <w:rFonts w:eastAsia="Times New Roman" w:cs="Calibri"/>
                <w:b/>
                <w:bCs/>
                <w:color w:val="000000"/>
                <w:lang w:val="en-GB" w:eastAsia="hr-HR"/>
              </w:rPr>
              <w:t>956,927</w:t>
            </w:r>
          </w:p>
        </w:tc>
      </w:tr>
    </w:tbl>
    <w:p w14:paraId="518FC891" w14:textId="77777777" w:rsidR="00CB4094" w:rsidRPr="00BC1ABD" w:rsidRDefault="00CB4094" w:rsidP="00CB4094">
      <w:pPr>
        <w:jc w:val="right"/>
        <w:rPr>
          <w:rFonts w:eastAsia="Times New Roman" w:cs="Arial"/>
          <w:sz w:val="2"/>
          <w:szCs w:val="2"/>
          <w:lang w:val="en-GB"/>
        </w:rPr>
      </w:pPr>
    </w:p>
    <w:tbl>
      <w:tblPr>
        <w:tblW w:w="9066" w:type="dxa"/>
        <w:tblCellMar>
          <w:left w:w="70" w:type="dxa"/>
          <w:right w:w="70" w:type="dxa"/>
        </w:tblCellMar>
        <w:tblLook w:val="04A0" w:firstRow="1" w:lastRow="0" w:firstColumn="1" w:lastColumn="0" w:noHBand="0" w:noVBand="1"/>
      </w:tblPr>
      <w:tblGrid>
        <w:gridCol w:w="1838"/>
        <w:gridCol w:w="1074"/>
        <w:gridCol w:w="1619"/>
        <w:gridCol w:w="1458"/>
        <w:gridCol w:w="1458"/>
        <w:gridCol w:w="1619"/>
      </w:tblGrid>
      <w:tr w:rsidR="00CB4094" w:rsidRPr="00BC1ABD" w14:paraId="5DF07D4E" w14:textId="77777777" w:rsidTr="001915F5">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auto"/>
            <w:noWrap/>
            <w:vAlign w:val="bottom"/>
          </w:tcPr>
          <w:p w14:paraId="140E32B4" w14:textId="4E90EEEE"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bCs/>
                <w:color w:val="000000"/>
                <w:lang w:val="en-GB" w:eastAsia="hr-HR"/>
              </w:rPr>
              <w:t>Tbilisi (3</w:t>
            </w:r>
            <w:r w:rsidR="007E65BE">
              <w:rPr>
                <w:rFonts w:eastAsia="Times New Roman" w:cs="Calibri"/>
                <w:bCs/>
                <w:color w:val="000000"/>
                <w:lang w:val="en-GB" w:eastAsia="hr-HR"/>
              </w:rPr>
              <w:t xml:space="preserve"> or more</w:t>
            </w:r>
            <w:r w:rsidRPr="00BC1ABD">
              <w:rPr>
                <w:rFonts w:eastAsia="Times New Roman" w:cs="Calibri"/>
                <w:bCs/>
                <w:color w:val="000000"/>
                <w:lang w:val="en-GB" w:eastAsia="hr-HR"/>
              </w:rPr>
              <w:t>)</w:t>
            </w:r>
          </w:p>
        </w:tc>
        <w:tc>
          <w:tcPr>
            <w:tcW w:w="1074" w:type="dxa"/>
            <w:tcBorders>
              <w:top w:val="single" w:sz="4" w:space="0" w:color="auto"/>
              <w:left w:val="nil"/>
              <w:bottom w:val="single" w:sz="4" w:space="0" w:color="auto"/>
              <w:right w:val="single" w:sz="4" w:space="0" w:color="auto"/>
            </w:tcBorders>
            <w:shd w:val="clear" w:color="000000" w:fill="auto"/>
            <w:vAlign w:val="center"/>
          </w:tcPr>
          <w:p w14:paraId="7FBBD690"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color w:val="000000"/>
                <w:lang w:val="en-GB"/>
              </w:rPr>
              <w:t>1</w:t>
            </w:r>
          </w:p>
        </w:tc>
        <w:tc>
          <w:tcPr>
            <w:tcW w:w="1619" w:type="dxa"/>
            <w:tcBorders>
              <w:top w:val="single" w:sz="4" w:space="0" w:color="auto"/>
              <w:left w:val="nil"/>
              <w:bottom w:val="single" w:sz="4" w:space="0" w:color="auto"/>
              <w:right w:val="single" w:sz="4" w:space="0" w:color="auto"/>
            </w:tcBorders>
            <w:shd w:val="clear" w:color="000000" w:fill="auto"/>
            <w:vAlign w:val="center"/>
          </w:tcPr>
          <w:p w14:paraId="642354D6"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color w:val="000000"/>
                <w:lang w:val="en-GB"/>
              </w:rPr>
              <w:t>464,688</w:t>
            </w:r>
          </w:p>
        </w:tc>
        <w:tc>
          <w:tcPr>
            <w:tcW w:w="1458" w:type="dxa"/>
            <w:tcBorders>
              <w:top w:val="single" w:sz="4" w:space="0" w:color="auto"/>
              <w:left w:val="nil"/>
              <w:bottom w:val="single" w:sz="4" w:space="0" w:color="auto"/>
              <w:right w:val="single" w:sz="4" w:space="0" w:color="auto"/>
            </w:tcBorders>
            <w:shd w:val="clear" w:color="000000" w:fill="auto"/>
            <w:vAlign w:val="center"/>
          </w:tcPr>
          <w:p w14:paraId="3A7A7FC4"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color w:val="000000"/>
                <w:lang w:val="en-GB"/>
              </w:rPr>
              <w:t>37.1</w:t>
            </w:r>
          </w:p>
        </w:tc>
        <w:tc>
          <w:tcPr>
            <w:tcW w:w="1458" w:type="dxa"/>
            <w:tcBorders>
              <w:top w:val="single" w:sz="4" w:space="0" w:color="auto"/>
              <w:left w:val="nil"/>
              <w:bottom w:val="single" w:sz="4" w:space="0" w:color="auto"/>
              <w:right w:val="single" w:sz="4" w:space="0" w:color="auto"/>
            </w:tcBorders>
            <w:shd w:val="clear" w:color="000000" w:fill="auto"/>
            <w:vAlign w:val="center"/>
          </w:tcPr>
          <w:p w14:paraId="08845CDF"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color w:val="000000"/>
                <w:lang w:val="en-GB"/>
              </w:rPr>
              <w:t>1,108,717</w:t>
            </w:r>
          </w:p>
        </w:tc>
        <w:tc>
          <w:tcPr>
            <w:tcW w:w="1619" w:type="dxa"/>
            <w:tcBorders>
              <w:top w:val="single" w:sz="4" w:space="0" w:color="auto"/>
              <w:left w:val="nil"/>
              <w:bottom w:val="single" w:sz="4" w:space="0" w:color="auto"/>
              <w:right w:val="single" w:sz="4" w:space="0" w:color="auto"/>
            </w:tcBorders>
            <w:shd w:val="clear" w:color="000000" w:fill="auto"/>
            <w:vAlign w:val="center"/>
          </w:tcPr>
          <w:p w14:paraId="58EB823F" w14:textId="77777777"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cs="Calibri"/>
                <w:color w:val="000000"/>
                <w:lang w:val="en-GB"/>
              </w:rPr>
              <w:t>425,610</w:t>
            </w:r>
          </w:p>
        </w:tc>
      </w:tr>
      <w:tr w:rsidR="00CB4094" w:rsidRPr="00BC1ABD" w14:paraId="74D525E2" w14:textId="77777777" w:rsidTr="001915F5">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auto"/>
            <w:noWrap/>
          </w:tcPr>
          <w:p w14:paraId="6E04120B" w14:textId="4B10ACEC" w:rsidR="00CB4094" w:rsidRPr="00BC1ABD" w:rsidRDefault="00CB4094" w:rsidP="00CB4094">
            <w:pPr>
              <w:spacing w:after="0" w:line="240" w:lineRule="auto"/>
              <w:jc w:val="right"/>
              <w:rPr>
                <w:rFonts w:eastAsia="Times New Roman" w:cs="Calibri"/>
                <w:bCs/>
                <w:color w:val="000000"/>
                <w:lang w:val="en-GB" w:eastAsia="hr-HR"/>
              </w:rPr>
            </w:pPr>
            <w:r w:rsidRPr="00BC1ABD">
              <w:rPr>
                <w:rFonts w:eastAsia="Times New Roman"/>
                <w:lang w:val="en-GB"/>
              </w:rPr>
              <w:t>Other (3</w:t>
            </w:r>
            <w:r w:rsidR="007E65BE">
              <w:rPr>
                <w:rFonts w:eastAsia="Times New Roman"/>
                <w:lang w:val="en-GB"/>
              </w:rPr>
              <w:t xml:space="preserve"> or more</w:t>
            </w:r>
            <w:r w:rsidRPr="00BC1ABD">
              <w:rPr>
                <w:rFonts w:eastAsia="Times New Roman"/>
                <w:lang w:val="en-GB"/>
              </w:rPr>
              <w:t>)</w:t>
            </w:r>
          </w:p>
        </w:tc>
        <w:tc>
          <w:tcPr>
            <w:tcW w:w="1074" w:type="dxa"/>
            <w:tcBorders>
              <w:top w:val="single" w:sz="4" w:space="0" w:color="auto"/>
              <w:left w:val="nil"/>
              <w:bottom w:val="single" w:sz="4" w:space="0" w:color="auto"/>
              <w:right w:val="single" w:sz="4" w:space="0" w:color="auto"/>
            </w:tcBorders>
            <w:shd w:val="clear" w:color="000000" w:fill="auto"/>
          </w:tcPr>
          <w:p w14:paraId="2D3521BD" w14:textId="77777777" w:rsidR="00CB4094" w:rsidRPr="00BC1ABD" w:rsidRDefault="00CB4094" w:rsidP="00CB4094">
            <w:pPr>
              <w:spacing w:after="0" w:line="240" w:lineRule="auto"/>
              <w:jc w:val="right"/>
              <w:rPr>
                <w:rFonts w:eastAsia="Times New Roman" w:cs="Calibri"/>
                <w:color w:val="000000"/>
                <w:lang w:val="en-GB"/>
              </w:rPr>
            </w:pPr>
            <w:r w:rsidRPr="00BC1ABD">
              <w:rPr>
                <w:rFonts w:eastAsia="Times New Roman"/>
                <w:lang w:val="en-GB"/>
              </w:rPr>
              <w:t>473</w:t>
            </w:r>
          </w:p>
        </w:tc>
        <w:tc>
          <w:tcPr>
            <w:tcW w:w="1619" w:type="dxa"/>
            <w:tcBorders>
              <w:top w:val="single" w:sz="4" w:space="0" w:color="auto"/>
              <w:left w:val="nil"/>
              <w:bottom w:val="single" w:sz="4" w:space="0" w:color="auto"/>
              <w:right w:val="single" w:sz="4" w:space="0" w:color="auto"/>
            </w:tcBorders>
            <w:shd w:val="clear" w:color="000000" w:fill="auto"/>
          </w:tcPr>
          <w:p w14:paraId="6A5C1F4F" w14:textId="77777777" w:rsidR="00CB4094" w:rsidRPr="00BC1ABD" w:rsidRDefault="00CB4094" w:rsidP="00CB4094">
            <w:pPr>
              <w:spacing w:after="0" w:line="240" w:lineRule="auto"/>
              <w:jc w:val="right"/>
              <w:rPr>
                <w:rFonts w:eastAsia="Times New Roman" w:cs="Calibri"/>
                <w:color w:val="000000"/>
                <w:lang w:val="en-GB"/>
              </w:rPr>
            </w:pPr>
            <w:r w:rsidRPr="00BC1ABD">
              <w:rPr>
                <w:rFonts w:eastAsia="Times New Roman"/>
                <w:lang w:val="en-GB"/>
              </w:rPr>
              <w:t>492,365</w:t>
            </w:r>
          </w:p>
        </w:tc>
        <w:tc>
          <w:tcPr>
            <w:tcW w:w="1458" w:type="dxa"/>
            <w:tcBorders>
              <w:top w:val="single" w:sz="4" w:space="0" w:color="auto"/>
              <w:left w:val="nil"/>
              <w:bottom w:val="single" w:sz="4" w:space="0" w:color="auto"/>
              <w:right w:val="single" w:sz="4" w:space="0" w:color="auto"/>
            </w:tcBorders>
            <w:shd w:val="clear" w:color="000000" w:fill="auto"/>
          </w:tcPr>
          <w:p w14:paraId="6B29F6C2" w14:textId="77777777" w:rsidR="00CB4094" w:rsidRPr="00BC1ABD" w:rsidRDefault="00CB4094" w:rsidP="00CB4094">
            <w:pPr>
              <w:spacing w:after="0" w:line="240" w:lineRule="auto"/>
              <w:jc w:val="right"/>
              <w:rPr>
                <w:rFonts w:eastAsia="Times New Roman" w:cs="Calibri"/>
                <w:color w:val="000000"/>
                <w:lang w:val="en-GB"/>
              </w:rPr>
            </w:pPr>
            <w:r w:rsidRPr="00BC1ABD">
              <w:rPr>
                <w:rFonts w:eastAsia="Times New Roman"/>
                <w:lang w:val="en-GB"/>
              </w:rPr>
              <w:t>39.3</w:t>
            </w:r>
          </w:p>
        </w:tc>
        <w:tc>
          <w:tcPr>
            <w:tcW w:w="1458" w:type="dxa"/>
            <w:tcBorders>
              <w:top w:val="single" w:sz="4" w:space="0" w:color="auto"/>
              <w:left w:val="nil"/>
              <w:bottom w:val="single" w:sz="4" w:space="0" w:color="auto"/>
              <w:right w:val="single" w:sz="4" w:space="0" w:color="auto"/>
            </w:tcBorders>
            <w:shd w:val="clear" w:color="000000" w:fill="auto"/>
          </w:tcPr>
          <w:p w14:paraId="43EC613E" w14:textId="77777777" w:rsidR="00CB4094" w:rsidRPr="00BC1ABD" w:rsidRDefault="00CB4094" w:rsidP="00CB4094">
            <w:pPr>
              <w:spacing w:after="0" w:line="240" w:lineRule="auto"/>
              <w:jc w:val="right"/>
              <w:rPr>
                <w:rFonts w:eastAsia="Times New Roman" w:cs="Calibri"/>
                <w:color w:val="000000"/>
                <w:lang w:val="en-GB"/>
              </w:rPr>
            </w:pPr>
            <w:r w:rsidRPr="00BC1ABD">
              <w:rPr>
                <w:rFonts w:eastAsia="Times New Roman"/>
                <w:lang w:val="en-GB"/>
              </w:rPr>
              <w:t>1,574,010</w:t>
            </w:r>
          </w:p>
        </w:tc>
        <w:tc>
          <w:tcPr>
            <w:tcW w:w="1619" w:type="dxa"/>
            <w:tcBorders>
              <w:top w:val="single" w:sz="4" w:space="0" w:color="auto"/>
              <w:left w:val="nil"/>
              <w:bottom w:val="single" w:sz="4" w:space="0" w:color="auto"/>
              <w:right w:val="single" w:sz="4" w:space="0" w:color="auto"/>
            </w:tcBorders>
            <w:shd w:val="clear" w:color="000000" w:fill="auto"/>
          </w:tcPr>
          <w:p w14:paraId="5E5B6F99" w14:textId="77777777" w:rsidR="00CB4094" w:rsidRPr="00BC1ABD" w:rsidRDefault="00CB4094" w:rsidP="00CB4094">
            <w:pPr>
              <w:spacing w:after="0" w:line="240" w:lineRule="auto"/>
              <w:jc w:val="right"/>
              <w:rPr>
                <w:rFonts w:eastAsia="Times New Roman" w:cs="Calibri"/>
                <w:color w:val="000000"/>
                <w:lang w:val="en-GB"/>
              </w:rPr>
            </w:pPr>
            <w:r w:rsidRPr="00BC1ABD">
              <w:rPr>
                <w:rFonts w:eastAsia="Times New Roman"/>
                <w:lang w:val="en-GB"/>
              </w:rPr>
              <w:t>440,696</w:t>
            </w:r>
          </w:p>
        </w:tc>
      </w:tr>
    </w:tbl>
    <w:p w14:paraId="301B3F1F" w14:textId="77777777" w:rsidR="00CB4094" w:rsidRPr="00BC1ABD" w:rsidRDefault="00CB4094" w:rsidP="00CB4094">
      <w:pPr>
        <w:jc w:val="center"/>
        <w:rPr>
          <w:rFonts w:eastAsia="Times New Roman" w:cs="Arial"/>
          <w:sz w:val="2"/>
          <w:szCs w:val="2"/>
          <w:lang w:val="en-GB"/>
        </w:rPr>
      </w:pPr>
    </w:p>
    <w:p w14:paraId="20515105" w14:textId="77777777" w:rsidR="00CB4094" w:rsidRPr="00BC1ABD" w:rsidRDefault="00CB4094" w:rsidP="00CB4094">
      <w:pPr>
        <w:jc w:val="center"/>
        <w:rPr>
          <w:rFonts w:eastAsia="Times New Roman" w:cs="Arial"/>
          <w:sz w:val="20"/>
          <w:szCs w:val="20"/>
          <w:lang w:val="en-GB"/>
        </w:rPr>
      </w:pPr>
      <w:r w:rsidRPr="00BC1ABD">
        <w:rPr>
          <w:rFonts w:eastAsia="Times New Roman" w:cs="Arial"/>
          <w:sz w:val="20"/>
          <w:szCs w:val="20"/>
          <w:lang w:val="en-GB"/>
        </w:rPr>
        <w:t>Source: Answers to the Questionnaire on coverage</w:t>
      </w:r>
    </w:p>
    <w:p w14:paraId="6A9DEE9A" w14:textId="26A69F33" w:rsidR="00CB4094" w:rsidRPr="00BC1ABD" w:rsidRDefault="00CB4094" w:rsidP="00CB4094">
      <w:pPr>
        <w:jc w:val="both"/>
        <w:rPr>
          <w:rFonts w:eastAsia="Times New Roman" w:cs="Arial"/>
          <w:sz w:val="24"/>
          <w:szCs w:val="24"/>
          <w:lang w:val="en-GB"/>
        </w:rPr>
      </w:pPr>
      <w:bookmarkStart w:id="62" w:name="_Hlk124846486"/>
      <w:r w:rsidRPr="00BC1ABD">
        <w:rPr>
          <w:rFonts w:eastAsia="Times New Roman" w:cs="Arial"/>
          <w:sz w:val="24"/>
          <w:szCs w:val="24"/>
          <w:lang w:val="en-GB"/>
        </w:rPr>
        <w:t xml:space="preserve">The penetration of fixed broadband (the number of active subscribers per household in a settlement) is depicted in </w:t>
      </w:r>
      <w:r w:rsidR="0075700D">
        <w:rPr>
          <w:rFonts w:eastAsia="Times New Roman" w:cs="Arial"/>
          <w:sz w:val="24"/>
          <w:szCs w:val="24"/>
          <w:lang w:val="en-GB"/>
        </w:rPr>
        <w:t>Figure 3</w:t>
      </w:r>
      <w:r w:rsidRPr="00BC1ABD">
        <w:rPr>
          <w:rFonts w:eastAsia="Times New Roman" w:cs="Arial"/>
          <w:sz w:val="24"/>
          <w:szCs w:val="24"/>
          <w:lang w:val="en-GB"/>
        </w:rPr>
        <w:t xml:space="preserve"> below. The penetration rate includes all fixed broadband technologies used to connect an end user.</w:t>
      </w:r>
    </w:p>
    <w:p w14:paraId="47D77637"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In the following coverage charts (in both this section and the following sections) the penetration is the highest in the settlements with the highest number of operators (3 or more). In some settlements, the penetration rate is calculated as more than 100%. This is because most of households can be reached with more than one network. In settlements with no coverage, the penetration is, by definition, 0%.</w:t>
      </w:r>
      <w:bookmarkEnd w:id="62"/>
      <w:r w:rsidRPr="00BC1ABD">
        <w:rPr>
          <w:rFonts w:eastAsia="Times New Roman" w:cs="Arial"/>
          <w:sz w:val="24"/>
          <w:szCs w:val="24"/>
          <w:lang w:val="en-GB"/>
        </w:rPr>
        <w:t xml:space="preserve"> </w:t>
      </w:r>
    </w:p>
    <w:p w14:paraId="1D5206FF"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bookmarkStart w:id="63" w:name="_Toc141200243"/>
    </w:p>
    <w:p w14:paraId="6A12F85C"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183C3B14"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63AAAFFB"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68A5246F"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4C2ED383"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102F6D91"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74C52350" w14:textId="77777777" w:rsidR="00723DBC" w:rsidRDefault="00723DBC" w:rsidP="00E82B0B">
      <w:pPr>
        <w:spacing w:after="160" w:line="259" w:lineRule="auto"/>
        <w:jc w:val="center"/>
        <w:rPr>
          <w:rFonts w:asciiTheme="minorHAnsi" w:eastAsia="Times New Roman" w:hAnsiTheme="minorHAnsi"/>
          <w:i/>
          <w:iCs/>
          <w:color w:val="44546A" w:themeColor="text2"/>
          <w:sz w:val="20"/>
          <w:szCs w:val="20"/>
          <w:lang w:val="en-GB"/>
        </w:rPr>
      </w:pPr>
    </w:p>
    <w:p w14:paraId="1A3E0BCC" w14:textId="6CFE59BA" w:rsidR="00CB4094" w:rsidRPr="00BC1ABD" w:rsidRDefault="00CB4094" w:rsidP="00E82B0B">
      <w:pPr>
        <w:spacing w:after="160" w:line="259" w:lineRule="auto"/>
        <w:jc w:val="center"/>
        <w:rPr>
          <w:rFonts w:asciiTheme="minorHAnsi" w:eastAsia="Times New Roman" w:hAnsiTheme="minorHAnsi"/>
          <w:i/>
          <w:iCs/>
          <w:color w:val="44546A" w:themeColor="text2"/>
          <w:sz w:val="20"/>
          <w:szCs w:val="20"/>
          <w:lang w:val="en-GB"/>
        </w:rPr>
      </w:pPr>
      <w:bookmarkStart w:id="64" w:name="_Toc152931354"/>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olor w:val="44546A" w:themeColor="text2"/>
          <w:sz w:val="20"/>
          <w:szCs w:val="20"/>
          <w:lang w:val="en-GB"/>
        </w:rPr>
        <w:t xml:space="preserve"> Fixed broadband </w:t>
      </w:r>
      <w:r w:rsidRPr="00BC1ABD">
        <w:rPr>
          <w:rFonts w:asciiTheme="minorHAnsi" w:eastAsia="Times New Roman" w:hAnsiTheme="minorHAnsi"/>
          <w:i/>
          <w:iCs/>
          <w:color w:val="44546A" w:themeColor="text2"/>
          <w:sz w:val="20"/>
          <w:szCs w:val="20"/>
          <w:lang w:val="en-GB"/>
        </w:rPr>
        <w:t>penetration and coverage</w:t>
      </w:r>
      <w:bookmarkEnd w:id="63"/>
      <w:bookmarkEnd w:id="64"/>
    </w:p>
    <w:p w14:paraId="59574868" w14:textId="7228725C" w:rsidR="00CB4094" w:rsidRPr="00BC1ABD" w:rsidRDefault="00CB4094" w:rsidP="00CB4094">
      <w:pPr>
        <w:jc w:val="center"/>
        <w:rPr>
          <w:rFonts w:eastAsia="Times New Roman"/>
          <w:lang w:val="en-GB"/>
        </w:rPr>
      </w:pPr>
      <w:r w:rsidRPr="00BC1ABD">
        <w:rPr>
          <w:rFonts w:eastAsia="Times New Roman"/>
          <w:noProof/>
          <w:lang w:val="sl-SI" w:eastAsia="sl-SI"/>
        </w:rPr>
        <w:drawing>
          <wp:inline distT="0" distB="0" distL="0" distR="0" wp14:anchorId="4141BDB1" wp14:editId="40FF89AA">
            <wp:extent cx="3968068" cy="2688265"/>
            <wp:effectExtent l="0" t="0" r="0" b="0"/>
            <wp:docPr id="473884487" name="Slika 5" descr="Slika na kojoj se prikazuje tekst, snimka zaslona, broj, radnj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84487" name="Slika 5" descr="Slika na kojoj se prikazuje tekst, snimka zaslona, broj, radnja&#10;&#10;Opis je automatski generira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1955" cy="2697673"/>
                    </a:xfrm>
                    <a:prstGeom prst="rect">
                      <a:avLst/>
                    </a:prstGeom>
                    <a:noFill/>
                    <a:ln>
                      <a:noFill/>
                    </a:ln>
                  </pic:spPr>
                </pic:pic>
              </a:graphicData>
            </a:graphic>
          </wp:inline>
        </w:drawing>
      </w:r>
    </w:p>
    <w:p w14:paraId="04819993" w14:textId="77777777" w:rsidR="00CB4094" w:rsidRPr="00BC1ABD" w:rsidRDefault="00CB4094" w:rsidP="00CB4094">
      <w:pPr>
        <w:jc w:val="center"/>
        <w:rPr>
          <w:rFonts w:eastAsia="Times New Roman" w:cs="Arial"/>
          <w:sz w:val="20"/>
          <w:szCs w:val="20"/>
          <w:lang w:val="en-GB"/>
        </w:rPr>
      </w:pPr>
      <w:r w:rsidRPr="00BC1ABD">
        <w:rPr>
          <w:rFonts w:eastAsia="Times New Roman" w:cs="Arial"/>
          <w:sz w:val="20"/>
          <w:szCs w:val="20"/>
          <w:lang w:val="en-GB"/>
        </w:rPr>
        <w:t xml:space="preserve">Source: Answers to the Questionnaire on coverage </w:t>
      </w:r>
    </w:p>
    <w:p w14:paraId="7AED3D11" w14:textId="38D5CB9B"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significant majority of </w:t>
      </w:r>
      <w:r w:rsidR="008B68F3">
        <w:rPr>
          <w:rFonts w:eastAsia="Times New Roman" w:cs="Arial"/>
          <w:sz w:val="24"/>
          <w:szCs w:val="24"/>
          <w:lang w:val="en-GB"/>
        </w:rPr>
        <w:t xml:space="preserve">households </w:t>
      </w:r>
      <w:r w:rsidRPr="00BC1ABD">
        <w:rPr>
          <w:rFonts w:eastAsia="Times New Roman" w:cs="Arial"/>
          <w:sz w:val="24"/>
          <w:szCs w:val="24"/>
          <w:lang w:val="en-GB"/>
        </w:rPr>
        <w:t>(76%)</w:t>
      </w:r>
      <w:r w:rsidR="003D4AF1">
        <w:rPr>
          <w:rFonts w:eastAsia="Times New Roman" w:cs="Arial"/>
          <w:sz w:val="24"/>
          <w:szCs w:val="24"/>
          <w:lang w:val="en-GB"/>
        </w:rPr>
        <w:t xml:space="preserve"> are located in settlements in which </w:t>
      </w:r>
      <w:r w:rsidRPr="00BC1ABD">
        <w:rPr>
          <w:rFonts w:eastAsia="Times New Roman" w:cs="Arial"/>
          <w:sz w:val="24"/>
          <w:szCs w:val="24"/>
          <w:lang w:val="en-GB"/>
        </w:rPr>
        <w:t xml:space="preserve">three or more operators </w:t>
      </w:r>
      <w:r w:rsidR="003D4AF1">
        <w:rPr>
          <w:rFonts w:eastAsia="Times New Roman" w:cs="Arial"/>
          <w:sz w:val="24"/>
          <w:szCs w:val="24"/>
          <w:lang w:val="en-GB"/>
        </w:rPr>
        <w:t xml:space="preserve">are </w:t>
      </w:r>
      <w:r w:rsidRPr="00BC1ABD">
        <w:rPr>
          <w:rFonts w:eastAsia="Times New Roman" w:cs="Arial"/>
          <w:sz w:val="24"/>
          <w:szCs w:val="24"/>
          <w:lang w:val="en-GB"/>
        </w:rPr>
        <w:t xml:space="preserve">present. It has to be emphasised that coverage could be by any network technology, so that it is possible for example that some parts of a settlement are covered by FWA and other parts with </w:t>
      </w:r>
      <w:r w:rsidR="00592449">
        <w:rPr>
          <w:rFonts w:eastAsia="Times New Roman" w:cs="Arial"/>
          <w:sz w:val="24"/>
          <w:szCs w:val="24"/>
          <w:lang w:val="en-GB"/>
        </w:rPr>
        <w:t>FTTx</w:t>
      </w:r>
      <w:r w:rsidRPr="00BC1ABD">
        <w:rPr>
          <w:rFonts w:eastAsia="Times New Roman" w:cs="Arial"/>
          <w:sz w:val="24"/>
          <w:szCs w:val="24"/>
          <w:lang w:val="en-GB"/>
        </w:rPr>
        <w:t xml:space="preserve"> or xDSL, which do not necessarily overlap. Almost 5% of households in Georgia are in settlements where no operator is present and therefore no fixed broadband access is currently possible.</w:t>
      </w:r>
    </w:p>
    <w:p w14:paraId="7A4CBCDE" w14:textId="7BE8450D" w:rsidR="00CB4094" w:rsidRPr="008B28CB" w:rsidRDefault="00CB4094" w:rsidP="008B28CB">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65" w:name="_Toc169258909"/>
      <w:r w:rsidRPr="008B28CB">
        <w:rPr>
          <w:rFonts w:asciiTheme="minorHAnsi" w:hAnsiTheme="minorHAnsi" w:cstheme="minorHAnsi"/>
          <w:b w:val="0"/>
          <w:bCs w:val="0"/>
          <w:sz w:val="24"/>
          <w:szCs w:val="24"/>
          <w:lang w:val="en-GB"/>
        </w:rPr>
        <w:t xml:space="preserve">Settlements where at least one active </w:t>
      </w:r>
      <w:r w:rsidR="00592449">
        <w:rPr>
          <w:rFonts w:asciiTheme="minorHAnsi" w:hAnsiTheme="minorHAnsi" w:cstheme="minorHAnsi"/>
          <w:b w:val="0"/>
          <w:bCs w:val="0"/>
          <w:sz w:val="24"/>
          <w:szCs w:val="24"/>
          <w:lang w:val="en-GB"/>
        </w:rPr>
        <w:t>FTTx</w:t>
      </w:r>
      <w:r w:rsidRPr="008B28CB">
        <w:rPr>
          <w:rFonts w:asciiTheme="minorHAnsi" w:hAnsiTheme="minorHAnsi" w:cstheme="minorHAnsi"/>
          <w:b w:val="0"/>
          <w:bCs w:val="0"/>
          <w:sz w:val="24"/>
          <w:szCs w:val="24"/>
          <w:lang w:val="en-GB"/>
        </w:rPr>
        <w:t xml:space="preserve"> subscriber is present</w:t>
      </w:r>
      <w:bookmarkEnd w:id="65"/>
      <w:r w:rsidRPr="008B28CB">
        <w:rPr>
          <w:rFonts w:asciiTheme="minorHAnsi" w:hAnsiTheme="minorHAnsi" w:cstheme="minorHAnsi"/>
          <w:b w:val="0"/>
          <w:bCs w:val="0"/>
          <w:sz w:val="24"/>
          <w:szCs w:val="24"/>
          <w:lang w:val="en-GB"/>
        </w:rPr>
        <w:t xml:space="preserve"> </w:t>
      </w:r>
    </w:p>
    <w:p w14:paraId="6CF68F0D"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Settlements are grouped in four groups:</w:t>
      </w:r>
    </w:p>
    <w:p w14:paraId="49DAD00C" w14:textId="30592EA5" w:rsidR="00CB4094" w:rsidRPr="00BC1ABD" w:rsidRDefault="00CB4094" w:rsidP="00EB11F7">
      <w:pPr>
        <w:numPr>
          <w:ilvl w:val="1"/>
          <w:numId w:val="60"/>
        </w:numPr>
        <w:contextualSpacing/>
        <w:jc w:val="both"/>
        <w:rPr>
          <w:rFonts w:eastAsia="Times New Roman" w:cs="Arial"/>
          <w:sz w:val="24"/>
          <w:szCs w:val="24"/>
          <w:lang w:val="en-GB"/>
        </w:rPr>
      </w:pPr>
      <w:r w:rsidRPr="00BC1ABD">
        <w:rPr>
          <w:rFonts w:eastAsia="Times New Roman" w:cs="Arial"/>
          <w:sz w:val="24"/>
          <w:szCs w:val="24"/>
          <w:lang w:val="en-GB"/>
        </w:rPr>
        <w:t xml:space="preserve">3 or more </w:t>
      </w:r>
      <w:r w:rsidR="00592449">
        <w:rPr>
          <w:rFonts w:eastAsia="Times New Roman" w:cs="Arial"/>
          <w:sz w:val="24"/>
          <w:szCs w:val="24"/>
          <w:lang w:val="en-GB"/>
        </w:rPr>
        <w:t>FTTx</w:t>
      </w:r>
      <w:r w:rsidRPr="00BC1ABD">
        <w:rPr>
          <w:rFonts w:eastAsia="Times New Roman" w:cs="Arial"/>
          <w:sz w:val="24"/>
          <w:szCs w:val="24"/>
          <w:lang w:val="en-GB"/>
        </w:rPr>
        <w:t xml:space="preserve"> operators are present</w:t>
      </w:r>
      <w:r w:rsidR="0075700D">
        <w:rPr>
          <w:rFonts w:eastAsia="Times New Roman" w:cs="Arial"/>
          <w:sz w:val="24"/>
          <w:szCs w:val="24"/>
          <w:lang w:val="en-GB"/>
        </w:rPr>
        <w:t>;</w:t>
      </w:r>
    </w:p>
    <w:p w14:paraId="6A6C2C9B" w14:textId="265440BC" w:rsidR="00CB4094" w:rsidRPr="00BC1ABD" w:rsidRDefault="00CB4094" w:rsidP="00EB11F7">
      <w:pPr>
        <w:numPr>
          <w:ilvl w:val="1"/>
          <w:numId w:val="60"/>
        </w:numPr>
        <w:contextualSpacing/>
        <w:jc w:val="both"/>
        <w:rPr>
          <w:rFonts w:eastAsia="Times New Roman" w:cs="Arial"/>
          <w:sz w:val="24"/>
          <w:szCs w:val="24"/>
          <w:lang w:val="en-GB"/>
        </w:rPr>
      </w:pPr>
      <w:r w:rsidRPr="00BC1ABD">
        <w:rPr>
          <w:rFonts w:eastAsia="Times New Roman" w:cs="Arial"/>
          <w:sz w:val="24"/>
          <w:szCs w:val="24"/>
          <w:lang w:val="en-GB"/>
        </w:rPr>
        <w:t xml:space="preserve">2 </w:t>
      </w:r>
      <w:r w:rsidR="00592449">
        <w:rPr>
          <w:rFonts w:eastAsia="Times New Roman" w:cs="Arial"/>
          <w:sz w:val="24"/>
          <w:szCs w:val="24"/>
          <w:lang w:val="en-GB"/>
        </w:rPr>
        <w:t>FTTx</w:t>
      </w:r>
      <w:r w:rsidRPr="00BC1ABD">
        <w:rPr>
          <w:rFonts w:eastAsia="Times New Roman" w:cs="Arial"/>
          <w:sz w:val="24"/>
          <w:szCs w:val="24"/>
          <w:lang w:val="en-GB"/>
        </w:rPr>
        <w:t xml:space="preserve"> operators are present</w:t>
      </w:r>
      <w:r w:rsidR="0075700D">
        <w:rPr>
          <w:rFonts w:eastAsia="Times New Roman" w:cs="Arial"/>
          <w:sz w:val="24"/>
          <w:szCs w:val="24"/>
          <w:lang w:val="en-GB"/>
        </w:rPr>
        <w:t>;</w:t>
      </w:r>
    </w:p>
    <w:p w14:paraId="52F824C1" w14:textId="15A63F0D" w:rsidR="00CB4094" w:rsidRPr="00BC1ABD" w:rsidRDefault="00CB4094" w:rsidP="00EB11F7">
      <w:pPr>
        <w:numPr>
          <w:ilvl w:val="1"/>
          <w:numId w:val="60"/>
        </w:numPr>
        <w:contextualSpacing/>
        <w:jc w:val="both"/>
        <w:rPr>
          <w:rFonts w:eastAsia="Times New Roman" w:cs="Arial"/>
          <w:sz w:val="24"/>
          <w:szCs w:val="24"/>
          <w:lang w:val="en-GB"/>
        </w:rPr>
      </w:pPr>
      <w:r w:rsidRPr="00BC1ABD">
        <w:rPr>
          <w:rFonts w:eastAsia="Times New Roman" w:cs="Arial"/>
          <w:sz w:val="24"/>
          <w:szCs w:val="24"/>
          <w:lang w:val="en-GB"/>
        </w:rPr>
        <w:t xml:space="preserve">1 </w:t>
      </w:r>
      <w:r w:rsidR="00592449">
        <w:rPr>
          <w:rFonts w:eastAsia="Times New Roman" w:cs="Arial"/>
          <w:sz w:val="24"/>
          <w:szCs w:val="24"/>
          <w:lang w:val="en-GB"/>
        </w:rPr>
        <w:t>FTTx</w:t>
      </w:r>
      <w:r w:rsidRPr="00BC1ABD">
        <w:rPr>
          <w:rFonts w:eastAsia="Times New Roman" w:cs="Arial"/>
          <w:sz w:val="24"/>
          <w:szCs w:val="24"/>
          <w:lang w:val="en-GB"/>
        </w:rPr>
        <w:t xml:space="preserve"> operator is present</w:t>
      </w:r>
      <w:r w:rsidR="0075700D">
        <w:rPr>
          <w:rFonts w:eastAsia="Times New Roman" w:cs="Arial"/>
          <w:sz w:val="24"/>
          <w:szCs w:val="24"/>
          <w:lang w:val="en-GB"/>
        </w:rPr>
        <w:t>;</w:t>
      </w:r>
    </w:p>
    <w:p w14:paraId="14A6CFEA" w14:textId="77777777" w:rsidR="00CB4094" w:rsidRPr="00BC1ABD" w:rsidRDefault="00CB4094" w:rsidP="00EB11F7">
      <w:pPr>
        <w:numPr>
          <w:ilvl w:val="1"/>
          <w:numId w:val="60"/>
        </w:numPr>
        <w:contextualSpacing/>
        <w:jc w:val="both"/>
        <w:rPr>
          <w:rFonts w:eastAsia="Times New Roman" w:cs="Arial"/>
          <w:sz w:val="24"/>
          <w:szCs w:val="24"/>
          <w:lang w:val="en-GB"/>
        </w:rPr>
      </w:pPr>
      <w:r w:rsidRPr="00BC1ABD">
        <w:rPr>
          <w:rFonts w:eastAsia="Times New Roman" w:cs="Arial"/>
          <w:sz w:val="24"/>
          <w:szCs w:val="24"/>
          <w:lang w:val="en-GB"/>
        </w:rPr>
        <w:t>No fibre operator is present.</w:t>
      </w:r>
    </w:p>
    <w:p w14:paraId="5E8308A4" w14:textId="25CDA406" w:rsidR="00CB4094"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Premises passed are calculated only for </w:t>
      </w:r>
      <w:r w:rsidR="00592449">
        <w:rPr>
          <w:rFonts w:eastAsia="Times New Roman" w:cs="Arial"/>
          <w:sz w:val="24"/>
          <w:szCs w:val="24"/>
          <w:lang w:val="en-GB"/>
        </w:rPr>
        <w:t>FTTx</w:t>
      </w:r>
      <w:r w:rsidRPr="00BC1ABD">
        <w:rPr>
          <w:rFonts w:eastAsia="Times New Roman" w:cs="Arial"/>
          <w:sz w:val="24"/>
          <w:szCs w:val="24"/>
          <w:lang w:val="en-GB"/>
        </w:rPr>
        <w:t xml:space="preserve"> in general, since operators did not report the number of households passed for P2P and P2MP networks separately, but for whole fibre networks.</w:t>
      </w:r>
    </w:p>
    <w:p w14:paraId="7627A9E9" w14:textId="0D666662" w:rsidR="0075700D" w:rsidRPr="00BC1ABD" w:rsidRDefault="005758E1" w:rsidP="00CB4094">
      <w:pPr>
        <w:jc w:val="both"/>
        <w:rPr>
          <w:rFonts w:eastAsia="Times New Roman" w:cs="Arial"/>
          <w:sz w:val="24"/>
          <w:szCs w:val="24"/>
          <w:lang w:val="en-GB"/>
        </w:rPr>
      </w:pPr>
      <w:r>
        <w:rPr>
          <w:rFonts w:eastAsia="Times New Roman" w:cs="Arial"/>
          <w:sz w:val="24"/>
          <w:szCs w:val="24"/>
          <w:lang w:val="en-GB"/>
        </w:rPr>
        <w:t xml:space="preserve">Figure 4 shows that although there are 2,611 settlements with no </w:t>
      </w:r>
      <w:r w:rsidR="00592449">
        <w:rPr>
          <w:rFonts w:eastAsia="Times New Roman" w:cs="Arial"/>
          <w:sz w:val="24"/>
          <w:szCs w:val="24"/>
          <w:lang w:val="en-GB"/>
        </w:rPr>
        <w:t>FTTx</w:t>
      </w:r>
      <w:r>
        <w:rPr>
          <w:rFonts w:eastAsia="Times New Roman" w:cs="Arial"/>
          <w:sz w:val="24"/>
          <w:szCs w:val="24"/>
          <w:lang w:val="en-GB"/>
        </w:rPr>
        <w:t xml:space="preserve"> coverage, this only represents 15.3% of all Georgian households.</w:t>
      </w:r>
    </w:p>
    <w:p w14:paraId="1096F9B8"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bookmarkStart w:id="66" w:name="_Toc141200244"/>
    </w:p>
    <w:p w14:paraId="2477D35D"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270C1162"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44C07C38"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11FEFF43"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3633E682" w14:textId="3A52B538"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67" w:name="_Toc152931355"/>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olor w:val="44546A" w:themeColor="text2"/>
          <w:sz w:val="20"/>
          <w:szCs w:val="20"/>
          <w:lang w:val="en-GB"/>
        </w:rPr>
        <w:t xml:space="preserve"> </w:t>
      </w:r>
      <w:r w:rsidRPr="00BC1ABD">
        <w:rPr>
          <w:rFonts w:asciiTheme="minorHAnsi" w:eastAsia="Times New Roman" w:hAnsiTheme="minorHAnsi"/>
          <w:i/>
          <w:iCs/>
          <w:color w:val="44546A" w:themeColor="text2"/>
          <w:sz w:val="20"/>
          <w:szCs w:val="20"/>
          <w:lang w:val="en-GB"/>
        </w:rPr>
        <w:t xml:space="preserve">Active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operators in settlements</w:t>
      </w:r>
      <w:bookmarkEnd w:id="66"/>
      <w:bookmarkEnd w:id="67"/>
    </w:p>
    <w:tbl>
      <w:tblPr>
        <w:tblW w:w="9066" w:type="dxa"/>
        <w:tblCellMar>
          <w:left w:w="70" w:type="dxa"/>
          <w:right w:w="70" w:type="dxa"/>
        </w:tblCellMar>
        <w:tblLook w:val="04A0" w:firstRow="1" w:lastRow="0" w:firstColumn="1" w:lastColumn="0" w:noHBand="0" w:noVBand="1"/>
      </w:tblPr>
      <w:tblGrid>
        <w:gridCol w:w="1774"/>
        <w:gridCol w:w="1228"/>
        <w:gridCol w:w="1441"/>
        <w:gridCol w:w="1584"/>
        <w:gridCol w:w="1441"/>
        <w:gridCol w:w="1598"/>
      </w:tblGrid>
      <w:tr w:rsidR="00CB4094" w:rsidRPr="00BC1ABD" w14:paraId="0405DDC9" w14:textId="77777777" w:rsidTr="00626AE7">
        <w:trPr>
          <w:trHeight w:val="600"/>
        </w:trPr>
        <w:tc>
          <w:tcPr>
            <w:tcW w:w="1838"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001EDC40"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No of operators</w:t>
            </w:r>
          </w:p>
        </w:tc>
        <w:tc>
          <w:tcPr>
            <w:tcW w:w="1074"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3AF4409E"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settlements </w:t>
            </w:r>
          </w:p>
        </w:tc>
        <w:tc>
          <w:tcPr>
            <w:tcW w:w="1458"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475FBE2C"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Households </w:t>
            </w:r>
          </w:p>
        </w:tc>
        <w:tc>
          <w:tcPr>
            <w:tcW w:w="1619"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3F0F7EDE"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 of total households </w:t>
            </w:r>
          </w:p>
        </w:tc>
        <w:tc>
          <w:tcPr>
            <w:tcW w:w="1458"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5082DF2B"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Population </w:t>
            </w:r>
          </w:p>
        </w:tc>
        <w:tc>
          <w:tcPr>
            <w:tcW w:w="1619"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47B84A44" w14:textId="61C541CB"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Subscri</w:t>
            </w:r>
            <w:r w:rsidR="00A44F66">
              <w:rPr>
                <w:rFonts w:eastAsia="Times New Roman" w:cs="Calibri"/>
                <w:b/>
                <w:bCs/>
                <w:color w:val="000000"/>
                <w:lang w:val="en-GB" w:eastAsia="sl-SI"/>
              </w:rPr>
              <w:t>p</w:t>
            </w:r>
            <w:r w:rsidRPr="00BC1ABD">
              <w:rPr>
                <w:rFonts w:eastAsia="Times New Roman" w:cs="Calibri"/>
                <w:b/>
                <w:bCs/>
                <w:color w:val="000000"/>
                <w:lang w:val="en-GB" w:eastAsia="sl-SI"/>
              </w:rPr>
              <w:t xml:space="preserve">tions </w:t>
            </w:r>
          </w:p>
        </w:tc>
      </w:tr>
      <w:tr w:rsidR="00CB4094" w:rsidRPr="00BC1ABD" w14:paraId="24683BBD" w14:textId="77777777" w:rsidTr="00626AE7">
        <w:trPr>
          <w:trHeight w:val="300"/>
        </w:trPr>
        <w:tc>
          <w:tcPr>
            <w:tcW w:w="1838" w:type="dxa"/>
            <w:tcBorders>
              <w:top w:val="nil"/>
              <w:left w:val="single" w:sz="4" w:space="0" w:color="auto"/>
              <w:bottom w:val="single" w:sz="4" w:space="0" w:color="auto"/>
              <w:right w:val="single" w:sz="4" w:space="0" w:color="auto"/>
            </w:tcBorders>
            <w:vAlign w:val="bottom"/>
            <w:hideMark/>
          </w:tcPr>
          <w:p w14:paraId="701A1BA4"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3</w:t>
            </w:r>
          </w:p>
        </w:tc>
        <w:tc>
          <w:tcPr>
            <w:tcW w:w="1074" w:type="dxa"/>
            <w:tcBorders>
              <w:top w:val="nil"/>
              <w:left w:val="nil"/>
              <w:bottom w:val="single" w:sz="4" w:space="0" w:color="auto"/>
              <w:right w:val="single" w:sz="4" w:space="0" w:color="auto"/>
            </w:tcBorders>
            <w:vAlign w:val="center"/>
            <w:hideMark/>
          </w:tcPr>
          <w:p w14:paraId="34A3688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45</w:t>
            </w:r>
          </w:p>
        </w:tc>
        <w:tc>
          <w:tcPr>
            <w:tcW w:w="1458" w:type="dxa"/>
            <w:tcBorders>
              <w:top w:val="nil"/>
              <w:left w:val="nil"/>
              <w:bottom w:val="single" w:sz="4" w:space="0" w:color="auto"/>
              <w:right w:val="single" w:sz="4" w:space="0" w:color="auto"/>
            </w:tcBorders>
            <w:vAlign w:val="center"/>
            <w:hideMark/>
          </w:tcPr>
          <w:p w14:paraId="7BEEBA5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749,153</w:t>
            </w:r>
          </w:p>
        </w:tc>
        <w:tc>
          <w:tcPr>
            <w:tcW w:w="1619" w:type="dxa"/>
            <w:tcBorders>
              <w:top w:val="nil"/>
              <w:left w:val="nil"/>
              <w:bottom w:val="single" w:sz="4" w:space="0" w:color="auto"/>
              <w:right w:val="single" w:sz="4" w:space="0" w:color="auto"/>
            </w:tcBorders>
            <w:vAlign w:val="center"/>
            <w:hideMark/>
          </w:tcPr>
          <w:p w14:paraId="10709D7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59.8</w:t>
            </w:r>
          </w:p>
        </w:tc>
        <w:tc>
          <w:tcPr>
            <w:tcW w:w="1458" w:type="dxa"/>
            <w:tcBorders>
              <w:top w:val="nil"/>
              <w:left w:val="nil"/>
              <w:bottom w:val="single" w:sz="4" w:space="0" w:color="auto"/>
              <w:right w:val="single" w:sz="4" w:space="0" w:color="auto"/>
            </w:tcBorders>
            <w:vAlign w:val="center"/>
            <w:hideMark/>
          </w:tcPr>
          <w:p w14:paraId="4B56894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1,987,448</w:t>
            </w:r>
          </w:p>
        </w:tc>
        <w:tc>
          <w:tcPr>
            <w:tcW w:w="1619" w:type="dxa"/>
            <w:tcBorders>
              <w:top w:val="nil"/>
              <w:left w:val="nil"/>
              <w:bottom w:val="single" w:sz="4" w:space="0" w:color="auto"/>
              <w:right w:val="single" w:sz="4" w:space="0" w:color="auto"/>
            </w:tcBorders>
            <w:vAlign w:val="center"/>
            <w:hideMark/>
          </w:tcPr>
          <w:p w14:paraId="51DCF32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711,802</w:t>
            </w:r>
          </w:p>
        </w:tc>
      </w:tr>
      <w:tr w:rsidR="00CB4094" w:rsidRPr="00BC1ABD" w14:paraId="69B8004F" w14:textId="77777777" w:rsidTr="00626AE7">
        <w:trPr>
          <w:trHeight w:val="300"/>
        </w:trPr>
        <w:tc>
          <w:tcPr>
            <w:tcW w:w="1838" w:type="dxa"/>
            <w:tcBorders>
              <w:top w:val="nil"/>
              <w:left w:val="single" w:sz="4" w:space="0" w:color="auto"/>
              <w:bottom w:val="single" w:sz="4" w:space="0" w:color="auto"/>
              <w:right w:val="single" w:sz="4" w:space="0" w:color="auto"/>
            </w:tcBorders>
            <w:vAlign w:val="bottom"/>
            <w:hideMark/>
          </w:tcPr>
          <w:p w14:paraId="4DC89A13"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2</w:t>
            </w:r>
          </w:p>
        </w:tc>
        <w:tc>
          <w:tcPr>
            <w:tcW w:w="1074" w:type="dxa"/>
            <w:tcBorders>
              <w:top w:val="nil"/>
              <w:left w:val="nil"/>
              <w:bottom w:val="single" w:sz="4" w:space="0" w:color="auto"/>
              <w:right w:val="single" w:sz="4" w:space="0" w:color="auto"/>
            </w:tcBorders>
            <w:vAlign w:val="center"/>
            <w:hideMark/>
          </w:tcPr>
          <w:p w14:paraId="23CBB1A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182</w:t>
            </w:r>
          </w:p>
        </w:tc>
        <w:tc>
          <w:tcPr>
            <w:tcW w:w="1458" w:type="dxa"/>
            <w:tcBorders>
              <w:top w:val="nil"/>
              <w:left w:val="nil"/>
              <w:bottom w:val="single" w:sz="4" w:space="0" w:color="auto"/>
              <w:right w:val="single" w:sz="4" w:space="0" w:color="auto"/>
            </w:tcBorders>
            <w:vAlign w:val="center"/>
            <w:hideMark/>
          </w:tcPr>
          <w:p w14:paraId="586A487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110,539</w:t>
            </w:r>
          </w:p>
        </w:tc>
        <w:tc>
          <w:tcPr>
            <w:tcW w:w="1619" w:type="dxa"/>
            <w:tcBorders>
              <w:top w:val="nil"/>
              <w:left w:val="nil"/>
              <w:bottom w:val="single" w:sz="4" w:space="0" w:color="auto"/>
              <w:right w:val="single" w:sz="4" w:space="0" w:color="auto"/>
            </w:tcBorders>
            <w:vAlign w:val="center"/>
            <w:hideMark/>
          </w:tcPr>
          <w:p w14:paraId="006A514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8.8</w:t>
            </w:r>
          </w:p>
        </w:tc>
        <w:tc>
          <w:tcPr>
            <w:tcW w:w="1458" w:type="dxa"/>
            <w:tcBorders>
              <w:top w:val="nil"/>
              <w:left w:val="nil"/>
              <w:bottom w:val="single" w:sz="4" w:space="0" w:color="auto"/>
              <w:right w:val="single" w:sz="4" w:space="0" w:color="auto"/>
            </w:tcBorders>
            <w:vAlign w:val="center"/>
            <w:hideMark/>
          </w:tcPr>
          <w:p w14:paraId="09BBC63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360,059</w:t>
            </w:r>
          </w:p>
        </w:tc>
        <w:tc>
          <w:tcPr>
            <w:tcW w:w="1619" w:type="dxa"/>
            <w:tcBorders>
              <w:top w:val="nil"/>
              <w:left w:val="nil"/>
              <w:bottom w:val="single" w:sz="4" w:space="0" w:color="auto"/>
              <w:right w:val="single" w:sz="4" w:space="0" w:color="auto"/>
            </w:tcBorders>
            <w:vAlign w:val="center"/>
            <w:hideMark/>
          </w:tcPr>
          <w:p w14:paraId="03AEF34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70,030</w:t>
            </w:r>
          </w:p>
        </w:tc>
      </w:tr>
      <w:tr w:rsidR="00CB4094" w:rsidRPr="00BC1ABD" w14:paraId="707643AD" w14:textId="77777777" w:rsidTr="00626AE7">
        <w:trPr>
          <w:trHeight w:val="300"/>
        </w:trPr>
        <w:tc>
          <w:tcPr>
            <w:tcW w:w="1838" w:type="dxa"/>
            <w:tcBorders>
              <w:top w:val="nil"/>
              <w:left w:val="single" w:sz="4" w:space="0" w:color="auto"/>
              <w:bottom w:val="single" w:sz="4" w:space="0" w:color="auto"/>
              <w:right w:val="single" w:sz="4" w:space="0" w:color="auto"/>
            </w:tcBorders>
            <w:vAlign w:val="bottom"/>
            <w:hideMark/>
          </w:tcPr>
          <w:p w14:paraId="52F0D584"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1</w:t>
            </w:r>
          </w:p>
        </w:tc>
        <w:tc>
          <w:tcPr>
            <w:tcW w:w="1074" w:type="dxa"/>
            <w:tcBorders>
              <w:top w:val="nil"/>
              <w:left w:val="nil"/>
              <w:bottom w:val="single" w:sz="4" w:space="0" w:color="auto"/>
              <w:right w:val="single" w:sz="4" w:space="0" w:color="auto"/>
            </w:tcBorders>
            <w:vAlign w:val="center"/>
            <w:hideMark/>
          </w:tcPr>
          <w:p w14:paraId="7C3C000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767</w:t>
            </w:r>
          </w:p>
        </w:tc>
        <w:tc>
          <w:tcPr>
            <w:tcW w:w="1458" w:type="dxa"/>
            <w:tcBorders>
              <w:top w:val="nil"/>
              <w:left w:val="nil"/>
              <w:bottom w:val="single" w:sz="4" w:space="0" w:color="auto"/>
              <w:right w:val="single" w:sz="4" w:space="0" w:color="auto"/>
            </w:tcBorders>
            <w:vAlign w:val="center"/>
            <w:hideMark/>
          </w:tcPr>
          <w:p w14:paraId="24D99C3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200,842</w:t>
            </w:r>
          </w:p>
        </w:tc>
        <w:tc>
          <w:tcPr>
            <w:tcW w:w="1619" w:type="dxa"/>
            <w:tcBorders>
              <w:top w:val="nil"/>
              <w:left w:val="nil"/>
              <w:bottom w:val="single" w:sz="4" w:space="0" w:color="auto"/>
              <w:right w:val="single" w:sz="4" w:space="0" w:color="auto"/>
            </w:tcBorders>
            <w:vAlign w:val="center"/>
            <w:hideMark/>
          </w:tcPr>
          <w:p w14:paraId="4B4A4F6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16.0</w:t>
            </w:r>
          </w:p>
        </w:tc>
        <w:tc>
          <w:tcPr>
            <w:tcW w:w="1458" w:type="dxa"/>
            <w:tcBorders>
              <w:top w:val="nil"/>
              <w:left w:val="nil"/>
              <w:bottom w:val="single" w:sz="4" w:space="0" w:color="auto"/>
              <w:right w:val="single" w:sz="4" w:space="0" w:color="auto"/>
            </w:tcBorders>
            <w:vAlign w:val="center"/>
            <w:hideMark/>
          </w:tcPr>
          <w:p w14:paraId="7CD429E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696,003</w:t>
            </w:r>
          </w:p>
        </w:tc>
        <w:tc>
          <w:tcPr>
            <w:tcW w:w="1619" w:type="dxa"/>
            <w:tcBorders>
              <w:top w:val="nil"/>
              <w:left w:val="nil"/>
              <w:bottom w:val="single" w:sz="4" w:space="0" w:color="auto"/>
              <w:right w:val="single" w:sz="4" w:space="0" w:color="auto"/>
            </w:tcBorders>
            <w:vAlign w:val="center"/>
            <w:hideMark/>
          </w:tcPr>
          <w:p w14:paraId="72598CA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109,535</w:t>
            </w:r>
          </w:p>
        </w:tc>
      </w:tr>
      <w:tr w:rsidR="00CB4094" w:rsidRPr="00BC1ABD" w14:paraId="31B65669" w14:textId="77777777" w:rsidTr="00626AE7">
        <w:trPr>
          <w:trHeight w:val="300"/>
        </w:trPr>
        <w:tc>
          <w:tcPr>
            <w:tcW w:w="1838" w:type="dxa"/>
            <w:tcBorders>
              <w:top w:val="nil"/>
              <w:left w:val="single" w:sz="4" w:space="0" w:color="auto"/>
              <w:bottom w:val="single" w:sz="4" w:space="0" w:color="auto"/>
              <w:right w:val="single" w:sz="4" w:space="0" w:color="auto"/>
            </w:tcBorders>
            <w:vAlign w:val="bottom"/>
            <w:hideMark/>
          </w:tcPr>
          <w:p w14:paraId="040F2FAC"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0</w:t>
            </w:r>
          </w:p>
        </w:tc>
        <w:tc>
          <w:tcPr>
            <w:tcW w:w="1074" w:type="dxa"/>
            <w:tcBorders>
              <w:top w:val="nil"/>
              <w:left w:val="nil"/>
              <w:bottom w:val="single" w:sz="4" w:space="0" w:color="auto"/>
              <w:right w:val="single" w:sz="4" w:space="0" w:color="auto"/>
            </w:tcBorders>
            <w:vAlign w:val="center"/>
            <w:hideMark/>
          </w:tcPr>
          <w:p w14:paraId="55A49BA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2,611</w:t>
            </w:r>
          </w:p>
        </w:tc>
        <w:tc>
          <w:tcPr>
            <w:tcW w:w="1458" w:type="dxa"/>
            <w:tcBorders>
              <w:top w:val="nil"/>
              <w:left w:val="nil"/>
              <w:bottom w:val="single" w:sz="4" w:space="0" w:color="auto"/>
              <w:right w:val="single" w:sz="4" w:space="0" w:color="auto"/>
            </w:tcBorders>
            <w:vAlign w:val="center"/>
            <w:hideMark/>
          </w:tcPr>
          <w:p w14:paraId="26F3F1B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191,442</w:t>
            </w:r>
          </w:p>
        </w:tc>
        <w:tc>
          <w:tcPr>
            <w:tcW w:w="1619" w:type="dxa"/>
            <w:tcBorders>
              <w:top w:val="nil"/>
              <w:left w:val="nil"/>
              <w:bottom w:val="single" w:sz="4" w:space="0" w:color="auto"/>
              <w:right w:val="single" w:sz="4" w:space="0" w:color="auto"/>
            </w:tcBorders>
            <w:vAlign w:val="center"/>
            <w:hideMark/>
          </w:tcPr>
          <w:p w14:paraId="778BEA9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15.3</w:t>
            </w:r>
          </w:p>
        </w:tc>
        <w:tc>
          <w:tcPr>
            <w:tcW w:w="1458" w:type="dxa"/>
            <w:tcBorders>
              <w:top w:val="nil"/>
              <w:left w:val="nil"/>
              <w:bottom w:val="single" w:sz="4" w:space="0" w:color="auto"/>
              <w:right w:val="single" w:sz="4" w:space="0" w:color="auto"/>
            </w:tcBorders>
            <w:vAlign w:val="center"/>
            <w:hideMark/>
          </w:tcPr>
          <w:p w14:paraId="4DB39426"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636,235</w:t>
            </w:r>
          </w:p>
        </w:tc>
        <w:tc>
          <w:tcPr>
            <w:tcW w:w="1619" w:type="dxa"/>
            <w:tcBorders>
              <w:top w:val="nil"/>
              <w:left w:val="nil"/>
              <w:bottom w:val="single" w:sz="4" w:space="0" w:color="auto"/>
              <w:right w:val="single" w:sz="4" w:space="0" w:color="auto"/>
            </w:tcBorders>
            <w:vAlign w:val="center"/>
            <w:hideMark/>
          </w:tcPr>
          <w:p w14:paraId="7D4741D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r>
      <w:tr w:rsidR="00CB4094" w:rsidRPr="00BC1ABD" w14:paraId="58341BDD" w14:textId="77777777" w:rsidTr="00626AE7">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3B1DCAB1"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TOTAL</w:t>
            </w:r>
          </w:p>
        </w:tc>
        <w:tc>
          <w:tcPr>
            <w:tcW w:w="107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0F5CC42"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3,605</w:t>
            </w:r>
          </w:p>
        </w:tc>
        <w:tc>
          <w:tcPr>
            <w:tcW w:w="145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0A9BF4A"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1,251,975</w:t>
            </w:r>
          </w:p>
        </w:tc>
        <w:tc>
          <w:tcPr>
            <w:tcW w:w="161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B1C6661"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100.0</w:t>
            </w:r>
          </w:p>
        </w:tc>
        <w:tc>
          <w:tcPr>
            <w:tcW w:w="145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B907D37"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3,679,745</w:t>
            </w:r>
          </w:p>
        </w:tc>
        <w:tc>
          <w:tcPr>
            <w:tcW w:w="161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12088FE"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891,367</w:t>
            </w:r>
          </w:p>
        </w:tc>
      </w:tr>
      <w:tr w:rsidR="00CB4094" w:rsidRPr="00BC1ABD" w14:paraId="6BDACD24" w14:textId="77777777" w:rsidTr="00626AE7">
        <w:trPr>
          <w:trHeight w:val="90"/>
        </w:trPr>
        <w:tc>
          <w:tcPr>
            <w:tcW w:w="1838" w:type="dxa"/>
            <w:tcBorders>
              <w:top w:val="nil"/>
              <w:left w:val="nil"/>
              <w:bottom w:val="nil"/>
              <w:right w:val="nil"/>
            </w:tcBorders>
            <w:vAlign w:val="bottom"/>
            <w:hideMark/>
          </w:tcPr>
          <w:p w14:paraId="621DD1D7"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p>
        </w:tc>
        <w:tc>
          <w:tcPr>
            <w:tcW w:w="1074" w:type="dxa"/>
            <w:tcBorders>
              <w:top w:val="nil"/>
              <w:left w:val="nil"/>
              <w:bottom w:val="nil"/>
              <w:right w:val="nil"/>
            </w:tcBorders>
            <w:vAlign w:val="center"/>
            <w:hideMark/>
          </w:tcPr>
          <w:p w14:paraId="2D080145" w14:textId="77777777" w:rsidR="00CB4094" w:rsidRPr="00BC1ABD" w:rsidRDefault="00CB4094" w:rsidP="00CB4094">
            <w:pPr>
              <w:spacing w:after="0" w:line="240" w:lineRule="auto"/>
              <w:jc w:val="center"/>
              <w:rPr>
                <w:rFonts w:ascii="Times New Roman" w:eastAsia="Times New Roman" w:hAnsi="Times New Roman"/>
                <w:sz w:val="20"/>
                <w:szCs w:val="20"/>
                <w:lang w:val="en-GB" w:eastAsia="sl-SI"/>
              </w:rPr>
            </w:pPr>
          </w:p>
        </w:tc>
        <w:tc>
          <w:tcPr>
            <w:tcW w:w="1458" w:type="dxa"/>
            <w:tcBorders>
              <w:top w:val="nil"/>
              <w:left w:val="nil"/>
              <w:bottom w:val="nil"/>
              <w:right w:val="nil"/>
            </w:tcBorders>
            <w:vAlign w:val="center"/>
            <w:hideMark/>
          </w:tcPr>
          <w:p w14:paraId="27257794"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619" w:type="dxa"/>
            <w:tcBorders>
              <w:top w:val="nil"/>
              <w:left w:val="nil"/>
              <w:bottom w:val="nil"/>
              <w:right w:val="nil"/>
            </w:tcBorders>
            <w:vAlign w:val="center"/>
            <w:hideMark/>
          </w:tcPr>
          <w:p w14:paraId="6369357E"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458" w:type="dxa"/>
            <w:tcBorders>
              <w:top w:val="nil"/>
              <w:left w:val="nil"/>
              <w:bottom w:val="nil"/>
              <w:right w:val="nil"/>
            </w:tcBorders>
            <w:vAlign w:val="center"/>
            <w:hideMark/>
          </w:tcPr>
          <w:p w14:paraId="5635FC9D"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619" w:type="dxa"/>
            <w:tcBorders>
              <w:top w:val="nil"/>
              <w:left w:val="nil"/>
              <w:bottom w:val="nil"/>
              <w:right w:val="nil"/>
            </w:tcBorders>
            <w:vAlign w:val="center"/>
            <w:hideMark/>
          </w:tcPr>
          <w:p w14:paraId="7028E4B4"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r>
      <w:tr w:rsidR="00CB4094" w:rsidRPr="00BC1ABD" w14:paraId="5D71E865" w14:textId="77777777" w:rsidTr="00626AE7">
        <w:trPr>
          <w:trHeight w:val="300"/>
        </w:trPr>
        <w:tc>
          <w:tcPr>
            <w:tcW w:w="1838" w:type="dxa"/>
            <w:tcBorders>
              <w:top w:val="single" w:sz="4" w:space="0" w:color="auto"/>
              <w:left w:val="single" w:sz="4" w:space="0" w:color="auto"/>
              <w:bottom w:val="single" w:sz="4" w:space="0" w:color="auto"/>
              <w:right w:val="single" w:sz="4" w:space="0" w:color="auto"/>
            </w:tcBorders>
            <w:vAlign w:val="bottom"/>
            <w:hideMark/>
          </w:tcPr>
          <w:p w14:paraId="43FCD2BE" w14:textId="724E67BE"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Tbilisi (3</w:t>
            </w:r>
            <w:r w:rsidR="007E65BE">
              <w:rPr>
                <w:rFonts w:eastAsia="Times New Roman" w:cs="Calibri"/>
                <w:b/>
                <w:bCs/>
                <w:color w:val="000000"/>
                <w:lang w:val="en-GB" w:eastAsia="sl-SI"/>
              </w:rPr>
              <w:t xml:space="preserve"> or more</w:t>
            </w:r>
            <w:r w:rsidRPr="00BC1ABD">
              <w:rPr>
                <w:rFonts w:eastAsia="Times New Roman" w:cs="Calibri"/>
                <w:b/>
                <w:bCs/>
                <w:color w:val="000000"/>
                <w:lang w:val="en-GB" w:eastAsia="sl-SI"/>
              </w:rPr>
              <w:t>)</w:t>
            </w:r>
          </w:p>
        </w:tc>
        <w:tc>
          <w:tcPr>
            <w:tcW w:w="1074" w:type="dxa"/>
            <w:tcBorders>
              <w:top w:val="single" w:sz="4" w:space="0" w:color="auto"/>
              <w:left w:val="nil"/>
              <w:bottom w:val="single" w:sz="4" w:space="0" w:color="auto"/>
              <w:right w:val="single" w:sz="4" w:space="0" w:color="auto"/>
            </w:tcBorders>
            <w:vAlign w:val="center"/>
            <w:hideMark/>
          </w:tcPr>
          <w:p w14:paraId="552D95D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w:t>
            </w:r>
          </w:p>
        </w:tc>
        <w:tc>
          <w:tcPr>
            <w:tcW w:w="1458" w:type="dxa"/>
            <w:tcBorders>
              <w:top w:val="single" w:sz="4" w:space="0" w:color="auto"/>
              <w:left w:val="nil"/>
              <w:bottom w:val="single" w:sz="4" w:space="0" w:color="auto"/>
              <w:right w:val="single" w:sz="4" w:space="0" w:color="auto"/>
            </w:tcBorders>
            <w:vAlign w:val="center"/>
            <w:hideMark/>
          </w:tcPr>
          <w:p w14:paraId="50D9681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464,688</w:t>
            </w:r>
          </w:p>
        </w:tc>
        <w:tc>
          <w:tcPr>
            <w:tcW w:w="1619" w:type="dxa"/>
            <w:tcBorders>
              <w:top w:val="single" w:sz="4" w:space="0" w:color="auto"/>
              <w:left w:val="nil"/>
              <w:bottom w:val="single" w:sz="4" w:space="0" w:color="auto"/>
              <w:right w:val="single" w:sz="4" w:space="0" w:color="auto"/>
            </w:tcBorders>
            <w:vAlign w:val="center"/>
            <w:hideMark/>
          </w:tcPr>
          <w:p w14:paraId="3F7BFDA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37.1</w:t>
            </w:r>
          </w:p>
        </w:tc>
        <w:tc>
          <w:tcPr>
            <w:tcW w:w="1458" w:type="dxa"/>
            <w:tcBorders>
              <w:top w:val="single" w:sz="4" w:space="0" w:color="auto"/>
              <w:left w:val="nil"/>
              <w:bottom w:val="single" w:sz="4" w:space="0" w:color="auto"/>
              <w:right w:val="single" w:sz="4" w:space="0" w:color="auto"/>
            </w:tcBorders>
            <w:vAlign w:val="center"/>
            <w:hideMark/>
          </w:tcPr>
          <w:p w14:paraId="12BF80D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1,108,717</w:t>
            </w:r>
          </w:p>
        </w:tc>
        <w:tc>
          <w:tcPr>
            <w:tcW w:w="1619" w:type="dxa"/>
            <w:tcBorders>
              <w:top w:val="single" w:sz="4" w:space="0" w:color="auto"/>
              <w:left w:val="nil"/>
              <w:bottom w:val="single" w:sz="4" w:space="0" w:color="auto"/>
              <w:right w:val="single" w:sz="4" w:space="0" w:color="auto"/>
            </w:tcBorders>
            <w:vAlign w:val="center"/>
            <w:hideMark/>
          </w:tcPr>
          <w:p w14:paraId="57BF357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414,183</w:t>
            </w:r>
          </w:p>
        </w:tc>
      </w:tr>
      <w:tr w:rsidR="00CB4094" w:rsidRPr="00BC1ABD" w14:paraId="283B1739" w14:textId="77777777" w:rsidTr="00626AE7">
        <w:trPr>
          <w:trHeight w:val="300"/>
        </w:trPr>
        <w:tc>
          <w:tcPr>
            <w:tcW w:w="1838" w:type="dxa"/>
            <w:tcBorders>
              <w:top w:val="single" w:sz="4" w:space="0" w:color="auto"/>
              <w:left w:val="single" w:sz="4" w:space="0" w:color="auto"/>
              <w:bottom w:val="single" w:sz="4" w:space="0" w:color="auto"/>
              <w:right w:val="single" w:sz="4" w:space="0" w:color="auto"/>
            </w:tcBorders>
            <w:vAlign w:val="bottom"/>
          </w:tcPr>
          <w:p w14:paraId="75ED5B4E" w14:textId="445B9C22"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rPr>
              <w:t>Other (3</w:t>
            </w:r>
            <w:r w:rsidR="007E65BE">
              <w:rPr>
                <w:rFonts w:eastAsia="Times New Roman" w:cs="Calibri"/>
                <w:b/>
                <w:bCs/>
                <w:color w:val="000000"/>
                <w:lang w:val="en-GB"/>
              </w:rPr>
              <w:t xml:space="preserve"> or more</w:t>
            </w:r>
            <w:r w:rsidRPr="00BC1ABD">
              <w:rPr>
                <w:rFonts w:eastAsia="Times New Roman" w:cs="Calibri"/>
                <w:b/>
                <w:bCs/>
                <w:color w:val="000000"/>
                <w:lang w:val="en-GB"/>
              </w:rPr>
              <w:t>)</w:t>
            </w:r>
          </w:p>
        </w:tc>
        <w:tc>
          <w:tcPr>
            <w:tcW w:w="1074" w:type="dxa"/>
            <w:tcBorders>
              <w:top w:val="single" w:sz="4" w:space="0" w:color="auto"/>
              <w:left w:val="nil"/>
              <w:bottom w:val="single" w:sz="4" w:space="0" w:color="auto"/>
              <w:right w:val="single" w:sz="4" w:space="0" w:color="auto"/>
            </w:tcBorders>
            <w:vAlign w:val="center"/>
          </w:tcPr>
          <w:p w14:paraId="2DD4BFC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44</w:t>
            </w:r>
          </w:p>
        </w:tc>
        <w:tc>
          <w:tcPr>
            <w:tcW w:w="1458" w:type="dxa"/>
            <w:tcBorders>
              <w:top w:val="single" w:sz="4" w:space="0" w:color="auto"/>
              <w:left w:val="nil"/>
              <w:bottom w:val="single" w:sz="4" w:space="0" w:color="auto"/>
              <w:right w:val="single" w:sz="4" w:space="0" w:color="auto"/>
            </w:tcBorders>
            <w:vAlign w:val="center"/>
          </w:tcPr>
          <w:p w14:paraId="55CD829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284,465</w:t>
            </w:r>
          </w:p>
        </w:tc>
        <w:tc>
          <w:tcPr>
            <w:tcW w:w="1619" w:type="dxa"/>
            <w:tcBorders>
              <w:top w:val="single" w:sz="4" w:space="0" w:color="auto"/>
              <w:left w:val="nil"/>
              <w:bottom w:val="single" w:sz="4" w:space="0" w:color="auto"/>
              <w:right w:val="single" w:sz="4" w:space="0" w:color="auto"/>
            </w:tcBorders>
            <w:vAlign w:val="center"/>
          </w:tcPr>
          <w:p w14:paraId="4816CFA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22.7</w:t>
            </w:r>
          </w:p>
        </w:tc>
        <w:tc>
          <w:tcPr>
            <w:tcW w:w="1458" w:type="dxa"/>
            <w:tcBorders>
              <w:top w:val="single" w:sz="4" w:space="0" w:color="auto"/>
              <w:left w:val="nil"/>
              <w:bottom w:val="single" w:sz="4" w:space="0" w:color="auto"/>
              <w:right w:val="single" w:sz="4" w:space="0" w:color="auto"/>
            </w:tcBorders>
            <w:vAlign w:val="center"/>
          </w:tcPr>
          <w:p w14:paraId="2E288DB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878,731</w:t>
            </w:r>
          </w:p>
        </w:tc>
        <w:tc>
          <w:tcPr>
            <w:tcW w:w="1619" w:type="dxa"/>
            <w:tcBorders>
              <w:top w:val="single" w:sz="4" w:space="0" w:color="auto"/>
              <w:left w:val="nil"/>
              <w:bottom w:val="single" w:sz="4" w:space="0" w:color="auto"/>
              <w:right w:val="single" w:sz="4" w:space="0" w:color="auto"/>
            </w:tcBorders>
            <w:vAlign w:val="center"/>
          </w:tcPr>
          <w:p w14:paraId="64D05AD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297,619</w:t>
            </w:r>
          </w:p>
        </w:tc>
      </w:tr>
    </w:tbl>
    <w:p w14:paraId="7DF6A2FF" w14:textId="77777777" w:rsidR="00CB4094" w:rsidRPr="00BC1ABD" w:rsidRDefault="00CB4094" w:rsidP="00CB4094">
      <w:pPr>
        <w:rPr>
          <w:rFonts w:eastAsia="Times New Roman"/>
          <w:sz w:val="2"/>
          <w:szCs w:val="2"/>
          <w:lang w:val="en-GB"/>
        </w:rPr>
      </w:pPr>
    </w:p>
    <w:p w14:paraId="79D800CD" w14:textId="77777777" w:rsidR="00CB4094"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6EA3B587" w14:textId="36762CFE"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68" w:name="_Toc141200245"/>
      <w:bookmarkStart w:id="69" w:name="_Toc152931356"/>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5</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olor w:val="44546A" w:themeColor="text2"/>
          <w:sz w:val="20"/>
          <w:szCs w:val="20"/>
          <w:lang w:val="en-GB"/>
        </w:rPr>
        <w:t xml:space="preserve"> </w:t>
      </w:r>
      <w:r w:rsidRPr="00BC1ABD">
        <w:rPr>
          <w:rFonts w:asciiTheme="minorHAnsi" w:eastAsia="Times New Roman" w:hAnsiTheme="minorHAnsi"/>
          <w:i/>
          <w:iCs/>
          <w:color w:val="44546A" w:themeColor="text2"/>
          <w:sz w:val="20"/>
          <w:szCs w:val="20"/>
          <w:lang w:val="en-GB"/>
        </w:rPr>
        <w:t xml:space="preserve">Active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operators in settlements</w:t>
      </w:r>
      <w:bookmarkEnd w:id="68"/>
      <w:bookmarkEnd w:id="69"/>
    </w:p>
    <w:p w14:paraId="1977DC07" w14:textId="5827520B" w:rsidR="00CB4094" w:rsidRPr="00BC1ABD" w:rsidRDefault="00CB4094" w:rsidP="00E82B0B">
      <w:pPr>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12170147" wp14:editId="208B7331">
            <wp:extent cx="3689017" cy="2433320"/>
            <wp:effectExtent l="0" t="0" r="6985" b="5080"/>
            <wp:docPr id="1419301066" name="Slika 4" descr="Slika na kojoj se prikazuje tekst, snimka zaslona, broj, radnj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01066" name="Slika 4" descr="Slika na kojoj se prikazuje tekst, snimka zaslona, broj, radnja&#10;&#10;Opis je automatski generir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15137" cy="2450549"/>
                    </a:xfrm>
                    <a:prstGeom prst="rect">
                      <a:avLst/>
                    </a:prstGeom>
                    <a:noFill/>
                    <a:ln>
                      <a:noFill/>
                    </a:ln>
                  </pic:spPr>
                </pic:pic>
              </a:graphicData>
            </a:graphic>
          </wp:inline>
        </w:drawing>
      </w:r>
    </w:p>
    <w:p w14:paraId="2640C63F"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1E02203A" w14:textId="49B44A10"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The percentage of households in settlements with three or more fibre networks is 59.8%. This result is most influenced by Tbilisi which has a significant proportion of total households in Georgia.</w:t>
      </w:r>
    </w:p>
    <w:p w14:paraId="529B1388" w14:textId="77777777" w:rsidR="00CB4094" w:rsidRPr="008B28CB" w:rsidRDefault="00CB4094" w:rsidP="008B28CB">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70" w:name="_Toc169258910"/>
      <w:r w:rsidRPr="008B28CB">
        <w:rPr>
          <w:rFonts w:asciiTheme="minorHAnsi" w:hAnsiTheme="minorHAnsi" w:cstheme="minorHAnsi"/>
          <w:b w:val="0"/>
          <w:bCs w:val="0"/>
          <w:sz w:val="24"/>
          <w:szCs w:val="24"/>
          <w:lang w:val="en-GB"/>
        </w:rPr>
        <w:t>Overlap of technologies</w:t>
      </w:r>
      <w:bookmarkEnd w:id="70"/>
      <w:r w:rsidRPr="008B28CB">
        <w:rPr>
          <w:rFonts w:asciiTheme="minorHAnsi" w:hAnsiTheme="minorHAnsi" w:cstheme="minorHAnsi"/>
          <w:b w:val="0"/>
          <w:bCs w:val="0"/>
          <w:sz w:val="24"/>
          <w:szCs w:val="24"/>
          <w:lang w:val="en-GB"/>
        </w:rPr>
        <w:t xml:space="preserve"> </w:t>
      </w:r>
    </w:p>
    <w:p w14:paraId="224926AB"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This part of the analysis of coverage considers which kind of technologies are used to provide end users with fixed broadband access. Fibre coverage is relatively high in Georgia compared with many EU countries and in addition there are also alternative technologies offering fixed broadband access in Georgia (FWA and xDSL).</w:t>
      </w:r>
    </w:p>
    <w:p w14:paraId="1E0209FC"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bookmarkStart w:id="71" w:name="_Toc141200246"/>
    </w:p>
    <w:p w14:paraId="5805E1EA"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363446C0"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751B7967"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6B5D34ED" w14:textId="183CF1F8"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72" w:name="_Toc15293135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6</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olor w:val="44546A" w:themeColor="text2"/>
          <w:sz w:val="20"/>
          <w:szCs w:val="20"/>
          <w:lang w:val="en-GB"/>
        </w:rPr>
        <w:t xml:space="preserve"> </w:t>
      </w:r>
      <w:r w:rsidRPr="00BC1ABD">
        <w:rPr>
          <w:rFonts w:asciiTheme="minorHAnsi" w:eastAsia="Times New Roman" w:hAnsiTheme="minorHAnsi"/>
          <w:i/>
          <w:iCs/>
          <w:color w:val="44546A" w:themeColor="text2"/>
          <w:sz w:val="20"/>
          <w:szCs w:val="20"/>
          <w:lang w:val="en-GB"/>
        </w:rPr>
        <w:t xml:space="preserve">Overlap of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networks with other technologies (FWA, copper)</w:t>
      </w:r>
      <w:bookmarkEnd w:id="71"/>
      <w:bookmarkEnd w:id="72"/>
    </w:p>
    <w:tbl>
      <w:tblPr>
        <w:tblW w:w="9208" w:type="dxa"/>
        <w:tblCellMar>
          <w:left w:w="70" w:type="dxa"/>
          <w:right w:w="70" w:type="dxa"/>
        </w:tblCellMar>
        <w:tblLook w:val="04A0" w:firstRow="1" w:lastRow="0" w:firstColumn="1" w:lastColumn="0" w:noHBand="0" w:noVBand="1"/>
      </w:tblPr>
      <w:tblGrid>
        <w:gridCol w:w="2042"/>
        <w:gridCol w:w="1385"/>
        <w:gridCol w:w="1420"/>
        <w:gridCol w:w="1383"/>
        <w:gridCol w:w="1438"/>
        <w:gridCol w:w="1540"/>
      </w:tblGrid>
      <w:tr w:rsidR="00CB4094" w:rsidRPr="00BC1ABD" w14:paraId="5FDF437C" w14:textId="77777777" w:rsidTr="00E95C58">
        <w:trPr>
          <w:trHeight w:val="6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71C45AE3"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14DF9ACC"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settlements </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61423FFA"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Households </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459D38AE"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 of total households </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3B944367"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Population </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41EA983D" w14:textId="64347CF8"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Subscri</w:t>
            </w:r>
            <w:r w:rsidR="00A44F66">
              <w:rPr>
                <w:rFonts w:eastAsia="Times New Roman" w:cs="Calibri"/>
                <w:b/>
                <w:bCs/>
                <w:color w:val="000000"/>
                <w:lang w:val="en-GB" w:eastAsia="sl-SI"/>
              </w:rPr>
              <w:t>p</w:t>
            </w:r>
            <w:r w:rsidRPr="00BC1ABD">
              <w:rPr>
                <w:rFonts w:eastAsia="Times New Roman" w:cs="Calibri"/>
                <w:b/>
                <w:bCs/>
                <w:color w:val="000000"/>
                <w:lang w:val="en-GB" w:eastAsia="sl-SI"/>
              </w:rPr>
              <w:t xml:space="preserve">tions </w:t>
            </w:r>
          </w:p>
        </w:tc>
      </w:tr>
      <w:tr w:rsidR="00CB4094" w:rsidRPr="00BC1ABD" w14:paraId="4E359B74"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132CD865" w14:textId="12548462" w:rsidR="00CB4094" w:rsidRPr="00BC1ABD" w:rsidRDefault="00592449" w:rsidP="00CB4094">
            <w:pPr>
              <w:spacing w:after="0" w:line="240" w:lineRule="auto"/>
              <w:jc w:val="center"/>
              <w:rPr>
                <w:rFonts w:eastAsia="Times New Roman" w:cs="Calibri"/>
                <w:b/>
                <w:bCs/>
                <w:color w:val="000000"/>
                <w:lang w:val="en-GB" w:eastAsia="sl-SI"/>
              </w:rPr>
            </w:pPr>
            <w:r>
              <w:rPr>
                <w:rFonts w:eastAsia="Times New Roman" w:cs="Calibri"/>
                <w:b/>
                <w:bCs/>
                <w:color w:val="000000"/>
                <w:lang w:val="en-GB" w:eastAsia="sl-SI"/>
              </w:rPr>
              <w:t>FTTx</w:t>
            </w:r>
            <w:r w:rsidR="00CB4094" w:rsidRPr="00BC1ABD">
              <w:rPr>
                <w:rFonts w:eastAsia="Times New Roman" w:cs="Calibri"/>
                <w:b/>
                <w:bCs/>
                <w:color w:val="000000"/>
                <w:lang w:val="en-GB" w:eastAsia="sl-SI"/>
              </w:rPr>
              <w:t xml:space="preserve"> only</w:t>
            </w:r>
          </w:p>
        </w:tc>
        <w:tc>
          <w:tcPr>
            <w:tcW w:w="1228" w:type="dxa"/>
            <w:tcBorders>
              <w:top w:val="nil"/>
              <w:left w:val="nil"/>
              <w:bottom w:val="single" w:sz="4" w:space="0" w:color="auto"/>
              <w:right w:val="single" w:sz="4" w:space="0" w:color="auto"/>
            </w:tcBorders>
            <w:vAlign w:val="center"/>
            <w:hideMark/>
          </w:tcPr>
          <w:p w14:paraId="3A76673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247</w:t>
            </w:r>
          </w:p>
        </w:tc>
        <w:tc>
          <w:tcPr>
            <w:tcW w:w="1259" w:type="dxa"/>
            <w:tcBorders>
              <w:top w:val="nil"/>
              <w:left w:val="nil"/>
              <w:bottom w:val="single" w:sz="4" w:space="0" w:color="auto"/>
              <w:right w:val="single" w:sz="4" w:space="0" w:color="auto"/>
            </w:tcBorders>
            <w:vAlign w:val="center"/>
            <w:hideMark/>
          </w:tcPr>
          <w:p w14:paraId="6B61AE1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48,340</w:t>
            </w:r>
          </w:p>
        </w:tc>
        <w:tc>
          <w:tcPr>
            <w:tcW w:w="1226" w:type="dxa"/>
            <w:tcBorders>
              <w:top w:val="nil"/>
              <w:left w:val="nil"/>
              <w:bottom w:val="single" w:sz="4" w:space="0" w:color="auto"/>
              <w:right w:val="single" w:sz="4" w:space="0" w:color="auto"/>
            </w:tcBorders>
            <w:vAlign w:val="center"/>
            <w:hideMark/>
          </w:tcPr>
          <w:p w14:paraId="1D60D31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3.9</w:t>
            </w:r>
          </w:p>
        </w:tc>
        <w:tc>
          <w:tcPr>
            <w:tcW w:w="1275" w:type="dxa"/>
            <w:tcBorders>
              <w:top w:val="nil"/>
              <w:left w:val="nil"/>
              <w:bottom w:val="single" w:sz="4" w:space="0" w:color="auto"/>
              <w:right w:val="single" w:sz="4" w:space="0" w:color="auto"/>
            </w:tcBorders>
            <w:vAlign w:val="center"/>
            <w:hideMark/>
          </w:tcPr>
          <w:p w14:paraId="268FFE3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178,308</w:t>
            </w:r>
          </w:p>
        </w:tc>
        <w:tc>
          <w:tcPr>
            <w:tcW w:w="1276" w:type="dxa"/>
            <w:tcBorders>
              <w:top w:val="nil"/>
              <w:left w:val="nil"/>
              <w:bottom w:val="single" w:sz="4" w:space="0" w:color="auto"/>
              <w:right w:val="single" w:sz="4" w:space="0" w:color="auto"/>
            </w:tcBorders>
            <w:vAlign w:val="center"/>
            <w:hideMark/>
          </w:tcPr>
          <w:p w14:paraId="7D1949E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27,163</w:t>
            </w:r>
          </w:p>
        </w:tc>
      </w:tr>
      <w:tr w:rsidR="00CB4094" w:rsidRPr="00BC1ABD" w14:paraId="100E329C"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79999E4F" w14:textId="4F674EAF" w:rsidR="00CB4094" w:rsidRPr="00BC1ABD" w:rsidRDefault="00592449" w:rsidP="00CB4094">
            <w:pPr>
              <w:spacing w:after="0" w:line="240" w:lineRule="auto"/>
              <w:jc w:val="center"/>
              <w:rPr>
                <w:rFonts w:eastAsia="Times New Roman" w:cs="Calibri"/>
                <w:b/>
                <w:bCs/>
                <w:color w:val="000000"/>
                <w:lang w:val="en-GB" w:eastAsia="sl-SI"/>
              </w:rPr>
            </w:pPr>
            <w:r>
              <w:rPr>
                <w:rFonts w:eastAsia="Times New Roman" w:cs="Calibri"/>
                <w:b/>
                <w:bCs/>
                <w:color w:val="000000"/>
                <w:lang w:val="en-GB" w:eastAsia="sl-SI"/>
              </w:rPr>
              <w:t>FTTx</w:t>
            </w:r>
            <w:r w:rsidR="00CB4094" w:rsidRPr="00BC1ABD">
              <w:rPr>
                <w:rFonts w:eastAsia="Times New Roman" w:cs="Calibri"/>
                <w:b/>
                <w:bCs/>
                <w:color w:val="000000"/>
                <w:lang w:val="en-GB" w:eastAsia="sl-SI"/>
              </w:rPr>
              <w:t xml:space="preserve"> + xDSL + FWA</w:t>
            </w:r>
          </w:p>
        </w:tc>
        <w:tc>
          <w:tcPr>
            <w:tcW w:w="1228" w:type="dxa"/>
            <w:tcBorders>
              <w:top w:val="nil"/>
              <w:left w:val="nil"/>
              <w:bottom w:val="single" w:sz="4" w:space="0" w:color="auto"/>
              <w:right w:val="single" w:sz="4" w:space="0" w:color="auto"/>
            </w:tcBorders>
            <w:vAlign w:val="center"/>
            <w:hideMark/>
          </w:tcPr>
          <w:p w14:paraId="155B2F7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99</w:t>
            </w:r>
          </w:p>
        </w:tc>
        <w:tc>
          <w:tcPr>
            <w:tcW w:w="1259" w:type="dxa"/>
            <w:tcBorders>
              <w:top w:val="nil"/>
              <w:left w:val="nil"/>
              <w:bottom w:val="single" w:sz="4" w:space="0" w:color="auto"/>
              <w:right w:val="single" w:sz="4" w:space="0" w:color="auto"/>
            </w:tcBorders>
            <w:vAlign w:val="center"/>
            <w:hideMark/>
          </w:tcPr>
          <w:p w14:paraId="6639B2B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803,573</w:t>
            </w:r>
          </w:p>
        </w:tc>
        <w:tc>
          <w:tcPr>
            <w:tcW w:w="1226" w:type="dxa"/>
            <w:tcBorders>
              <w:top w:val="nil"/>
              <w:left w:val="nil"/>
              <w:bottom w:val="single" w:sz="4" w:space="0" w:color="auto"/>
              <w:right w:val="single" w:sz="4" w:space="0" w:color="auto"/>
            </w:tcBorders>
            <w:vAlign w:val="center"/>
            <w:hideMark/>
          </w:tcPr>
          <w:p w14:paraId="4E8ADED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64.2</w:t>
            </w:r>
          </w:p>
        </w:tc>
        <w:tc>
          <w:tcPr>
            <w:tcW w:w="1275" w:type="dxa"/>
            <w:tcBorders>
              <w:top w:val="nil"/>
              <w:left w:val="nil"/>
              <w:bottom w:val="single" w:sz="4" w:space="0" w:color="auto"/>
              <w:right w:val="single" w:sz="4" w:space="0" w:color="auto"/>
            </w:tcBorders>
            <w:vAlign w:val="center"/>
            <w:hideMark/>
          </w:tcPr>
          <w:p w14:paraId="4092CFD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2,156,162</w:t>
            </w:r>
          </w:p>
        </w:tc>
        <w:tc>
          <w:tcPr>
            <w:tcW w:w="1276" w:type="dxa"/>
            <w:tcBorders>
              <w:top w:val="nil"/>
              <w:left w:val="nil"/>
              <w:bottom w:val="single" w:sz="4" w:space="0" w:color="auto"/>
              <w:right w:val="single" w:sz="4" w:space="0" w:color="auto"/>
            </w:tcBorders>
            <w:vAlign w:val="center"/>
            <w:hideMark/>
          </w:tcPr>
          <w:p w14:paraId="5B3B613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776,338</w:t>
            </w:r>
          </w:p>
        </w:tc>
      </w:tr>
      <w:tr w:rsidR="00CB4094" w:rsidRPr="00BC1ABD" w14:paraId="26BDA6C8"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0BB84F29" w14:textId="49427A6C" w:rsidR="00CB4094" w:rsidRPr="00BC1ABD" w:rsidRDefault="00592449" w:rsidP="00CB4094">
            <w:pPr>
              <w:spacing w:after="0" w:line="240" w:lineRule="auto"/>
              <w:jc w:val="center"/>
              <w:rPr>
                <w:rFonts w:eastAsia="Times New Roman" w:cs="Calibri"/>
                <w:b/>
                <w:bCs/>
                <w:color w:val="000000"/>
                <w:lang w:val="en-GB" w:eastAsia="sl-SI"/>
              </w:rPr>
            </w:pPr>
            <w:r>
              <w:rPr>
                <w:rFonts w:eastAsia="Times New Roman" w:cs="Calibri"/>
                <w:b/>
                <w:bCs/>
                <w:color w:val="000000"/>
                <w:lang w:val="en-GB" w:eastAsia="sl-SI"/>
              </w:rPr>
              <w:t>FTTx</w:t>
            </w:r>
            <w:r w:rsidR="00CB4094" w:rsidRPr="00BC1ABD">
              <w:rPr>
                <w:rFonts w:eastAsia="Times New Roman" w:cs="Calibri"/>
                <w:b/>
                <w:bCs/>
                <w:color w:val="000000"/>
                <w:lang w:val="en-GB" w:eastAsia="sl-SI"/>
              </w:rPr>
              <w:t xml:space="preserve"> + xDSL</w:t>
            </w:r>
          </w:p>
        </w:tc>
        <w:tc>
          <w:tcPr>
            <w:tcW w:w="1228" w:type="dxa"/>
            <w:tcBorders>
              <w:top w:val="nil"/>
              <w:left w:val="nil"/>
              <w:bottom w:val="single" w:sz="4" w:space="0" w:color="auto"/>
              <w:right w:val="single" w:sz="4" w:space="0" w:color="auto"/>
            </w:tcBorders>
            <w:vAlign w:val="center"/>
            <w:hideMark/>
          </w:tcPr>
          <w:p w14:paraId="38C18C1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w:t>
            </w:r>
          </w:p>
        </w:tc>
        <w:tc>
          <w:tcPr>
            <w:tcW w:w="1259" w:type="dxa"/>
            <w:tcBorders>
              <w:top w:val="nil"/>
              <w:left w:val="nil"/>
              <w:bottom w:val="single" w:sz="4" w:space="0" w:color="auto"/>
              <w:right w:val="single" w:sz="4" w:space="0" w:color="auto"/>
            </w:tcBorders>
            <w:vAlign w:val="center"/>
            <w:hideMark/>
          </w:tcPr>
          <w:p w14:paraId="74294BE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2,647</w:t>
            </w:r>
          </w:p>
        </w:tc>
        <w:tc>
          <w:tcPr>
            <w:tcW w:w="1226" w:type="dxa"/>
            <w:tcBorders>
              <w:top w:val="nil"/>
              <w:left w:val="nil"/>
              <w:bottom w:val="single" w:sz="4" w:space="0" w:color="auto"/>
              <w:right w:val="single" w:sz="4" w:space="0" w:color="auto"/>
            </w:tcBorders>
            <w:vAlign w:val="center"/>
            <w:hideMark/>
          </w:tcPr>
          <w:p w14:paraId="6F51405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0.2</w:t>
            </w:r>
          </w:p>
        </w:tc>
        <w:tc>
          <w:tcPr>
            <w:tcW w:w="1275" w:type="dxa"/>
            <w:tcBorders>
              <w:top w:val="nil"/>
              <w:left w:val="nil"/>
              <w:bottom w:val="single" w:sz="4" w:space="0" w:color="auto"/>
              <w:right w:val="single" w:sz="4" w:space="0" w:color="auto"/>
            </w:tcBorders>
            <w:vAlign w:val="center"/>
            <w:hideMark/>
          </w:tcPr>
          <w:p w14:paraId="1B1F4E9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8,824</w:t>
            </w:r>
          </w:p>
        </w:tc>
        <w:tc>
          <w:tcPr>
            <w:tcW w:w="1276" w:type="dxa"/>
            <w:tcBorders>
              <w:top w:val="nil"/>
              <w:left w:val="nil"/>
              <w:bottom w:val="single" w:sz="4" w:space="0" w:color="auto"/>
              <w:right w:val="single" w:sz="4" w:space="0" w:color="auto"/>
            </w:tcBorders>
            <w:vAlign w:val="center"/>
            <w:hideMark/>
          </w:tcPr>
          <w:p w14:paraId="1B1599E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2,478</w:t>
            </w:r>
          </w:p>
        </w:tc>
      </w:tr>
      <w:tr w:rsidR="00CB4094" w:rsidRPr="00BC1ABD" w14:paraId="1220C2FB"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54B41029" w14:textId="340573C1" w:rsidR="00CB4094" w:rsidRPr="00BC1ABD" w:rsidRDefault="00592449" w:rsidP="005758E1">
            <w:pPr>
              <w:spacing w:after="0" w:line="240" w:lineRule="auto"/>
              <w:jc w:val="center"/>
              <w:rPr>
                <w:rFonts w:eastAsia="Times New Roman" w:cs="Calibri"/>
                <w:b/>
                <w:bCs/>
                <w:color w:val="000000"/>
                <w:lang w:val="en-GB" w:eastAsia="sl-SI"/>
              </w:rPr>
            </w:pPr>
            <w:r>
              <w:rPr>
                <w:rFonts w:eastAsia="Times New Roman" w:cs="Calibri"/>
                <w:b/>
                <w:bCs/>
                <w:color w:val="000000"/>
                <w:lang w:val="en-GB" w:eastAsia="sl-SI"/>
              </w:rPr>
              <w:t>FTTx</w:t>
            </w:r>
            <w:r w:rsidR="00306F3E">
              <w:rPr>
                <w:rFonts w:eastAsia="Times New Roman" w:cs="Calibri"/>
                <w:b/>
                <w:bCs/>
                <w:color w:val="000000"/>
                <w:lang w:val="en-GB" w:eastAsia="sl-SI"/>
              </w:rPr>
              <w:t xml:space="preserve"> </w:t>
            </w:r>
            <w:r w:rsidR="00CB4094" w:rsidRPr="00BC1ABD">
              <w:rPr>
                <w:rFonts w:eastAsia="Times New Roman" w:cs="Calibri"/>
                <w:b/>
                <w:bCs/>
                <w:color w:val="000000"/>
                <w:lang w:val="en-GB" w:eastAsia="sl-SI"/>
              </w:rPr>
              <w:t>+</w:t>
            </w:r>
            <w:r w:rsidR="00306F3E">
              <w:rPr>
                <w:rFonts w:eastAsia="Times New Roman" w:cs="Calibri"/>
                <w:b/>
                <w:bCs/>
                <w:color w:val="000000"/>
                <w:lang w:val="en-GB" w:eastAsia="sl-SI"/>
              </w:rPr>
              <w:t xml:space="preserve"> </w:t>
            </w:r>
            <w:r w:rsidR="00CB4094" w:rsidRPr="00BC1ABD">
              <w:rPr>
                <w:rFonts w:eastAsia="Times New Roman" w:cs="Calibri"/>
                <w:b/>
                <w:bCs/>
                <w:color w:val="000000"/>
                <w:lang w:val="en-GB" w:eastAsia="sl-SI"/>
              </w:rPr>
              <w:t>FWA</w:t>
            </w:r>
          </w:p>
        </w:tc>
        <w:tc>
          <w:tcPr>
            <w:tcW w:w="1228" w:type="dxa"/>
            <w:tcBorders>
              <w:top w:val="nil"/>
              <w:left w:val="nil"/>
              <w:bottom w:val="single" w:sz="4" w:space="0" w:color="auto"/>
              <w:right w:val="single" w:sz="4" w:space="0" w:color="auto"/>
            </w:tcBorders>
            <w:vAlign w:val="center"/>
            <w:hideMark/>
          </w:tcPr>
          <w:p w14:paraId="1ADCD60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639</w:t>
            </w:r>
          </w:p>
        </w:tc>
        <w:tc>
          <w:tcPr>
            <w:tcW w:w="1259" w:type="dxa"/>
            <w:tcBorders>
              <w:top w:val="nil"/>
              <w:left w:val="nil"/>
              <w:bottom w:val="single" w:sz="4" w:space="0" w:color="auto"/>
              <w:right w:val="single" w:sz="4" w:space="0" w:color="auto"/>
            </w:tcBorders>
            <w:vAlign w:val="center"/>
            <w:hideMark/>
          </w:tcPr>
          <w:p w14:paraId="250AA76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205,974</w:t>
            </w:r>
          </w:p>
        </w:tc>
        <w:tc>
          <w:tcPr>
            <w:tcW w:w="1226" w:type="dxa"/>
            <w:tcBorders>
              <w:top w:val="nil"/>
              <w:left w:val="nil"/>
              <w:bottom w:val="single" w:sz="4" w:space="0" w:color="auto"/>
              <w:right w:val="single" w:sz="4" w:space="0" w:color="auto"/>
            </w:tcBorders>
            <w:vAlign w:val="center"/>
            <w:hideMark/>
          </w:tcPr>
          <w:p w14:paraId="24C5C9E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16.5</w:t>
            </w:r>
          </w:p>
        </w:tc>
        <w:tc>
          <w:tcPr>
            <w:tcW w:w="1275" w:type="dxa"/>
            <w:tcBorders>
              <w:top w:val="nil"/>
              <w:left w:val="nil"/>
              <w:bottom w:val="single" w:sz="4" w:space="0" w:color="auto"/>
              <w:right w:val="single" w:sz="4" w:space="0" w:color="auto"/>
            </w:tcBorders>
            <w:vAlign w:val="center"/>
            <w:hideMark/>
          </w:tcPr>
          <w:p w14:paraId="52DE88F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700,216</w:t>
            </w:r>
          </w:p>
        </w:tc>
        <w:tc>
          <w:tcPr>
            <w:tcW w:w="1276" w:type="dxa"/>
            <w:tcBorders>
              <w:top w:val="nil"/>
              <w:left w:val="nil"/>
              <w:bottom w:val="single" w:sz="4" w:space="0" w:color="auto"/>
              <w:right w:val="single" w:sz="4" w:space="0" w:color="auto"/>
            </w:tcBorders>
            <w:vAlign w:val="center"/>
            <w:hideMark/>
          </w:tcPr>
          <w:p w14:paraId="3E3854F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120,193</w:t>
            </w:r>
          </w:p>
        </w:tc>
      </w:tr>
      <w:tr w:rsidR="00CB4094" w:rsidRPr="00BC1ABD" w14:paraId="1994C676" w14:textId="77777777" w:rsidTr="00626AE7">
        <w:trPr>
          <w:trHeight w:val="432"/>
        </w:trPr>
        <w:tc>
          <w:tcPr>
            <w:tcW w:w="1811" w:type="dxa"/>
            <w:tcBorders>
              <w:top w:val="nil"/>
              <w:left w:val="single" w:sz="4" w:space="0" w:color="auto"/>
              <w:bottom w:val="single" w:sz="4" w:space="0" w:color="auto"/>
              <w:right w:val="single" w:sz="4" w:space="0" w:color="auto"/>
            </w:tcBorders>
            <w:vAlign w:val="bottom"/>
            <w:hideMark/>
          </w:tcPr>
          <w:p w14:paraId="0DE4C797" w14:textId="63527847" w:rsidR="00CB4094" w:rsidRPr="00BC1ABD" w:rsidRDefault="00CB4094" w:rsidP="005758E1">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Uncovered by </w:t>
            </w:r>
            <w:r w:rsidR="00592449">
              <w:rPr>
                <w:rFonts w:eastAsia="Times New Roman" w:cs="Calibri"/>
                <w:b/>
                <w:bCs/>
                <w:color w:val="000000"/>
                <w:lang w:val="en-GB" w:eastAsia="sl-SI"/>
              </w:rPr>
              <w:t>FTTx</w:t>
            </w:r>
          </w:p>
        </w:tc>
        <w:tc>
          <w:tcPr>
            <w:tcW w:w="1228" w:type="dxa"/>
            <w:tcBorders>
              <w:top w:val="nil"/>
              <w:left w:val="nil"/>
              <w:bottom w:val="single" w:sz="4" w:space="0" w:color="auto"/>
              <w:right w:val="single" w:sz="4" w:space="0" w:color="auto"/>
            </w:tcBorders>
            <w:vAlign w:val="center"/>
            <w:hideMark/>
          </w:tcPr>
          <w:p w14:paraId="1CC9AC5F" w14:textId="77777777" w:rsidR="00CB4094" w:rsidRPr="00626AE7" w:rsidRDefault="00CB4094" w:rsidP="005758E1">
            <w:pPr>
              <w:spacing w:after="0" w:line="240" w:lineRule="auto"/>
              <w:ind w:firstLineChars="100" w:firstLine="221"/>
              <w:jc w:val="right"/>
              <w:rPr>
                <w:rFonts w:eastAsia="Times New Roman" w:cs="Calibri"/>
                <w:b/>
                <w:bCs/>
                <w:color w:val="000000"/>
                <w:lang w:val="en-GB" w:eastAsia="sl-SI"/>
              </w:rPr>
            </w:pPr>
            <w:r w:rsidRPr="00626AE7">
              <w:rPr>
                <w:rFonts w:eastAsia="Times New Roman" w:cs="Calibri"/>
                <w:b/>
                <w:bCs/>
                <w:color w:val="000000"/>
                <w:lang w:val="en-GB" w:eastAsia="sl-SI"/>
              </w:rPr>
              <w:t>2,611</w:t>
            </w:r>
          </w:p>
        </w:tc>
        <w:tc>
          <w:tcPr>
            <w:tcW w:w="1259" w:type="dxa"/>
            <w:tcBorders>
              <w:top w:val="nil"/>
              <w:left w:val="nil"/>
              <w:bottom w:val="single" w:sz="4" w:space="0" w:color="auto"/>
              <w:right w:val="single" w:sz="4" w:space="0" w:color="auto"/>
            </w:tcBorders>
            <w:vAlign w:val="center"/>
            <w:hideMark/>
          </w:tcPr>
          <w:p w14:paraId="7FE67B0B" w14:textId="77777777" w:rsidR="00CB4094" w:rsidRPr="00626AE7" w:rsidRDefault="00CB4094" w:rsidP="005758E1">
            <w:pPr>
              <w:spacing w:after="0" w:line="240" w:lineRule="auto"/>
              <w:ind w:firstLineChars="100" w:firstLine="221"/>
              <w:jc w:val="right"/>
              <w:rPr>
                <w:rFonts w:eastAsia="Times New Roman" w:cs="Calibri"/>
                <w:b/>
                <w:bCs/>
                <w:color w:val="000000"/>
                <w:lang w:val="en-GB" w:eastAsia="sl-SI"/>
              </w:rPr>
            </w:pPr>
            <w:r w:rsidRPr="00626AE7">
              <w:rPr>
                <w:rFonts w:eastAsia="Times New Roman" w:cs="Calibri"/>
                <w:b/>
                <w:bCs/>
                <w:color w:val="000000"/>
                <w:lang w:val="en-GB" w:eastAsia="sl-SI"/>
              </w:rPr>
              <w:t>191,442</w:t>
            </w:r>
          </w:p>
        </w:tc>
        <w:tc>
          <w:tcPr>
            <w:tcW w:w="1226" w:type="dxa"/>
            <w:tcBorders>
              <w:top w:val="nil"/>
              <w:left w:val="nil"/>
              <w:bottom w:val="single" w:sz="4" w:space="0" w:color="auto"/>
              <w:right w:val="single" w:sz="4" w:space="0" w:color="auto"/>
            </w:tcBorders>
            <w:vAlign w:val="center"/>
            <w:hideMark/>
          </w:tcPr>
          <w:p w14:paraId="480B6096" w14:textId="77777777" w:rsidR="00CB4094" w:rsidRPr="00626AE7" w:rsidRDefault="00CB4094" w:rsidP="005758E1">
            <w:pPr>
              <w:spacing w:after="0" w:line="240" w:lineRule="auto"/>
              <w:ind w:firstLineChars="100" w:firstLine="221"/>
              <w:jc w:val="right"/>
              <w:rPr>
                <w:rFonts w:eastAsia="Times New Roman" w:cs="Calibri"/>
                <w:b/>
                <w:bCs/>
                <w:color w:val="000000"/>
                <w:lang w:val="en-GB" w:eastAsia="sl-SI"/>
              </w:rPr>
            </w:pPr>
            <w:r w:rsidRPr="00626AE7">
              <w:rPr>
                <w:rFonts w:eastAsia="Times New Roman" w:cs="Calibri"/>
                <w:b/>
                <w:bCs/>
                <w:color w:val="000000"/>
                <w:lang w:val="en-GB" w:eastAsia="sl-SI"/>
              </w:rPr>
              <w:t>15.3</w:t>
            </w:r>
          </w:p>
        </w:tc>
        <w:tc>
          <w:tcPr>
            <w:tcW w:w="1275" w:type="dxa"/>
            <w:tcBorders>
              <w:top w:val="nil"/>
              <w:left w:val="nil"/>
              <w:bottom w:val="single" w:sz="4" w:space="0" w:color="auto"/>
              <w:right w:val="single" w:sz="4" w:space="0" w:color="auto"/>
            </w:tcBorders>
            <w:vAlign w:val="center"/>
            <w:hideMark/>
          </w:tcPr>
          <w:p w14:paraId="7785439D" w14:textId="77777777" w:rsidR="00CB4094" w:rsidRPr="00626AE7" w:rsidRDefault="00CB4094" w:rsidP="005758E1">
            <w:pPr>
              <w:spacing w:after="0" w:line="240" w:lineRule="auto"/>
              <w:ind w:firstLineChars="100" w:firstLine="221"/>
              <w:jc w:val="right"/>
              <w:rPr>
                <w:rFonts w:eastAsia="Times New Roman" w:cs="Calibri"/>
                <w:b/>
                <w:bCs/>
                <w:color w:val="000000"/>
                <w:lang w:val="en-GB" w:eastAsia="sl-SI"/>
              </w:rPr>
            </w:pPr>
            <w:r w:rsidRPr="00626AE7">
              <w:rPr>
                <w:rFonts w:eastAsia="Times New Roman" w:cs="Calibri"/>
                <w:b/>
                <w:bCs/>
                <w:color w:val="000000"/>
                <w:lang w:val="en-GB" w:eastAsia="sl-SI"/>
              </w:rPr>
              <w:t>636,235</w:t>
            </w:r>
          </w:p>
        </w:tc>
        <w:tc>
          <w:tcPr>
            <w:tcW w:w="1276" w:type="dxa"/>
            <w:tcBorders>
              <w:top w:val="nil"/>
              <w:left w:val="nil"/>
              <w:bottom w:val="single" w:sz="4" w:space="0" w:color="auto"/>
              <w:right w:val="single" w:sz="4" w:space="0" w:color="auto"/>
            </w:tcBorders>
            <w:vAlign w:val="center"/>
            <w:hideMark/>
          </w:tcPr>
          <w:p w14:paraId="4E7FD82B" w14:textId="77777777" w:rsidR="00CB4094" w:rsidRPr="00626AE7" w:rsidRDefault="00CB4094" w:rsidP="005758E1">
            <w:pPr>
              <w:spacing w:after="0" w:line="240" w:lineRule="auto"/>
              <w:ind w:firstLineChars="100" w:firstLine="221"/>
              <w:jc w:val="right"/>
              <w:rPr>
                <w:rFonts w:eastAsia="Times New Roman" w:cs="Calibri"/>
                <w:b/>
                <w:bCs/>
                <w:color w:val="000000"/>
                <w:lang w:val="en-GB" w:eastAsia="sl-SI"/>
              </w:rPr>
            </w:pPr>
            <w:r w:rsidRPr="00626AE7">
              <w:rPr>
                <w:rFonts w:eastAsia="Times New Roman" w:cs="Calibri"/>
                <w:b/>
                <w:bCs/>
                <w:color w:val="000000"/>
                <w:lang w:val="en-GB" w:eastAsia="sl-SI"/>
              </w:rPr>
              <w:t>30,755</w:t>
            </w:r>
          </w:p>
        </w:tc>
      </w:tr>
      <w:tr w:rsidR="00CB4094" w:rsidRPr="00BC1ABD" w14:paraId="3D897C61" w14:textId="77777777" w:rsidTr="00E95C58">
        <w:trPr>
          <w:trHeight w:val="3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7B8E525D"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TOTAL</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1DFAAE27"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3,605</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4F7C517"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1,251,975</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050E2AB"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100.0</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A146F65"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3,679,745</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D025526"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956,927</w:t>
            </w:r>
          </w:p>
        </w:tc>
      </w:tr>
      <w:tr w:rsidR="00CB4094" w:rsidRPr="00BC1ABD" w14:paraId="2118DBCB" w14:textId="77777777" w:rsidTr="00E95C58">
        <w:trPr>
          <w:trHeight w:val="105"/>
        </w:trPr>
        <w:tc>
          <w:tcPr>
            <w:tcW w:w="1811" w:type="dxa"/>
            <w:tcBorders>
              <w:top w:val="nil"/>
              <w:left w:val="nil"/>
              <w:bottom w:val="nil"/>
              <w:right w:val="nil"/>
            </w:tcBorders>
            <w:vAlign w:val="bottom"/>
            <w:hideMark/>
          </w:tcPr>
          <w:p w14:paraId="5E756C74"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p>
        </w:tc>
        <w:tc>
          <w:tcPr>
            <w:tcW w:w="1228" w:type="dxa"/>
            <w:tcBorders>
              <w:top w:val="nil"/>
              <w:left w:val="nil"/>
              <w:bottom w:val="nil"/>
              <w:right w:val="nil"/>
            </w:tcBorders>
            <w:vAlign w:val="center"/>
            <w:hideMark/>
          </w:tcPr>
          <w:p w14:paraId="59CE8876" w14:textId="77777777" w:rsidR="00CB4094" w:rsidRPr="00BC1ABD" w:rsidRDefault="00CB4094" w:rsidP="00CB4094">
            <w:pPr>
              <w:spacing w:after="0" w:line="240" w:lineRule="auto"/>
              <w:jc w:val="center"/>
              <w:rPr>
                <w:rFonts w:ascii="Times New Roman" w:eastAsia="Times New Roman" w:hAnsi="Times New Roman"/>
                <w:sz w:val="20"/>
                <w:szCs w:val="20"/>
                <w:lang w:val="en-GB" w:eastAsia="sl-SI"/>
              </w:rPr>
            </w:pPr>
          </w:p>
        </w:tc>
        <w:tc>
          <w:tcPr>
            <w:tcW w:w="1259" w:type="dxa"/>
            <w:tcBorders>
              <w:top w:val="nil"/>
              <w:left w:val="nil"/>
              <w:bottom w:val="nil"/>
              <w:right w:val="nil"/>
            </w:tcBorders>
            <w:vAlign w:val="center"/>
            <w:hideMark/>
          </w:tcPr>
          <w:p w14:paraId="63560D67"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26" w:type="dxa"/>
            <w:tcBorders>
              <w:top w:val="nil"/>
              <w:left w:val="nil"/>
              <w:bottom w:val="nil"/>
              <w:right w:val="nil"/>
            </w:tcBorders>
            <w:vAlign w:val="center"/>
            <w:hideMark/>
          </w:tcPr>
          <w:p w14:paraId="774D0FE4"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5" w:type="dxa"/>
            <w:tcBorders>
              <w:top w:val="nil"/>
              <w:left w:val="nil"/>
              <w:bottom w:val="nil"/>
              <w:right w:val="nil"/>
            </w:tcBorders>
            <w:vAlign w:val="center"/>
            <w:hideMark/>
          </w:tcPr>
          <w:p w14:paraId="6267981C"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6" w:type="dxa"/>
            <w:tcBorders>
              <w:top w:val="nil"/>
              <w:left w:val="nil"/>
              <w:bottom w:val="nil"/>
              <w:right w:val="nil"/>
            </w:tcBorders>
            <w:vAlign w:val="center"/>
            <w:hideMark/>
          </w:tcPr>
          <w:p w14:paraId="3B4354CC"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r>
      <w:tr w:rsidR="00CB4094" w:rsidRPr="00BC1ABD" w14:paraId="481204E5" w14:textId="77777777" w:rsidTr="00E95C58">
        <w:trPr>
          <w:trHeight w:val="600"/>
        </w:trPr>
        <w:tc>
          <w:tcPr>
            <w:tcW w:w="1811" w:type="dxa"/>
            <w:tcBorders>
              <w:top w:val="single" w:sz="4" w:space="0" w:color="auto"/>
              <w:left w:val="single" w:sz="4" w:space="0" w:color="auto"/>
              <w:bottom w:val="single" w:sz="4" w:space="0" w:color="auto"/>
              <w:right w:val="single" w:sz="4" w:space="0" w:color="auto"/>
            </w:tcBorders>
            <w:vAlign w:val="bottom"/>
            <w:hideMark/>
          </w:tcPr>
          <w:p w14:paraId="51B4D1BD" w14:textId="6DDD38B2"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Tbilisi</w:t>
            </w:r>
            <w:r w:rsidRPr="00BC1ABD">
              <w:rPr>
                <w:rFonts w:eastAsia="Times New Roman" w:cs="Calibri"/>
                <w:b/>
                <w:bCs/>
                <w:color w:val="000000"/>
                <w:lang w:val="en-GB" w:eastAsia="sl-SI"/>
              </w:rPr>
              <w:br/>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 xDSL + FWA</w:t>
            </w:r>
          </w:p>
        </w:tc>
        <w:tc>
          <w:tcPr>
            <w:tcW w:w="1228" w:type="dxa"/>
            <w:tcBorders>
              <w:top w:val="single" w:sz="4" w:space="0" w:color="auto"/>
              <w:left w:val="nil"/>
              <w:bottom w:val="single" w:sz="4" w:space="0" w:color="auto"/>
              <w:right w:val="single" w:sz="4" w:space="0" w:color="auto"/>
            </w:tcBorders>
            <w:vAlign w:val="center"/>
            <w:hideMark/>
          </w:tcPr>
          <w:p w14:paraId="20DF151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w:t>
            </w:r>
          </w:p>
        </w:tc>
        <w:tc>
          <w:tcPr>
            <w:tcW w:w="1259" w:type="dxa"/>
            <w:tcBorders>
              <w:top w:val="single" w:sz="4" w:space="0" w:color="auto"/>
              <w:left w:val="nil"/>
              <w:bottom w:val="single" w:sz="4" w:space="0" w:color="auto"/>
              <w:right w:val="single" w:sz="4" w:space="0" w:color="auto"/>
            </w:tcBorders>
            <w:vAlign w:val="center"/>
            <w:hideMark/>
          </w:tcPr>
          <w:p w14:paraId="29387CC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464,688</w:t>
            </w:r>
          </w:p>
        </w:tc>
        <w:tc>
          <w:tcPr>
            <w:tcW w:w="1226" w:type="dxa"/>
            <w:tcBorders>
              <w:top w:val="single" w:sz="4" w:space="0" w:color="auto"/>
              <w:left w:val="nil"/>
              <w:bottom w:val="single" w:sz="4" w:space="0" w:color="auto"/>
              <w:right w:val="single" w:sz="4" w:space="0" w:color="auto"/>
            </w:tcBorders>
            <w:vAlign w:val="center"/>
            <w:hideMark/>
          </w:tcPr>
          <w:p w14:paraId="7718AAD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37.1</w:t>
            </w:r>
          </w:p>
        </w:tc>
        <w:tc>
          <w:tcPr>
            <w:tcW w:w="1275" w:type="dxa"/>
            <w:tcBorders>
              <w:top w:val="single" w:sz="4" w:space="0" w:color="auto"/>
              <w:left w:val="nil"/>
              <w:bottom w:val="single" w:sz="4" w:space="0" w:color="auto"/>
              <w:right w:val="single" w:sz="4" w:space="0" w:color="auto"/>
            </w:tcBorders>
            <w:vAlign w:val="center"/>
            <w:hideMark/>
          </w:tcPr>
          <w:p w14:paraId="085E3F2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1,108,717</w:t>
            </w:r>
          </w:p>
        </w:tc>
        <w:tc>
          <w:tcPr>
            <w:tcW w:w="1276" w:type="dxa"/>
            <w:tcBorders>
              <w:top w:val="single" w:sz="4" w:space="0" w:color="auto"/>
              <w:left w:val="nil"/>
              <w:bottom w:val="single" w:sz="4" w:space="0" w:color="auto"/>
              <w:right w:val="single" w:sz="4" w:space="0" w:color="auto"/>
            </w:tcBorders>
            <w:vAlign w:val="center"/>
            <w:hideMark/>
          </w:tcPr>
          <w:p w14:paraId="22A8FD8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425,610</w:t>
            </w:r>
          </w:p>
        </w:tc>
      </w:tr>
      <w:tr w:rsidR="00CB4094" w:rsidRPr="00BC1ABD" w14:paraId="7BA2AE14" w14:textId="77777777" w:rsidTr="00E95C58">
        <w:trPr>
          <w:trHeight w:val="600"/>
        </w:trPr>
        <w:tc>
          <w:tcPr>
            <w:tcW w:w="1811" w:type="dxa"/>
            <w:tcBorders>
              <w:top w:val="single" w:sz="4" w:space="0" w:color="auto"/>
              <w:left w:val="single" w:sz="4" w:space="0" w:color="auto"/>
              <w:bottom w:val="single" w:sz="4" w:space="0" w:color="auto"/>
              <w:right w:val="single" w:sz="4" w:space="0" w:color="auto"/>
            </w:tcBorders>
            <w:vAlign w:val="bottom"/>
          </w:tcPr>
          <w:p w14:paraId="7652A685" w14:textId="5AD4FCFF"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rPr>
              <w:t>Other</w:t>
            </w:r>
            <w:r w:rsidRPr="00BC1ABD">
              <w:rPr>
                <w:rFonts w:eastAsia="Times New Roman" w:cs="Calibri"/>
                <w:b/>
                <w:bCs/>
                <w:color w:val="000000"/>
                <w:lang w:val="en-GB"/>
              </w:rPr>
              <w:br/>
              <w:t xml:space="preserve">xDSL + </w:t>
            </w:r>
            <w:r w:rsidR="00592449">
              <w:rPr>
                <w:rFonts w:eastAsia="Times New Roman" w:cs="Calibri"/>
                <w:b/>
                <w:bCs/>
                <w:color w:val="000000"/>
                <w:lang w:val="en-GB"/>
              </w:rPr>
              <w:t>FTTx</w:t>
            </w:r>
            <w:r w:rsidRPr="00BC1ABD">
              <w:rPr>
                <w:rFonts w:eastAsia="Times New Roman" w:cs="Calibri"/>
                <w:b/>
                <w:bCs/>
                <w:color w:val="000000"/>
                <w:lang w:val="en-GB"/>
              </w:rPr>
              <w:t xml:space="preserve"> + FWA</w:t>
            </w:r>
          </w:p>
        </w:tc>
        <w:tc>
          <w:tcPr>
            <w:tcW w:w="1228" w:type="dxa"/>
            <w:tcBorders>
              <w:top w:val="single" w:sz="4" w:space="0" w:color="auto"/>
              <w:left w:val="nil"/>
              <w:bottom w:val="single" w:sz="4" w:space="0" w:color="auto"/>
              <w:right w:val="single" w:sz="4" w:space="0" w:color="auto"/>
            </w:tcBorders>
            <w:vAlign w:val="center"/>
          </w:tcPr>
          <w:p w14:paraId="5BCB3AA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98</w:t>
            </w:r>
          </w:p>
        </w:tc>
        <w:tc>
          <w:tcPr>
            <w:tcW w:w="1259" w:type="dxa"/>
            <w:tcBorders>
              <w:top w:val="single" w:sz="4" w:space="0" w:color="auto"/>
              <w:left w:val="nil"/>
              <w:bottom w:val="single" w:sz="4" w:space="0" w:color="auto"/>
              <w:right w:val="single" w:sz="4" w:space="0" w:color="auto"/>
            </w:tcBorders>
            <w:vAlign w:val="center"/>
          </w:tcPr>
          <w:p w14:paraId="1E95AF6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338,885</w:t>
            </w:r>
          </w:p>
        </w:tc>
        <w:tc>
          <w:tcPr>
            <w:tcW w:w="1226" w:type="dxa"/>
            <w:tcBorders>
              <w:top w:val="single" w:sz="4" w:space="0" w:color="auto"/>
              <w:left w:val="nil"/>
              <w:bottom w:val="single" w:sz="4" w:space="0" w:color="auto"/>
              <w:right w:val="single" w:sz="4" w:space="0" w:color="auto"/>
            </w:tcBorders>
            <w:vAlign w:val="center"/>
          </w:tcPr>
          <w:p w14:paraId="6F75AAC6"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27.1</w:t>
            </w:r>
          </w:p>
        </w:tc>
        <w:tc>
          <w:tcPr>
            <w:tcW w:w="1275" w:type="dxa"/>
            <w:tcBorders>
              <w:top w:val="single" w:sz="4" w:space="0" w:color="auto"/>
              <w:left w:val="nil"/>
              <w:bottom w:val="single" w:sz="4" w:space="0" w:color="auto"/>
              <w:right w:val="single" w:sz="4" w:space="0" w:color="auto"/>
            </w:tcBorders>
            <w:vAlign w:val="center"/>
          </w:tcPr>
          <w:p w14:paraId="102550E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1,047,445</w:t>
            </w:r>
          </w:p>
        </w:tc>
        <w:tc>
          <w:tcPr>
            <w:tcW w:w="1276" w:type="dxa"/>
            <w:tcBorders>
              <w:top w:val="single" w:sz="4" w:space="0" w:color="auto"/>
              <w:left w:val="nil"/>
              <w:bottom w:val="single" w:sz="4" w:space="0" w:color="auto"/>
              <w:right w:val="single" w:sz="4" w:space="0" w:color="auto"/>
            </w:tcBorders>
            <w:vAlign w:val="center"/>
          </w:tcPr>
          <w:p w14:paraId="029DD28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350,728</w:t>
            </w:r>
          </w:p>
        </w:tc>
      </w:tr>
    </w:tbl>
    <w:p w14:paraId="2AFD2D14" w14:textId="77777777" w:rsidR="00CB4094" w:rsidRPr="00BC1ABD" w:rsidRDefault="00CB4094" w:rsidP="00CB4094">
      <w:pPr>
        <w:spacing w:line="240" w:lineRule="auto"/>
        <w:jc w:val="center"/>
        <w:rPr>
          <w:rFonts w:asciiTheme="minorHAnsi" w:eastAsia="Times New Roman" w:hAnsiTheme="minorHAnsi"/>
          <w:color w:val="44546A" w:themeColor="text2"/>
          <w:sz w:val="2"/>
          <w:szCs w:val="2"/>
          <w:lang w:val="en-GB"/>
        </w:rPr>
      </w:pPr>
    </w:p>
    <w:p w14:paraId="4DB733C1"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084944A4" w14:textId="77777777"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p>
    <w:p w14:paraId="7DDAECAA" w14:textId="7055B7FD"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73" w:name="_Toc141200247"/>
      <w:bookmarkStart w:id="74" w:name="_Toc152931358"/>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7</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Technology overlap –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vs other technologies</w:t>
      </w:r>
      <w:bookmarkEnd w:id="73"/>
      <w:bookmarkEnd w:id="74"/>
    </w:p>
    <w:p w14:paraId="52B63296" w14:textId="7154F51D" w:rsidR="00CB4094" w:rsidRPr="00BC1ABD" w:rsidRDefault="00CB4094" w:rsidP="00CB4094">
      <w:pPr>
        <w:jc w:val="center"/>
        <w:rPr>
          <w:rFonts w:eastAsia="Times New Roman"/>
          <w:lang w:val="en-GB"/>
        </w:rPr>
      </w:pPr>
      <w:r w:rsidRPr="00BC1ABD">
        <w:rPr>
          <w:rFonts w:eastAsia="Times New Roman"/>
          <w:noProof/>
          <w:lang w:val="sl-SI" w:eastAsia="sl-SI"/>
        </w:rPr>
        <w:drawing>
          <wp:inline distT="0" distB="0" distL="0" distR="0" wp14:anchorId="1798A955" wp14:editId="0AA18416">
            <wp:extent cx="5760720" cy="2727325"/>
            <wp:effectExtent l="0" t="0" r="0" b="0"/>
            <wp:docPr id="306892612" name="Slika 3" descr="Slika na kojoj se prikazuje tekst, snimka zaslona, broj,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92612" name="Slika 3" descr="Slika na kojoj se prikazuje tekst, snimka zaslona, broj, Font&#10;&#10;Opis je automatski generira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727325"/>
                    </a:xfrm>
                    <a:prstGeom prst="rect">
                      <a:avLst/>
                    </a:prstGeom>
                    <a:noFill/>
                    <a:ln>
                      <a:noFill/>
                    </a:ln>
                  </pic:spPr>
                </pic:pic>
              </a:graphicData>
            </a:graphic>
          </wp:inline>
        </w:drawing>
      </w:r>
    </w:p>
    <w:p w14:paraId="32BF9602"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17C93410" w14:textId="6C58BC16"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settlements where only </w:t>
      </w:r>
      <w:r w:rsidR="00592449">
        <w:rPr>
          <w:rFonts w:eastAsia="Times New Roman" w:cs="Arial"/>
          <w:sz w:val="24"/>
          <w:szCs w:val="24"/>
          <w:lang w:val="en-GB"/>
        </w:rPr>
        <w:t>FTTx</w:t>
      </w:r>
      <w:r w:rsidRPr="00BC1ABD">
        <w:rPr>
          <w:rFonts w:eastAsia="Times New Roman" w:cs="Arial"/>
          <w:sz w:val="24"/>
          <w:szCs w:val="24"/>
          <w:lang w:val="en-GB"/>
        </w:rPr>
        <w:t xml:space="preserve"> is present are typically small. Legacy copper xDSL networks and FWA are still in operation generally in urban areas. Some areas uncovered by </w:t>
      </w:r>
      <w:r w:rsidR="00592449">
        <w:rPr>
          <w:rFonts w:eastAsia="Times New Roman" w:cs="Arial"/>
          <w:sz w:val="24"/>
          <w:szCs w:val="24"/>
          <w:lang w:val="en-GB"/>
        </w:rPr>
        <w:t>FTTx</w:t>
      </w:r>
      <w:r w:rsidRPr="00BC1ABD">
        <w:rPr>
          <w:rFonts w:eastAsia="Times New Roman" w:cs="Arial"/>
          <w:sz w:val="24"/>
          <w:szCs w:val="24"/>
          <w:lang w:val="en-GB"/>
        </w:rPr>
        <w:t xml:space="preserve"> are large and sparsely populated.</w:t>
      </w:r>
    </w:p>
    <w:p w14:paraId="40D211D5"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bookmarkStart w:id="75" w:name="_Toc141200248"/>
    </w:p>
    <w:p w14:paraId="4A400159"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50A84B21"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6FE1B029"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7CAB1993"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362B5D91" w14:textId="4BBBBF6A" w:rsidR="00CB4094" w:rsidRPr="00BC1ABD" w:rsidRDefault="00CB4094" w:rsidP="00CB4094">
      <w:pPr>
        <w:spacing w:line="240" w:lineRule="auto"/>
        <w:jc w:val="center"/>
        <w:rPr>
          <w:rFonts w:asciiTheme="minorHAnsi" w:eastAsia="Times New Roman" w:hAnsiTheme="minorHAnsi"/>
          <w:color w:val="44546A" w:themeColor="text2"/>
          <w:sz w:val="20"/>
          <w:szCs w:val="20"/>
          <w:lang w:val="en-GB"/>
        </w:rPr>
      </w:pPr>
      <w:bookmarkStart w:id="76" w:name="_Toc152931359"/>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8</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olor w:val="44546A" w:themeColor="text2"/>
          <w:sz w:val="20"/>
          <w:szCs w:val="20"/>
          <w:lang w:val="en-GB"/>
        </w:rPr>
        <w:t xml:space="preserve"> Overlap of xDSL networks with other technologies (FWA, </w:t>
      </w:r>
      <w:r w:rsidR="00592449">
        <w:rPr>
          <w:rFonts w:asciiTheme="minorHAnsi" w:eastAsia="Times New Roman" w:hAnsiTheme="minorHAnsi"/>
          <w:color w:val="44546A" w:themeColor="text2"/>
          <w:sz w:val="20"/>
          <w:szCs w:val="20"/>
          <w:lang w:val="en-GB"/>
        </w:rPr>
        <w:t>FTTx</w:t>
      </w:r>
      <w:r w:rsidRPr="00BC1ABD">
        <w:rPr>
          <w:rFonts w:asciiTheme="minorHAnsi" w:eastAsia="Times New Roman" w:hAnsiTheme="minorHAnsi"/>
          <w:color w:val="44546A" w:themeColor="text2"/>
          <w:sz w:val="20"/>
          <w:szCs w:val="20"/>
          <w:lang w:val="en-GB"/>
        </w:rPr>
        <w:t>)</w:t>
      </w:r>
      <w:bookmarkEnd w:id="75"/>
      <w:bookmarkEnd w:id="76"/>
    </w:p>
    <w:tbl>
      <w:tblPr>
        <w:tblW w:w="9350" w:type="dxa"/>
        <w:tblCellMar>
          <w:left w:w="70" w:type="dxa"/>
          <w:right w:w="70" w:type="dxa"/>
        </w:tblCellMar>
        <w:tblLook w:val="04A0" w:firstRow="1" w:lastRow="0" w:firstColumn="1" w:lastColumn="0" w:noHBand="0" w:noVBand="1"/>
      </w:tblPr>
      <w:tblGrid>
        <w:gridCol w:w="2041"/>
        <w:gridCol w:w="1382"/>
        <w:gridCol w:w="1519"/>
        <w:gridCol w:w="1435"/>
        <w:gridCol w:w="1436"/>
        <w:gridCol w:w="1537"/>
      </w:tblGrid>
      <w:tr w:rsidR="00CB4094" w:rsidRPr="00BC1ABD" w14:paraId="029C3A91" w14:textId="77777777" w:rsidTr="00E95C58">
        <w:trPr>
          <w:trHeight w:val="600"/>
        </w:trPr>
        <w:tc>
          <w:tcPr>
            <w:tcW w:w="1813"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38B15606"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063DEF90"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settlements </w:t>
            </w:r>
          </w:p>
        </w:tc>
        <w:tc>
          <w:tcPr>
            <w:tcW w:w="1349"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111C1074"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Households </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7CAFDAE6"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 of total households </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016DA291"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Population </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660255A3" w14:textId="737C19DA"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Subscri</w:t>
            </w:r>
            <w:r w:rsidR="00A44F66">
              <w:rPr>
                <w:rFonts w:eastAsia="Times New Roman" w:cs="Calibri"/>
                <w:b/>
                <w:bCs/>
                <w:color w:val="000000"/>
                <w:lang w:val="en-GB" w:eastAsia="sl-SI"/>
              </w:rPr>
              <w:t>p</w:t>
            </w:r>
            <w:r w:rsidRPr="00BC1ABD">
              <w:rPr>
                <w:rFonts w:eastAsia="Times New Roman" w:cs="Calibri"/>
                <w:b/>
                <w:bCs/>
                <w:color w:val="000000"/>
                <w:lang w:val="en-GB" w:eastAsia="sl-SI"/>
              </w:rPr>
              <w:t xml:space="preserve">tions </w:t>
            </w:r>
          </w:p>
        </w:tc>
      </w:tr>
      <w:tr w:rsidR="00CB4094" w:rsidRPr="00BC1ABD" w14:paraId="7484BE79" w14:textId="77777777" w:rsidTr="00E95C58">
        <w:trPr>
          <w:trHeight w:val="300"/>
        </w:trPr>
        <w:tc>
          <w:tcPr>
            <w:tcW w:w="1813" w:type="dxa"/>
            <w:tcBorders>
              <w:top w:val="nil"/>
              <w:left w:val="single" w:sz="4" w:space="0" w:color="auto"/>
              <w:bottom w:val="single" w:sz="4" w:space="0" w:color="auto"/>
              <w:right w:val="single" w:sz="4" w:space="0" w:color="auto"/>
            </w:tcBorders>
            <w:vAlign w:val="bottom"/>
            <w:hideMark/>
          </w:tcPr>
          <w:p w14:paraId="3E7F7E47"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xDSL only</w:t>
            </w:r>
          </w:p>
        </w:tc>
        <w:tc>
          <w:tcPr>
            <w:tcW w:w="1228" w:type="dxa"/>
            <w:tcBorders>
              <w:top w:val="nil"/>
              <w:left w:val="nil"/>
              <w:bottom w:val="single" w:sz="4" w:space="0" w:color="auto"/>
              <w:right w:val="single" w:sz="4" w:space="0" w:color="auto"/>
            </w:tcBorders>
            <w:vAlign w:val="center"/>
            <w:hideMark/>
          </w:tcPr>
          <w:p w14:paraId="3C1C4D1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17</w:t>
            </w:r>
          </w:p>
        </w:tc>
        <w:tc>
          <w:tcPr>
            <w:tcW w:w="1349" w:type="dxa"/>
            <w:tcBorders>
              <w:top w:val="nil"/>
              <w:left w:val="nil"/>
              <w:bottom w:val="single" w:sz="4" w:space="0" w:color="auto"/>
              <w:right w:val="single" w:sz="4" w:space="0" w:color="auto"/>
            </w:tcBorders>
            <w:vAlign w:val="center"/>
            <w:hideMark/>
          </w:tcPr>
          <w:p w14:paraId="24C5B63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1,179</w:t>
            </w:r>
          </w:p>
        </w:tc>
        <w:tc>
          <w:tcPr>
            <w:tcW w:w="1275" w:type="dxa"/>
            <w:tcBorders>
              <w:top w:val="nil"/>
              <w:left w:val="nil"/>
              <w:bottom w:val="single" w:sz="4" w:space="0" w:color="auto"/>
              <w:right w:val="single" w:sz="4" w:space="0" w:color="auto"/>
            </w:tcBorders>
            <w:vAlign w:val="center"/>
            <w:hideMark/>
          </w:tcPr>
          <w:p w14:paraId="4FECD79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0.1</w:t>
            </w:r>
          </w:p>
        </w:tc>
        <w:tc>
          <w:tcPr>
            <w:tcW w:w="1276" w:type="dxa"/>
            <w:tcBorders>
              <w:top w:val="nil"/>
              <w:left w:val="nil"/>
              <w:bottom w:val="single" w:sz="4" w:space="0" w:color="auto"/>
              <w:right w:val="single" w:sz="4" w:space="0" w:color="auto"/>
            </w:tcBorders>
            <w:vAlign w:val="center"/>
            <w:hideMark/>
          </w:tcPr>
          <w:p w14:paraId="4C1793B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4,670</w:t>
            </w:r>
          </w:p>
        </w:tc>
        <w:tc>
          <w:tcPr>
            <w:tcW w:w="1276" w:type="dxa"/>
            <w:tcBorders>
              <w:top w:val="nil"/>
              <w:left w:val="nil"/>
              <w:bottom w:val="single" w:sz="4" w:space="0" w:color="auto"/>
              <w:right w:val="single" w:sz="4" w:space="0" w:color="auto"/>
            </w:tcBorders>
            <w:vAlign w:val="center"/>
            <w:hideMark/>
          </w:tcPr>
          <w:p w14:paraId="3F8BE2B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156</w:t>
            </w:r>
          </w:p>
        </w:tc>
      </w:tr>
      <w:tr w:rsidR="00CB4094" w:rsidRPr="00BC1ABD" w14:paraId="1923DE0B" w14:textId="77777777" w:rsidTr="00E95C58">
        <w:trPr>
          <w:trHeight w:val="300"/>
        </w:trPr>
        <w:tc>
          <w:tcPr>
            <w:tcW w:w="1813" w:type="dxa"/>
            <w:tcBorders>
              <w:top w:val="nil"/>
              <w:left w:val="single" w:sz="4" w:space="0" w:color="auto"/>
              <w:bottom w:val="single" w:sz="4" w:space="0" w:color="auto"/>
              <w:right w:val="single" w:sz="4" w:space="0" w:color="auto"/>
            </w:tcBorders>
            <w:vAlign w:val="bottom"/>
            <w:hideMark/>
          </w:tcPr>
          <w:p w14:paraId="238C12CF" w14:textId="3A79C7BF"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xDSL + </w:t>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 FWA</w:t>
            </w:r>
          </w:p>
        </w:tc>
        <w:tc>
          <w:tcPr>
            <w:tcW w:w="1228" w:type="dxa"/>
            <w:tcBorders>
              <w:top w:val="nil"/>
              <w:left w:val="nil"/>
              <w:bottom w:val="single" w:sz="4" w:space="0" w:color="auto"/>
              <w:right w:val="single" w:sz="4" w:space="0" w:color="auto"/>
            </w:tcBorders>
            <w:vAlign w:val="center"/>
            <w:hideMark/>
          </w:tcPr>
          <w:p w14:paraId="4FBA439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99</w:t>
            </w:r>
          </w:p>
        </w:tc>
        <w:tc>
          <w:tcPr>
            <w:tcW w:w="1349" w:type="dxa"/>
            <w:tcBorders>
              <w:top w:val="nil"/>
              <w:left w:val="nil"/>
              <w:bottom w:val="single" w:sz="4" w:space="0" w:color="auto"/>
              <w:right w:val="single" w:sz="4" w:space="0" w:color="auto"/>
            </w:tcBorders>
            <w:vAlign w:val="center"/>
            <w:hideMark/>
          </w:tcPr>
          <w:p w14:paraId="37BF36F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803,573</w:t>
            </w:r>
          </w:p>
        </w:tc>
        <w:tc>
          <w:tcPr>
            <w:tcW w:w="1275" w:type="dxa"/>
            <w:tcBorders>
              <w:top w:val="nil"/>
              <w:left w:val="nil"/>
              <w:bottom w:val="single" w:sz="4" w:space="0" w:color="auto"/>
              <w:right w:val="single" w:sz="4" w:space="0" w:color="auto"/>
            </w:tcBorders>
            <w:vAlign w:val="center"/>
            <w:hideMark/>
          </w:tcPr>
          <w:p w14:paraId="3DAC966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64.2</w:t>
            </w:r>
          </w:p>
        </w:tc>
        <w:tc>
          <w:tcPr>
            <w:tcW w:w="1276" w:type="dxa"/>
            <w:tcBorders>
              <w:top w:val="nil"/>
              <w:left w:val="nil"/>
              <w:bottom w:val="single" w:sz="4" w:space="0" w:color="auto"/>
              <w:right w:val="single" w:sz="4" w:space="0" w:color="auto"/>
            </w:tcBorders>
            <w:vAlign w:val="center"/>
            <w:hideMark/>
          </w:tcPr>
          <w:p w14:paraId="2112736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2,156,162</w:t>
            </w:r>
          </w:p>
        </w:tc>
        <w:tc>
          <w:tcPr>
            <w:tcW w:w="1276" w:type="dxa"/>
            <w:tcBorders>
              <w:top w:val="nil"/>
              <w:left w:val="nil"/>
              <w:bottom w:val="single" w:sz="4" w:space="0" w:color="auto"/>
              <w:right w:val="single" w:sz="4" w:space="0" w:color="auto"/>
            </w:tcBorders>
            <w:vAlign w:val="center"/>
            <w:hideMark/>
          </w:tcPr>
          <w:p w14:paraId="5BE2715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776,338</w:t>
            </w:r>
          </w:p>
        </w:tc>
      </w:tr>
      <w:tr w:rsidR="00CB4094" w:rsidRPr="00BC1ABD" w14:paraId="61BEC229" w14:textId="77777777" w:rsidTr="00E95C58">
        <w:trPr>
          <w:trHeight w:val="300"/>
        </w:trPr>
        <w:tc>
          <w:tcPr>
            <w:tcW w:w="1813" w:type="dxa"/>
            <w:tcBorders>
              <w:top w:val="nil"/>
              <w:left w:val="single" w:sz="4" w:space="0" w:color="auto"/>
              <w:bottom w:val="single" w:sz="4" w:space="0" w:color="auto"/>
              <w:right w:val="single" w:sz="4" w:space="0" w:color="auto"/>
            </w:tcBorders>
            <w:vAlign w:val="bottom"/>
            <w:hideMark/>
          </w:tcPr>
          <w:p w14:paraId="100A1CFF" w14:textId="6CF0B370"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xDSL + </w:t>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w:t>
            </w:r>
          </w:p>
        </w:tc>
        <w:tc>
          <w:tcPr>
            <w:tcW w:w="1228" w:type="dxa"/>
            <w:tcBorders>
              <w:top w:val="nil"/>
              <w:left w:val="nil"/>
              <w:bottom w:val="single" w:sz="4" w:space="0" w:color="auto"/>
              <w:right w:val="single" w:sz="4" w:space="0" w:color="auto"/>
            </w:tcBorders>
            <w:vAlign w:val="center"/>
            <w:hideMark/>
          </w:tcPr>
          <w:p w14:paraId="6F0723A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w:t>
            </w:r>
          </w:p>
        </w:tc>
        <w:tc>
          <w:tcPr>
            <w:tcW w:w="1349" w:type="dxa"/>
            <w:tcBorders>
              <w:top w:val="nil"/>
              <w:left w:val="nil"/>
              <w:bottom w:val="single" w:sz="4" w:space="0" w:color="auto"/>
              <w:right w:val="single" w:sz="4" w:space="0" w:color="auto"/>
            </w:tcBorders>
            <w:vAlign w:val="center"/>
            <w:hideMark/>
          </w:tcPr>
          <w:p w14:paraId="7FF070C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2,647</w:t>
            </w:r>
          </w:p>
        </w:tc>
        <w:tc>
          <w:tcPr>
            <w:tcW w:w="1275" w:type="dxa"/>
            <w:tcBorders>
              <w:top w:val="nil"/>
              <w:left w:val="nil"/>
              <w:bottom w:val="single" w:sz="4" w:space="0" w:color="auto"/>
              <w:right w:val="single" w:sz="4" w:space="0" w:color="auto"/>
            </w:tcBorders>
            <w:vAlign w:val="center"/>
            <w:hideMark/>
          </w:tcPr>
          <w:p w14:paraId="462430E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0.2</w:t>
            </w:r>
          </w:p>
        </w:tc>
        <w:tc>
          <w:tcPr>
            <w:tcW w:w="1276" w:type="dxa"/>
            <w:tcBorders>
              <w:top w:val="nil"/>
              <w:left w:val="nil"/>
              <w:bottom w:val="single" w:sz="4" w:space="0" w:color="auto"/>
              <w:right w:val="single" w:sz="4" w:space="0" w:color="auto"/>
            </w:tcBorders>
            <w:vAlign w:val="center"/>
            <w:hideMark/>
          </w:tcPr>
          <w:p w14:paraId="7575E6C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8,824</w:t>
            </w:r>
          </w:p>
        </w:tc>
        <w:tc>
          <w:tcPr>
            <w:tcW w:w="1276" w:type="dxa"/>
            <w:tcBorders>
              <w:top w:val="nil"/>
              <w:left w:val="nil"/>
              <w:bottom w:val="single" w:sz="4" w:space="0" w:color="auto"/>
              <w:right w:val="single" w:sz="4" w:space="0" w:color="auto"/>
            </w:tcBorders>
            <w:vAlign w:val="center"/>
            <w:hideMark/>
          </w:tcPr>
          <w:p w14:paraId="472496E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2,478</w:t>
            </w:r>
          </w:p>
        </w:tc>
      </w:tr>
      <w:tr w:rsidR="00CB4094" w:rsidRPr="00BC1ABD" w14:paraId="5607C1EA" w14:textId="77777777" w:rsidTr="00E95C58">
        <w:trPr>
          <w:trHeight w:val="300"/>
        </w:trPr>
        <w:tc>
          <w:tcPr>
            <w:tcW w:w="1813" w:type="dxa"/>
            <w:tcBorders>
              <w:top w:val="nil"/>
              <w:left w:val="single" w:sz="4" w:space="0" w:color="auto"/>
              <w:bottom w:val="single" w:sz="4" w:space="0" w:color="auto"/>
              <w:right w:val="single" w:sz="4" w:space="0" w:color="auto"/>
            </w:tcBorders>
            <w:vAlign w:val="bottom"/>
            <w:hideMark/>
          </w:tcPr>
          <w:p w14:paraId="6E2B8458" w14:textId="1749B979"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xDSL</w:t>
            </w:r>
            <w:r w:rsidR="00F1626D">
              <w:rPr>
                <w:rFonts w:eastAsia="Times New Roman" w:cs="Calibri"/>
                <w:b/>
                <w:bCs/>
                <w:color w:val="000000"/>
                <w:lang w:val="en-GB" w:eastAsia="sl-SI"/>
              </w:rPr>
              <w:t xml:space="preserve"> </w:t>
            </w:r>
            <w:r w:rsidRPr="00BC1ABD">
              <w:rPr>
                <w:rFonts w:eastAsia="Times New Roman" w:cs="Calibri"/>
                <w:b/>
                <w:bCs/>
                <w:color w:val="000000"/>
                <w:lang w:val="en-GB" w:eastAsia="sl-SI"/>
              </w:rPr>
              <w:t>+</w:t>
            </w:r>
            <w:r w:rsidR="00F1626D">
              <w:rPr>
                <w:rFonts w:eastAsia="Times New Roman" w:cs="Calibri"/>
                <w:b/>
                <w:bCs/>
                <w:color w:val="000000"/>
                <w:lang w:val="en-GB" w:eastAsia="sl-SI"/>
              </w:rPr>
              <w:t xml:space="preserve"> </w:t>
            </w:r>
            <w:r w:rsidRPr="00BC1ABD">
              <w:rPr>
                <w:rFonts w:eastAsia="Times New Roman" w:cs="Calibri"/>
                <w:b/>
                <w:bCs/>
                <w:color w:val="000000"/>
                <w:lang w:val="en-GB" w:eastAsia="sl-SI"/>
              </w:rPr>
              <w:t>FWA</w:t>
            </w:r>
          </w:p>
        </w:tc>
        <w:tc>
          <w:tcPr>
            <w:tcW w:w="1228" w:type="dxa"/>
            <w:tcBorders>
              <w:top w:val="nil"/>
              <w:left w:val="nil"/>
              <w:bottom w:val="single" w:sz="4" w:space="0" w:color="auto"/>
              <w:right w:val="single" w:sz="4" w:space="0" w:color="auto"/>
            </w:tcBorders>
            <w:vAlign w:val="center"/>
            <w:hideMark/>
          </w:tcPr>
          <w:p w14:paraId="168121E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31</w:t>
            </w:r>
          </w:p>
        </w:tc>
        <w:tc>
          <w:tcPr>
            <w:tcW w:w="1349" w:type="dxa"/>
            <w:tcBorders>
              <w:top w:val="nil"/>
              <w:left w:val="nil"/>
              <w:bottom w:val="single" w:sz="4" w:space="0" w:color="auto"/>
              <w:right w:val="single" w:sz="4" w:space="0" w:color="auto"/>
            </w:tcBorders>
            <w:vAlign w:val="center"/>
            <w:hideMark/>
          </w:tcPr>
          <w:p w14:paraId="72FF419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5,917</w:t>
            </w:r>
          </w:p>
        </w:tc>
        <w:tc>
          <w:tcPr>
            <w:tcW w:w="1275" w:type="dxa"/>
            <w:tcBorders>
              <w:top w:val="nil"/>
              <w:left w:val="nil"/>
              <w:bottom w:val="single" w:sz="4" w:space="0" w:color="auto"/>
              <w:right w:val="single" w:sz="4" w:space="0" w:color="auto"/>
            </w:tcBorders>
            <w:vAlign w:val="center"/>
            <w:hideMark/>
          </w:tcPr>
          <w:p w14:paraId="4584E69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0.5</w:t>
            </w:r>
          </w:p>
        </w:tc>
        <w:tc>
          <w:tcPr>
            <w:tcW w:w="1276" w:type="dxa"/>
            <w:tcBorders>
              <w:top w:val="nil"/>
              <w:left w:val="nil"/>
              <w:bottom w:val="single" w:sz="4" w:space="0" w:color="auto"/>
              <w:right w:val="single" w:sz="4" w:space="0" w:color="auto"/>
            </w:tcBorders>
            <w:vAlign w:val="center"/>
            <w:hideMark/>
          </w:tcPr>
          <w:p w14:paraId="168E544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22,466</w:t>
            </w:r>
          </w:p>
        </w:tc>
        <w:tc>
          <w:tcPr>
            <w:tcW w:w="1276" w:type="dxa"/>
            <w:tcBorders>
              <w:top w:val="nil"/>
              <w:left w:val="nil"/>
              <w:bottom w:val="single" w:sz="4" w:space="0" w:color="auto"/>
              <w:right w:val="single" w:sz="4" w:space="0" w:color="auto"/>
            </w:tcBorders>
            <w:vAlign w:val="center"/>
            <w:hideMark/>
          </w:tcPr>
          <w:p w14:paraId="6D439DC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2,019</w:t>
            </w:r>
          </w:p>
        </w:tc>
      </w:tr>
      <w:tr w:rsidR="00CB4094" w:rsidRPr="00BC1ABD" w14:paraId="4A62D934" w14:textId="77777777" w:rsidTr="00E95C58">
        <w:trPr>
          <w:trHeight w:val="252"/>
        </w:trPr>
        <w:tc>
          <w:tcPr>
            <w:tcW w:w="1813" w:type="dxa"/>
            <w:tcBorders>
              <w:top w:val="nil"/>
              <w:left w:val="single" w:sz="4" w:space="0" w:color="auto"/>
              <w:bottom w:val="single" w:sz="4" w:space="0" w:color="auto"/>
              <w:right w:val="single" w:sz="4" w:space="0" w:color="auto"/>
            </w:tcBorders>
            <w:vAlign w:val="bottom"/>
            <w:hideMark/>
          </w:tcPr>
          <w:p w14:paraId="02A70EE5"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Uncovered by xDSL</w:t>
            </w:r>
          </w:p>
        </w:tc>
        <w:tc>
          <w:tcPr>
            <w:tcW w:w="1228" w:type="dxa"/>
            <w:tcBorders>
              <w:top w:val="nil"/>
              <w:left w:val="nil"/>
              <w:bottom w:val="single" w:sz="4" w:space="0" w:color="auto"/>
              <w:right w:val="single" w:sz="4" w:space="0" w:color="auto"/>
            </w:tcBorders>
            <w:vAlign w:val="center"/>
            <w:hideMark/>
          </w:tcPr>
          <w:p w14:paraId="5DF3155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3,449</w:t>
            </w:r>
          </w:p>
        </w:tc>
        <w:tc>
          <w:tcPr>
            <w:tcW w:w="1349" w:type="dxa"/>
            <w:tcBorders>
              <w:top w:val="nil"/>
              <w:left w:val="nil"/>
              <w:bottom w:val="single" w:sz="4" w:space="0" w:color="auto"/>
              <w:right w:val="single" w:sz="4" w:space="0" w:color="auto"/>
            </w:tcBorders>
            <w:vAlign w:val="center"/>
            <w:hideMark/>
          </w:tcPr>
          <w:p w14:paraId="5186CCF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438,659</w:t>
            </w:r>
          </w:p>
        </w:tc>
        <w:tc>
          <w:tcPr>
            <w:tcW w:w="1275" w:type="dxa"/>
            <w:tcBorders>
              <w:top w:val="nil"/>
              <w:left w:val="nil"/>
              <w:bottom w:val="single" w:sz="4" w:space="0" w:color="auto"/>
              <w:right w:val="single" w:sz="4" w:space="0" w:color="auto"/>
            </w:tcBorders>
            <w:vAlign w:val="center"/>
            <w:hideMark/>
          </w:tcPr>
          <w:p w14:paraId="3B7274E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35.0</w:t>
            </w:r>
          </w:p>
        </w:tc>
        <w:tc>
          <w:tcPr>
            <w:tcW w:w="1276" w:type="dxa"/>
            <w:tcBorders>
              <w:top w:val="nil"/>
              <w:left w:val="nil"/>
              <w:bottom w:val="single" w:sz="4" w:space="0" w:color="auto"/>
              <w:right w:val="single" w:sz="4" w:space="0" w:color="auto"/>
            </w:tcBorders>
            <w:vAlign w:val="center"/>
            <w:hideMark/>
          </w:tcPr>
          <w:p w14:paraId="30FB92D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1,487,623</w:t>
            </w:r>
          </w:p>
        </w:tc>
        <w:tc>
          <w:tcPr>
            <w:tcW w:w="1276" w:type="dxa"/>
            <w:tcBorders>
              <w:top w:val="nil"/>
              <w:left w:val="nil"/>
              <w:bottom w:val="single" w:sz="4" w:space="0" w:color="auto"/>
              <w:right w:val="single" w:sz="4" w:space="0" w:color="auto"/>
            </w:tcBorders>
            <w:vAlign w:val="center"/>
            <w:hideMark/>
          </w:tcPr>
          <w:p w14:paraId="3E3D228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175,936</w:t>
            </w:r>
          </w:p>
        </w:tc>
      </w:tr>
      <w:tr w:rsidR="00CB4094" w:rsidRPr="00BC1ABD" w14:paraId="63AB599C" w14:textId="77777777" w:rsidTr="00E95C58">
        <w:trPr>
          <w:trHeight w:val="300"/>
        </w:trPr>
        <w:tc>
          <w:tcPr>
            <w:tcW w:w="1813"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4D338E42"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TOTAL</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DE5692B"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3,605</w:t>
            </w:r>
          </w:p>
        </w:tc>
        <w:tc>
          <w:tcPr>
            <w:tcW w:w="134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50085BD"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1,251,975</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0178BD0"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100.0</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125B70A0"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3,679,745</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8FC573B"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956,927</w:t>
            </w:r>
          </w:p>
        </w:tc>
      </w:tr>
      <w:tr w:rsidR="00CB4094" w:rsidRPr="00BC1ABD" w14:paraId="1E1460B5" w14:textId="77777777" w:rsidTr="00E95C58">
        <w:trPr>
          <w:trHeight w:val="135"/>
        </w:trPr>
        <w:tc>
          <w:tcPr>
            <w:tcW w:w="1813" w:type="dxa"/>
            <w:tcBorders>
              <w:top w:val="nil"/>
              <w:left w:val="nil"/>
              <w:bottom w:val="nil"/>
              <w:right w:val="nil"/>
            </w:tcBorders>
            <w:vAlign w:val="bottom"/>
            <w:hideMark/>
          </w:tcPr>
          <w:p w14:paraId="3F999415"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p>
        </w:tc>
        <w:tc>
          <w:tcPr>
            <w:tcW w:w="1228" w:type="dxa"/>
            <w:tcBorders>
              <w:top w:val="nil"/>
              <w:left w:val="nil"/>
              <w:bottom w:val="nil"/>
              <w:right w:val="nil"/>
            </w:tcBorders>
            <w:vAlign w:val="center"/>
            <w:hideMark/>
          </w:tcPr>
          <w:p w14:paraId="01D2BE60" w14:textId="77777777" w:rsidR="00CB4094" w:rsidRPr="00BC1ABD" w:rsidRDefault="00CB4094" w:rsidP="00CB4094">
            <w:pPr>
              <w:spacing w:after="0" w:line="240" w:lineRule="auto"/>
              <w:jc w:val="center"/>
              <w:rPr>
                <w:rFonts w:ascii="Times New Roman" w:eastAsia="Times New Roman" w:hAnsi="Times New Roman"/>
                <w:sz w:val="20"/>
                <w:szCs w:val="20"/>
                <w:lang w:val="en-GB" w:eastAsia="sl-SI"/>
              </w:rPr>
            </w:pPr>
          </w:p>
        </w:tc>
        <w:tc>
          <w:tcPr>
            <w:tcW w:w="1349" w:type="dxa"/>
            <w:tcBorders>
              <w:top w:val="nil"/>
              <w:left w:val="nil"/>
              <w:bottom w:val="nil"/>
              <w:right w:val="nil"/>
            </w:tcBorders>
            <w:vAlign w:val="center"/>
            <w:hideMark/>
          </w:tcPr>
          <w:p w14:paraId="0CDE2D10"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5" w:type="dxa"/>
            <w:tcBorders>
              <w:top w:val="nil"/>
              <w:left w:val="nil"/>
              <w:bottom w:val="nil"/>
              <w:right w:val="nil"/>
            </w:tcBorders>
            <w:vAlign w:val="center"/>
            <w:hideMark/>
          </w:tcPr>
          <w:p w14:paraId="42737D88"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6" w:type="dxa"/>
            <w:tcBorders>
              <w:top w:val="nil"/>
              <w:left w:val="nil"/>
              <w:bottom w:val="nil"/>
              <w:right w:val="nil"/>
            </w:tcBorders>
            <w:vAlign w:val="center"/>
            <w:hideMark/>
          </w:tcPr>
          <w:p w14:paraId="63A39626"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6" w:type="dxa"/>
            <w:tcBorders>
              <w:top w:val="nil"/>
              <w:left w:val="nil"/>
              <w:bottom w:val="nil"/>
              <w:right w:val="nil"/>
            </w:tcBorders>
            <w:vAlign w:val="center"/>
            <w:hideMark/>
          </w:tcPr>
          <w:p w14:paraId="15C412DD"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r>
      <w:tr w:rsidR="00CB4094" w:rsidRPr="00BC1ABD" w14:paraId="7EBDE037" w14:textId="77777777" w:rsidTr="00E95C58">
        <w:trPr>
          <w:trHeight w:val="600"/>
        </w:trPr>
        <w:tc>
          <w:tcPr>
            <w:tcW w:w="1813" w:type="dxa"/>
            <w:tcBorders>
              <w:top w:val="single" w:sz="4" w:space="0" w:color="auto"/>
              <w:left w:val="single" w:sz="4" w:space="0" w:color="auto"/>
              <w:bottom w:val="single" w:sz="4" w:space="0" w:color="auto"/>
              <w:right w:val="single" w:sz="4" w:space="0" w:color="auto"/>
            </w:tcBorders>
            <w:vAlign w:val="bottom"/>
            <w:hideMark/>
          </w:tcPr>
          <w:p w14:paraId="0ECED0FB" w14:textId="6920D3B5"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Tbilisi</w:t>
            </w:r>
            <w:r w:rsidRPr="00BC1ABD">
              <w:rPr>
                <w:rFonts w:eastAsia="Times New Roman" w:cs="Calibri"/>
                <w:b/>
                <w:bCs/>
                <w:color w:val="000000"/>
                <w:lang w:val="en-GB" w:eastAsia="sl-SI"/>
              </w:rPr>
              <w:br/>
              <w:t xml:space="preserve">xDSL + </w:t>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 FWA</w:t>
            </w:r>
          </w:p>
        </w:tc>
        <w:tc>
          <w:tcPr>
            <w:tcW w:w="1228" w:type="dxa"/>
            <w:tcBorders>
              <w:top w:val="single" w:sz="4" w:space="0" w:color="auto"/>
              <w:left w:val="nil"/>
              <w:bottom w:val="single" w:sz="4" w:space="0" w:color="auto"/>
              <w:right w:val="single" w:sz="4" w:space="0" w:color="auto"/>
            </w:tcBorders>
            <w:vAlign w:val="center"/>
            <w:hideMark/>
          </w:tcPr>
          <w:p w14:paraId="2F33DCC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w:t>
            </w:r>
          </w:p>
        </w:tc>
        <w:tc>
          <w:tcPr>
            <w:tcW w:w="1349" w:type="dxa"/>
            <w:tcBorders>
              <w:top w:val="single" w:sz="4" w:space="0" w:color="auto"/>
              <w:left w:val="nil"/>
              <w:bottom w:val="single" w:sz="4" w:space="0" w:color="auto"/>
              <w:right w:val="single" w:sz="4" w:space="0" w:color="auto"/>
            </w:tcBorders>
            <w:vAlign w:val="center"/>
            <w:hideMark/>
          </w:tcPr>
          <w:p w14:paraId="73A90BC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464,688</w:t>
            </w:r>
          </w:p>
        </w:tc>
        <w:tc>
          <w:tcPr>
            <w:tcW w:w="1275" w:type="dxa"/>
            <w:tcBorders>
              <w:top w:val="single" w:sz="4" w:space="0" w:color="auto"/>
              <w:left w:val="nil"/>
              <w:bottom w:val="single" w:sz="4" w:space="0" w:color="auto"/>
              <w:right w:val="single" w:sz="4" w:space="0" w:color="auto"/>
            </w:tcBorders>
            <w:vAlign w:val="center"/>
            <w:hideMark/>
          </w:tcPr>
          <w:p w14:paraId="3736344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37.1</w:t>
            </w:r>
          </w:p>
        </w:tc>
        <w:tc>
          <w:tcPr>
            <w:tcW w:w="1276" w:type="dxa"/>
            <w:tcBorders>
              <w:top w:val="single" w:sz="4" w:space="0" w:color="auto"/>
              <w:left w:val="nil"/>
              <w:bottom w:val="single" w:sz="4" w:space="0" w:color="auto"/>
              <w:right w:val="single" w:sz="4" w:space="0" w:color="auto"/>
            </w:tcBorders>
            <w:vAlign w:val="center"/>
            <w:hideMark/>
          </w:tcPr>
          <w:p w14:paraId="357F5C6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1,108,717</w:t>
            </w:r>
          </w:p>
        </w:tc>
        <w:tc>
          <w:tcPr>
            <w:tcW w:w="1276" w:type="dxa"/>
            <w:tcBorders>
              <w:top w:val="single" w:sz="4" w:space="0" w:color="auto"/>
              <w:left w:val="nil"/>
              <w:bottom w:val="single" w:sz="4" w:space="0" w:color="auto"/>
              <w:right w:val="single" w:sz="4" w:space="0" w:color="auto"/>
            </w:tcBorders>
            <w:vAlign w:val="center"/>
            <w:hideMark/>
          </w:tcPr>
          <w:p w14:paraId="7209D85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425,610</w:t>
            </w:r>
          </w:p>
        </w:tc>
      </w:tr>
      <w:tr w:rsidR="00CB4094" w:rsidRPr="00BC1ABD" w14:paraId="7DACD28E" w14:textId="77777777" w:rsidTr="00E95C58">
        <w:trPr>
          <w:trHeight w:val="600"/>
        </w:trPr>
        <w:tc>
          <w:tcPr>
            <w:tcW w:w="1813" w:type="dxa"/>
            <w:tcBorders>
              <w:top w:val="single" w:sz="4" w:space="0" w:color="auto"/>
              <w:left w:val="single" w:sz="4" w:space="0" w:color="auto"/>
              <w:bottom w:val="single" w:sz="4" w:space="0" w:color="auto"/>
              <w:right w:val="single" w:sz="4" w:space="0" w:color="auto"/>
            </w:tcBorders>
            <w:vAlign w:val="bottom"/>
          </w:tcPr>
          <w:p w14:paraId="554F90FF" w14:textId="2B66C90E"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rPr>
              <w:t>Other</w:t>
            </w:r>
            <w:r w:rsidRPr="00BC1ABD">
              <w:rPr>
                <w:rFonts w:eastAsia="Times New Roman" w:cs="Calibri"/>
                <w:b/>
                <w:bCs/>
                <w:color w:val="000000"/>
                <w:lang w:val="en-GB"/>
              </w:rPr>
              <w:br/>
              <w:t xml:space="preserve">xDSL + </w:t>
            </w:r>
            <w:r w:rsidR="00592449">
              <w:rPr>
                <w:rFonts w:eastAsia="Times New Roman" w:cs="Calibri"/>
                <w:b/>
                <w:bCs/>
                <w:color w:val="000000"/>
                <w:lang w:val="en-GB"/>
              </w:rPr>
              <w:t>FTTx</w:t>
            </w:r>
            <w:r w:rsidRPr="00BC1ABD">
              <w:rPr>
                <w:rFonts w:eastAsia="Times New Roman" w:cs="Calibri"/>
                <w:b/>
                <w:bCs/>
                <w:color w:val="000000"/>
                <w:lang w:val="en-GB"/>
              </w:rPr>
              <w:t xml:space="preserve"> + FWA</w:t>
            </w:r>
          </w:p>
        </w:tc>
        <w:tc>
          <w:tcPr>
            <w:tcW w:w="1228" w:type="dxa"/>
            <w:tcBorders>
              <w:top w:val="single" w:sz="4" w:space="0" w:color="auto"/>
              <w:left w:val="nil"/>
              <w:bottom w:val="single" w:sz="4" w:space="0" w:color="auto"/>
              <w:right w:val="single" w:sz="4" w:space="0" w:color="auto"/>
            </w:tcBorders>
            <w:vAlign w:val="center"/>
          </w:tcPr>
          <w:p w14:paraId="687A599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98</w:t>
            </w:r>
          </w:p>
        </w:tc>
        <w:tc>
          <w:tcPr>
            <w:tcW w:w="1349" w:type="dxa"/>
            <w:tcBorders>
              <w:top w:val="single" w:sz="4" w:space="0" w:color="auto"/>
              <w:left w:val="nil"/>
              <w:bottom w:val="single" w:sz="4" w:space="0" w:color="auto"/>
              <w:right w:val="single" w:sz="4" w:space="0" w:color="auto"/>
            </w:tcBorders>
            <w:vAlign w:val="center"/>
          </w:tcPr>
          <w:p w14:paraId="38CB85E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338,885</w:t>
            </w:r>
          </w:p>
        </w:tc>
        <w:tc>
          <w:tcPr>
            <w:tcW w:w="1275" w:type="dxa"/>
            <w:tcBorders>
              <w:top w:val="single" w:sz="4" w:space="0" w:color="auto"/>
              <w:left w:val="nil"/>
              <w:bottom w:val="single" w:sz="4" w:space="0" w:color="auto"/>
              <w:right w:val="single" w:sz="4" w:space="0" w:color="auto"/>
            </w:tcBorders>
            <w:vAlign w:val="center"/>
          </w:tcPr>
          <w:p w14:paraId="72DC50B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27.1</w:t>
            </w:r>
          </w:p>
        </w:tc>
        <w:tc>
          <w:tcPr>
            <w:tcW w:w="1276" w:type="dxa"/>
            <w:tcBorders>
              <w:top w:val="single" w:sz="4" w:space="0" w:color="auto"/>
              <w:left w:val="nil"/>
              <w:bottom w:val="single" w:sz="4" w:space="0" w:color="auto"/>
              <w:right w:val="single" w:sz="4" w:space="0" w:color="auto"/>
            </w:tcBorders>
            <w:vAlign w:val="center"/>
          </w:tcPr>
          <w:p w14:paraId="09119B5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1,047,445</w:t>
            </w:r>
          </w:p>
        </w:tc>
        <w:tc>
          <w:tcPr>
            <w:tcW w:w="1276" w:type="dxa"/>
            <w:tcBorders>
              <w:top w:val="single" w:sz="4" w:space="0" w:color="auto"/>
              <w:left w:val="nil"/>
              <w:bottom w:val="single" w:sz="4" w:space="0" w:color="auto"/>
              <w:right w:val="single" w:sz="4" w:space="0" w:color="auto"/>
            </w:tcBorders>
            <w:vAlign w:val="center"/>
          </w:tcPr>
          <w:p w14:paraId="0380C25B"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350,728</w:t>
            </w:r>
          </w:p>
        </w:tc>
      </w:tr>
    </w:tbl>
    <w:p w14:paraId="6A1685F3" w14:textId="77777777" w:rsidR="00CB4094" w:rsidRPr="00BC1ABD" w:rsidRDefault="00CB4094" w:rsidP="00CB4094">
      <w:pPr>
        <w:spacing w:line="240" w:lineRule="auto"/>
        <w:jc w:val="center"/>
        <w:rPr>
          <w:rFonts w:asciiTheme="minorHAnsi" w:eastAsia="Times New Roman" w:hAnsiTheme="minorHAnsi"/>
          <w:color w:val="44546A" w:themeColor="text2"/>
          <w:sz w:val="2"/>
          <w:szCs w:val="2"/>
          <w:lang w:val="en-GB"/>
        </w:rPr>
      </w:pPr>
    </w:p>
    <w:p w14:paraId="7D1D988F" w14:textId="77777777" w:rsidR="00CB4094" w:rsidRPr="00BC1ABD" w:rsidRDefault="00CB4094" w:rsidP="00CB4094">
      <w:pPr>
        <w:spacing w:line="240" w:lineRule="auto"/>
        <w:jc w:val="center"/>
        <w:rPr>
          <w:rFonts w:asciiTheme="minorHAnsi" w:eastAsia="Times New Roman" w:hAnsiTheme="minorHAnsi" w:cs="Arial"/>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color w:val="44546A" w:themeColor="text2"/>
          <w:sz w:val="20"/>
          <w:szCs w:val="20"/>
          <w:lang w:val="en-GB"/>
        </w:rPr>
        <w:t>Answers to the Questionnaire on coverage</w:t>
      </w:r>
    </w:p>
    <w:p w14:paraId="7372AB9E" w14:textId="77777777" w:rsidR="00CB4094" w:rsidRPr="00BC1ABD" w:rsidRDefault="00CB4094" w:rsidP="00CB4094">
      <w:pPr>
        <w:spacing w:line="240" w:lineRule="auto"/>
        <w:rPr>
          <w:rFonts w:asciiTheme="minorHAnsi" w:eastAsia="Times New Roman" w:hAnsiTheme="minorHAnsi"/>
          <w:i/>
          <w:iCs/>
          <w:color w:val="44546A" w:themeColor="text2"/>
          <w:sz w:val="20"/>
          <w:szCs w:val="20"/>
          <w:lang w:val="en-GB"/>
        </w:rPr>
      </w:pPr>
    </w:p>
    <w:p w14:paraId="112ECE67" w14:textId="539F397A"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77" w:name="_Toc141200249"/>
      <w:bookmarkStart w:id="78" w:name="_Toc152931360"/>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9</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Technology overlap: xDSL vs other technologies</w:t>
      </w:r>
      <w:bookmarkEnd w:id="77"/>
      <w:bookmarkEnd w:id="78"/>
    </w:p>
    <w:p w14:paraId="4BB0FE96" w14:textId="04BA1116" w:rsidR="00CB4094" w:rsidRPr="00BC1ABD" w:rsidRDefault="00CB4094" w:rsidP="00CB4094">
      <w:pPr>
        <w:jc w:val="both"/>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56A4DF9E" wp14:editId="2A0108C4">
            <wp:extent cx="5760720" cy="2656205"/>
            <wp:effectExtent l="0" t="0" r="0" b="0"/>
            <wp:docPr id="991960706" name="Slika 2" descr="Slika na kojoj se prikazuje tekst, snimka zaslona, broj, radnj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60706" name="Slika 2" descr="Slika na kojoj se prikazuje tekst, snimka zaslona, broj, radnja&#10;&#10;Opis je automatski generira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2656205"/>
                    </a:xfrm>
                    <a:prstGeom prst="rect">
                      <a:avLst/>
                    </a:prstGeom>
                    <a:noFill/>
                    <a:ln>
                      <a:noFill/>
                    </a:ln>
                  </pic:spPr>
                </pic:pic>
              </a:graphicData>
            </a:graphic>
          </wp:inline>
        </w:drawing>
      </w:r>
    </w:p>
    <w:p w14:paraId="6023B108"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544B795D" w14:textId="213BF30F"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Unlike in many EU countries, the number of settlements with only xDSL presence is low (around 0.1% of all households). xDSL networks are therefore almost 100% overlapping with </w:t>
      </w:r>
      <w:r w:rsidR="00592449">
        <w:rPr>
          <w:rFonts w:eastAsia="Times New Roman" w:cs="Arial"/>
          <w:sz w:val="24"/>
          <w:szCs w:val="24"/>
          <w:lang w:val="en-GB"/>
        </w:rPr>
        <w:t>FTTx</w:t>
      </w:r>
      <w:r w:rsidRPr="00BC1ABD">
        <w:rPr>
          <w:rFonts w:eastAsia="Times New Roman" w:cs="Arial"/>
          <w:sz w:val="24"/>
          <w:szCs w:val="24"/>
          <w:lang w:val="en-GB"/>
        </w:rPr>
        <w:t xml:space="preserve"> and FWA networks at a settlement level. It is not considered that in Georgia, all xDSL networks will be retired by the end of the forward-looking time horizon of this market analysis.</w:t>
      </w:r>
    </w:p>
    <w:p w14:paraId="0650E5FC"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bookmarkStart w:id="79" w:name="_Toc141200250"/>
    </w:p>
    <w:p w14:paraId="45125986"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45112DF1"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6EF8E220" w14:textId="77777777" w:rsidR="00723DBC" w:rsidRDefault="00723DBC" w:rsidP="00CB4094">
      <w:pPr>
        <w:spacing w:line="240" w:lineRule="auto"/>
        <w:jc w:val="center"/>
        <w:rPr>
          <w:rFonts w:asciiTheme="minorHAnsi" w:eastAsia="Times New Roman" w:hAnsiTheme="minorHAnsi"/>
          <w:i/>
          <w:iCs/>
          <w:color w:val="44546A" w:themeColor="text2"/>
          <w:sz w:val="20"/>
          <w:szCs w:val="20"/>
          <w:lang w:val="en-GB"/>
        </w:rPr>
      </w:pPr>
    </w:p>
    <w:p w14:paraId="35FC69F9" w14:textId="07053CC4"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80" w:name="_Toc152931361"/>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10</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Overlap of FWA networks with other technologies (fibre, copper)</w:t>
      </w:r>
      <w:bookmarkEnd w:id="79"/>
      <w:bookmarkEnd w:id="80"/>
    </w:p>
    <w:tbl>
      <w:tblPr>
        <w:tblW w:w="9208" w:type="dxa"/>
        <w:tblCellMar>
          <w:left w:w="70" w:type="dxa"/>
          <w:right w:w="70" w:type="dxa"/>
        </w:tblCellMar>
        <w:tblLook w:val="04A0" w:firstRow="1" w:lastRow="0" w:firstColumn="1" w:lastColumn="0" w:noHBand="0" w:noVBand="1"/>
      </w:tblPr>
      <w:tblGrid>
        <w:gridCol w:w="2042"/>
        <w:gridCol w:w="1385"/>
        <w:gridCol w:w="1420"/>
        <w:gridCol w:w="1383"/>
        <w:gridCol w:w="1438"/>
        <w:gridCol w:w="1540"/>
      </w:tblGrid>
      <w:tr w:rsidR="00CB4094" w:rsidRPr="00BC1ABD" w14:paraId="7048C91F" w14:textId="77777777" w:rsidTr="00E95C58">
        <w:trPr>
          <w:trHeight w:val="6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2F7A5238"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02B1033E"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settlements </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5BD60D48"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No of Households </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3DC85FFF"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 of total households </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4B178623"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Population </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bottom"/>
            <w:hideMark/>
          </w:tcPr>
          <w:p w14:paraId="6081D803" w14:textId="5971E569"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Subscri</w:t>
            </w:r>
            <w:r w:rsidR="00A44F66">
              <w:rPr>
                <w:rFonts w:eastAsia="Times New Roman" w:cs="Calibri"/>
                <w:b/>
                <w:bCs/>
                <w:color w:val="000000"/>
                <w:lang w:val="en-GB" w:eastAsia="sl-SI"/>
              </w:rPr>
              <w:t>p</w:t>
            </w:r>
            <w:r w:rsidRPr="00BC1ABD">
              <w:rPr>
                <w:rFonts w:eastAsia="Times New Roman" w:cs="Calibri"/>
                <w:b/>
                <w:bCs/>
                <w:color w:val="000000"/>
                <w:lang w:val="en-GB" w:eastAsia="sl-SI"/>
              </w:rPr>
              <w:t xml:space="preserve">tions </w:t>
            </w:r>
          </w:p>
        </w:tc>
      </w:tr>
      <w:tr w:rsidR="00CB4094" w:rsidRPr="00BC1ABD" w14:paraId="1C80C0D8"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3358A8E4"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FWA only</w:t>
            </w:r>
          </w:p>
        </w:tc>
        <w:tc>
          <w:tcPr>
            <w:tcW w:w="1228" w:type="dxa"/>
            <w:tcBorders>
              <w:top w:val="nil"/>
              <w:left w:val="nil"/>
              <w:bottom w:val="single" w:sz="4" w:space="0" w:color="auto"/>
              <w:right w:val="single" w:sz="4" w:space="0" w:color="auto"/>
            </w:tcBorders>
            <w:vAlign w:val="center"/>
            <w:hideMark/>
          </w:tcPr>
          <w:p w14:paraId="6B540BC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1,133</w:t>
            </w:r>
          </w:p>
        </w:tc>
        <w:tc>
          <w:tcPr>
            <w:tcW w:w="1259" w:type="dxa"/>
            <w:tcBorders>
              <w:top w:val="nil"/>
              <w:left w:val="nil"/>
              <w:bottom w:val="single" w:sz="4" w:space="0" w:color="auto"/>
              <w:right w:val="single" w:sz="4" w:space="0" w:color="auto"/>
            </w:tcBorders>
            <w:vAlign w:val="center"/>
            <w:hideMark/>
          </w:tcPr>
          <w:p w14:paraId="12544F5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121,153</w:t>
            </w:r>
          </w:p>
        </w:tc>
        <w:tc>
          <w:tcPr>
            <w:tcW w:w="1226" w:type="dxa"/>
            <w:tcBorders>
              <w:top w:val="nil"/>
              <w:left w:val="nil"/>
              <w:bottom w:val="single" w:sz="4" w:space="0" w:color="auto"/>
              <w:right w:val="single" w:sz="4" w:space="0" w:color="auto"/>
            </w:tcBorders>
            <w:vAlign w:val="center"/>
            <w:hideMark/>
          </w:tcPr>
          <w:p w14:paraId="4774C79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9.7</w:t>
            </w:r>
          </w:p>
        </w:tc>
        <w:tc>
          <w:tcPr>
            <w:tcW w:w="1275" w:type="dxa"/>
            <w:tcBorders>
              <w:top w:val="nil"/>
              <w:left w:val="nil"/>
              <w:bottom w:val="single" w:sz="4" w:space="0" w:color="auto"/>
              <w:right w:val="single" w:sz="4" w:space="0" w:color="auto"/>
            </w:tcBorders>
            <w:vAlign w:val="center"/>
            <w:hideMark/>
          </w:tcPr>
          <w:p w14:paraId="661A103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408,432</w:t>
            </w:r>
          </w:p>
        </w:tc>
        <w:tc>
          <w:tcPr>
            <w:tcW w:w="1276" w:type="dxa"/>
            <w:tcBorders>
              <w:top w:val="nil"/>
              <w:left w:val="nil"/>
              <w:bottom w:val="single" w:sz="4" w:space="0" w:color="auto"/>
              <w:right w:val="single" w:sz="4" w:space="0" w:color="auto"/>
            </w:tcBorders>
            <w:vAlign w:val="center"/>
            <w:hideMark/>
          </w:tcPr>
          <w:p w14:paraId="10EE2EA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28,340</w:t>
            </w:r>
          </w:p>
        </w:tc>
      </w:tr>
      <w:tr w:rsidR="00CB4094" w:rsidRPr="00BC1ABD" w14:paraId="1B8749A0"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1272E1D5" w14:textId="7400DE0C"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xml:space="preserve">FWA + xDSL + </w:t>
            </w:r>
            <w:r w:rsidR="00592449">
              <w:rPr>
                <w:rFonts w:eastAsia="Times New Roman" w:cs="Calibri"/>
                <w:b/>
                <w:bCs/>
                <w:color w:val="000000"/>
                <w:lang w:val="en-GB" w:eastAsia="sl-SI"/>
              </w:rPr>
              <w:t>FTTx</w:t>
            </w:r>
          </w:p>
        </w:tc>
        <w:tc>
          <w:tcPr>
            <w:tcW w:w="1228" w:type="dxa"/>
            <w:tcBorders>
              <w:top w:val="nil"/>
              <w:left w:val="nil"/>
              <w:bottom w:val="single" w:sz="4" w:space="0" w:color="auto"/>
              <w:right w:val="single" w:sz="4" w:space="0" w:color="auto"/>
            </w:tcBorders>
            <w:vAlign w:val="center"/>
            <w:hideMark/>
          </w:tcPr>
          <w:p w14:paraId="5C4E672B"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99</w:t>
            </w:r>
          </w:p>
        </w:tc>
        <w:tc>
          <w:tcPr>
            <w:tcW w:w="1259" w:type="dxa"/>
            <w:tcBorders>
              <w:top w:val="nil"/>
              <w:left w:val="nil"/>
              <w:bottom w:val="single" w:sz="4" w:space="0" w:color="auto"/>
              <w:right w:val="single" w:sz="4" w:space="0" w:color="auto"/>
            </w:tcBorders>
            <w:vAlign w:val="center"/>
            <w:hideMark/>
          </w:tcPr>
          <w:p w14:paraId="46D8BEB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803,573</w:t>
            </w:r>
          </w:p>
        </w:tc>
        <w:tc>
          <w:tcPr>
            <w:tcW w:w="1226" w:type="dxa"/>
            <w:tcBorders>
              <w:top w:val="nil"/>
              <w:left w:val="nil"/>
              <w:bottom w:val="single" w:sz="4" w:space="0" w:color="auto"/>
              <w:right w:val="single" w:sz="4" w:space="0" w:color="auto"/>
            </w:tcBorders>
            <w:vAlign w:val="center"/>
            <w:hideMark/>
          </w:tcPr>
          <w:p w14:paraId="0418D05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64.2</w:t>
            </w:r>
          </w:p>
        </w:tc>
        <w:tc>
          <w:tcPr>
            <w:tcW w:w="1275" w:type="dxa"/>
            <w:tcBorders>
              <w:top w:val="nil"/>
              <w:left w:val="nil"/>
              <w:bottom w:val="single" w:sz="4" w:space="0" w:color="auto"/>
              <w:right w:val="single" w:sz="4" w:space="0" w:color="auto"/>
            </w:tcBorders>
            <w:vAlign w:val="center"/>
            <w:hideMark/>
          </w:tcPr>
          <w:p w14:paraId="46FC6D7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2,156,162</w:t>
            </w:r>
          </w:p>
        </w:tc>
        <w:tc>
          <w:tcPr>
            <w:tcW w:w="1276" w:type="dxa"/>
            <w:tcBorders>
              <w:top w:val="nil"/>
              <w:left w:val="nil"/>
              <w:bottom w:val="single" w:sz="4" w:space="0" w:color="auto"/>
              <w:right w:val="single" w:sz="4" w:space="0" w:color="auto"/>
            </w:tcBorders>
            <w:vAlign w:val="center"/>
            <w:hideMark/>
          </w:tcPr>
          <w:p w14:paraId="5D01723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776,338</w:t>
            </w:r>
          </w:p>
        </w:tc>
      </w:tr>
      <w:tr w:rsidR="00CB4094" w:rsidRPr="00BC1ABD" w14:paraId="7E776F31"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302047F5" w14:textId="0C92C478"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FWA</w:t>
            </w:r>
            <w:r w:rsidR="00B455B3">
              <w:rPr>
                <w:rFonts w:eastAsia="Times New Roman" w:cs="Calibri"/>
                <w:b/>
                <w:bCs/>
                <w:color w:val="000000"/>
                <w:lang w:val="en-GB" w:eastAsia="sl-SI"/>
              </w:rPr>
              <w:t xml:space="preserve"> </w:t>
            </w:r>
            <w:r w:rsidRPr="00BC1ABD">
              <w:rPr>
                <w:rFonts w:eastAsia="Times New Roman" w:cs="Calibri"/>
                <w:b/>
                <w:bCs/>
                <w:color w:val="000000"/>
                <w:lang w:val="en-GB" w:eastAsia="sl-SI"/>
              </w:rPr>
              <w:t xml:space="preserve">+ </w:t>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w:t>
            </w:r>
          </w:p>
        </w:tc>
        <w:tc>
          <w:tcPr>
            <w:tcW w:w="1228" w:type="dxa"/>
            <w:tcBorders>
              <w:top w:val="nil"/>
              <w:left w:val="nil"/>
              <w:bottom w:val="single" w:sz="4" w:space="0" w:color="auto"/>
              <w:right w:val="single" w:sz="4" w:space="0" w:color="auto"/>
            </w:tcBorders>
            <w:vAlign w:val="center"/>
            <w:hideMark/>
          </w:tcPr>
          <w:p w14:paraId="61754AC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639</w:t>
            </w:r>
          </w:p>
        </w:tc>
        <w:tc>
          <w:tcPr>
            <w:tcW w:w="1259" w:type="dxa"/>
            <w:tcBorders>
              <w:top w:val="nil"/>
              <w:left w:val="nil"/>
              <w:bottom w:val="single" w:sz="4" w:space="0" w:color="auto"/>
              <w:right w:val="single" w:sz="4" w:space="0" w:color="auto"/>
            </w:tcBorders>
            <w:vAlign w:val="center"/>
            <w:hideMark/>
          </w:tcPr>
          <w:p w14:paraId="6BC1DCA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205,974</w:t>
            </w:r>
          </w:p>
        </w:tc>
        <w:tc>
          <w:tcPr>
            <w:tcW w:w="1226" w:type="dxa"/>
            <w:tcBorders>
              <w:top w:val="nil"/>
              <w:left w:val="nil"/>
              <w:bottom w:val="single" w:sz="4" w:space="0" w:color="auto"/>
              <w:right w:val="single" w:sz="4" w:space="0" w:color="auto"/>
            </w:tcBorders>
            <w:vAlign w:val="center"/>
            <w:hideMark/>
          </w:tcPr>
          <w:p w14:paraId="0739D266"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16.5</w:t>
            </w:r>
          </w:p>
        </w:tc>
        <w:tc>
          <w:tcPr>
            <w:tcW w:w="1275" w:type="dxa"/>
            <w:tcBorders>
              <w:top w:val="nil"/>
              <w:left w:val="nil"/>
              <w:bottom w:val="single" w:sz="4" w:space="0" w:color="auto"/>
              <w:right w:val="single" w:sz="4" w:space="0" w:color="auto"/>
            </w:tcBorders>
            <w:vAlign w:val="center"/>
            <w:hideMark/>
          </w:tcPr>
          <w:p w14:paraId="504958A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700,216</w:t>
            </w:r>
          </w:p>
        </w:tc>
        <w:tc>
          <w:tcPr>
            <w:tcW w:w="1276" w:type="dxa"/>
            <w:tcBorders>
              <w:top w:val="nil"/>
              <w:left w:val="nil"/>
              <w:bottom w:val="single" w:sz="4" w:space="0" w:color="auto"/>
              <w:right w:val="single" w:sz="4" w:space="0" w:color="auto"/>
            </w:tcBorders>
            <w:vAlign w:val="center"/>
            <w:hideMark/>
          </w:tcPr>
          <w:p w14:paraId="28DB41C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120,193</w:t>
            </w:r>
          </w:p>
        </w:tc>
      </w:tr>
      <w:tr w:rsidR="00CB4094" w:rsidRPr="00BC1ABD" w14:paraId="103255F3" w14:textId="77777777" w:rsidTr="00E95C58">
        <w:trPr>
          <w:trHeight w:val="300"/>
        </w:trPr>
        <w:tc>
          <w:tcPr>
            <w:tcW w:w="1811" w:type="dxa"/>
            <w:tcBorders>
              <w:top w:val="nil"/>
              <w:left w:val="single" w:sz="4" w:space="0" w:color="auto"/>
              <w:bottom w:val="single" w:sz="4" w:space="0" w:color="auto"/>
              <w:right w:val="single" w:sz="4" w:space="0" w:color="auto"/>
            </w:tcBorders>
            <w:vAlign w:val="bottom"/>
            <w:hideMark/>
          </w:tcPr>
          <w:p w14:paraId="46F1AD53"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FWA + xDSL</w:t>
            </w:r>
          </w:p>
        </w:tc>
        <w:tc>
          <w:tcPr>
            <w:tcW w:w="1228" w:type="dxa"/>
            <w:tcBorders>
              <w:top w:val="nil"/>
              <w:left w:val="nil"/>
              <w:bottom w:val="single" w:sz="4" w:space="0" w:color="auto"/>
              <w:right w:val="single" w:sz="4" w:space="0" w:color="auto"/>
            </w:tcBorders>
            <w:vAlign w:val="center"/>
            <w:hideMark/>
          </w:tcPr>
          <w:p w14:paraId="4093332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31</w:t>
            </w:r>
          </w:p>
        </w:tc>
        <w:tc>
          <w:tcPr>
            <w:tcW w:w="1259" w:type="dxa"/>
            <w:tcBorders>
              <w:top w:val="nil"/>
              <w:left w:val="nil"/>
              <w:bottom w:val="single" w:sz="4" w:space="0" w:color="auto"/>
              <w:right w:val="single" w:sz="4" w:space="0" w:color="auto"/>
            </w:tcBorders>
            <w:vAlign w:val="center"/>
            <w:hideMark/>
          </w:tcPr>
          <w:p w14:paraId="6A1F200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5,917</w:t>
            </w:r>
          </w:p>
        </w:tc>
        <w:tc>
          <w:tcPr>
            <w:tcW w:w="1226" w:type="dxa"/>
            <w:tcBorders>
              <w:top w:val="nil"/>
              <w:left w:val="nil"/>
              <w:bottom w:val="single" w:sz="4" w:space="0" w:color="auto"/>
              <w:right w:val="single" w:sz="4" w:space="0" w:color="auto"/>
            </w:tcBorders>
            <w:vAlign w:val="center"/>
            <w:hideMark/>
          </w:tcPr>
          <w:p w14:paraId="471BE4B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0.5</w:t>
            </w:r>
          </w:p>
        </w:tc>
        <w:tc>
          <w:tcPr>
            <w:tcW w:w="1275" w:type="dxa"/>
            <w:tcBorders>
              <w:top w:val="nil"/>
              <w:left w:val="nil"/>
              <w:bottom w:val="single" w:sz="4" w:space="0" w:color="auto"/>
              <w:right w:val="single" w:sz="4" w:space="0" w:color="auto"/>
            </w:tcBorders>
            <w:vAlign w:val="center"/>
            <w:hideMark/>
          </w:tcPr>
          <w:p w14:paraId="1421065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22,466</w:t>
            </w:r>
          </w:p>
        </w:tc>
        <w:tc>
          <w:tcPr>
            <w:tcW w:w="1276" w:type="dxa"/>
            <w:tcBorders>
              <w:top w:val="nil"/>
              <w:left w:val="nil"/>
              <w:bottom w:val="single" w:sz="4" w:space="0" w:color="auto"/>
              <w:right w:val="single" w:sz="4" w:space="0" w:color="auto"/>
            </w:tcBorders>
            <w:vAlign w:val="center"/>
            <w:hideMark/>
          </w:tcPr>
          <w:p w14:paraId="51FDC9C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2,019</w:t>
            </w:r>
          </w:p>
        </w:tc>
      </w:tr>
      <w:tr w:rsidR="00CB4094" w:rsidRPr="00BC1ABD" w14:paraId="003D23C8" w14:textId="77777777" w:rsidTr="00626AE7">
        <w:trPr>
          <w:trHeight w:val="258"/>
        </w:trPr>
        <w:tc>
          <w:tcPr>
            <w:tcW w:w="1811" w:type="dxa"/>
            <w:tcBorders>
              <w:top w:val="nil"/>
              <w:left w:val="single" w:sz="4" w:space="0" w:color="auto"/>
              <w:bottom w:val="single" w:sz="4" w:space="0" w:color="auto"/>
              <w:right w:val="single" w:sz="4" w:space="0" w:color="auto"/>
            </w:tcBorders>
            <w:vAlign w:val="bottom"/>
            <w:hideMark/>
          </w:tcPr>
          <w:p w14:paraId="7617F469"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Uncovered by FWA</w:t>
            </w:r>
          </w:p>
        </w:tc>
        <w:tc>
          <w:tcPr>
            <w:tcW w:w="1228" w:type="dxa"/>
            <w:tcBorders>
              <w:top w:val="nil"/>
              <w:left w:val="nil"/>
              <w:bottom w:val="single" w:sz="4" w:space="0" w:color="auto"/>
              <w:right w:val="single" w:sz="4" w:space="0" w:color="auto"/>
            </w:tcBorders>
            <w:vAlign w:val="center"/>
            <w:hideMark/>
          </w:tcPr>
          <w:p w14:paraId="100855A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1,703</w:t>
            </w:r>
          </w:p>
        </w:tc>
        <w:tc>
          <w:tcPr>
            <w:tcW w:w="1259" w:type="dxa"/>
            <w:tcBorders>
              <w:top w:val="nil"/>
              <w:left w:val="nil"/>
              <w:bottom w:val="single" w:sz="4" w:space="0" w:color="auto"/>
              <w:right w:val="single" w:sz="4" w:space="0" w:color="auto"/>
            </w:tcBorders>
            <w:vAlign w:val="center"/>
            <w:hideMark/>
          </w:tcPr>
          <w:p w14:paraId="2AC9FA8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115,359</w:t>
            </w:r>
          </w:p>
        </w:tc>
        <w:tc>
          <w:tcPr>
            <w:tcW w:w="1226" w:type="dxa"/>
            <w:tcBorders>
              <w:top w:val="nil"/>
              <w:left w:val="nil"/>
              <w:bottom w:val="single" w:sz="4" w:space="0" w:color="auto"/>
              <w:right w:val="single" w:sz="4" w:space="0" w:color="auto"/>
            </w:tcBorders>
            <w:vAlign w:val="center"/>
            <w:hideMark/>
          </w:tcPr>
          <w:p w14:paraId="219BC16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9.2</w:t>
            </w:r>
          </w:p>
        </w:tc>
        <w:tc>
          <w:tcPr>
            <w:tcW w:w="1275" w:type="dxa"/>
            <w:tcBorders>
              <w:top w:val="nil"/>
              <w:left w:val="nil"/>
              <w:bottom w:val="single" w:sz="4" w:space="0" w:color="auto"/>
              <w:right w:val="single" w:sz="4" w:space="0" w:color="auto"/>
            </w:tcBorders>
            <w:vAlign w:val="center"/>
            <w:hideMark/>
          </w:tcPr>
          <w:p w14:paraId="6F56D85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392,469</w:t>
            </w:r>
          </w:p>
        </w:tc>
        <w:tc>
          <w:tcPr>
            <w:tcW w:w="1276" w:type="dxa"/>
            <w:tcBorders>
              <w:top w:val="nil"/>
              <w:left w:val="nil"/>
              <w:bottom w:val="single" w:sz="4" w:space="0" w:color="auto"/>
              <w:right w:val="single" w:sz="4" w:space="0" w:color="auto"/>
            </w:tcBorders>
            <w:vAlign w:val="center"/>
            <w:hideMark/>
          </w:tcPr>
          <w:p w14:paraId="71B6789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30,037</w:t>
            </w:r>
          </w:p>
        </w:tc>
      </w:tr>
      <w:tr w:rsidR="00CB4094" w:rsidRPr="00BC1ABD" w14:paraId="6063ED7A" w14:textId="77777777" w:rsidTr="00E95C58">
        <w:trPr>
          <w:trHeight w:val="3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44926AED"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TOTAL</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01CD393"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3,605</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CED8F96"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1,251,975</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0AA3786"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100.0</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D20D4D8"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3,679,745</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F9208AF"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956,927</w:t>
            </w:r>
          </w:p>
        </w:tc>
      </w:tr>
      <w:tr w:rsidR="00CB4094" w:rsidRPr="00BC1ABD" w14:paraId="48F6B6C6" w14:textId="77777777" w:rsidTr="00E95C58">
        <w:trPr>
          <w:trHeight w:val="120"/>
        </w:trPr>
        <w:tc>
          <w:tcPr>
            <w:tcW w:w="1811" w:type="dxa"/>
            <w:tcBorders>
              <w:top w:val="nil"/>
              <w:left w:val="nil"/>
              <w:bottom w:val="nil"/>
              <w:right w:val="nil"/>
            </w:tcBorders>
            <w:vAlign w:val="bottom"/>
            <w:hideMark/>
          </w:tcPr>
          <w:p w14:paraId="749A3B3B"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p>
        </w:tc>
        <w:tc>
          <w:tcPr>
            <w:tcW w:w="1228" w:type="dxa"/>
            <w:tcBorders>
              <w:top w:val="nil"/>
              <w:left w:val="nil"/>
              <w:bottom w:val="nil"/>
              <w:right w:val="nil"/>
            </w:tcBorders>
            <w:vAlign w:val="center"/>
            <w:hideMark/>
          </w:tcPr>
          <w:p w14:paraId="5BDF4570" w14:textId="77777777" w:rsidR="00CB4094" w:rsidRPr="00BC1ABD" w:rsidRDefault="00CB4094" w:rsidP="00CB4094">
            <w:pPr>
              <w:spacing w:after="0" w:line="240" w:lineRule="auto"/>
              <w:jc w:val="center"/>
              <w:rPr>
                <w:rFonts w:ascii="Times New Roman" w:eastAsia="Times New Roman" w:hAnsi="Times New Roman"/>
                <w:sz w:val="20"/>
                <w:szCs w:val="20"/>
                <w:lang w:val="en-GB" w:eastAsia="sl-SI"/>
              </w:rPr>
            </w:pPr>
          </w:p>
        </w:tc>
        <w:tc>
          <w:tcPr>
            <w:tcW w:w="1259" w:type="dxa"/>
            <w:tcBorders>
              <w:top w:val="nil"/>
              <w:left w:val="nil"/>
              <w:bottom w:val="nil"/>
              <w:right w:val="nil"/>
            </w:tcBorders>
            <w:vAlign w:val="center"/>
            <w:hideMark/>
          </w:tcPr>
          <w:p w14:paraId="1F77AF08"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26" w:type="dxa"/>
            <w:tcBorders>
              <w:top w:val="nil"/>
              <w:left w:val="nil"/>
              <w:bottom w:val="nil"/>
              <w:right w:val="nil"/>
            </w:tcBorders>
            <w:vAlign w:val="center"/>
            <w:hideMark/>
          </w:tcPr>
          <w:p w14:paraId="4D829B79"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5" w:type="dxa"/>
            <w:tcBorders>
              <w:top w:val="nil"/>
              <w:left w:val="nil"/>
              <w:bottom w:val="nil"/>
              <w:right w:val="nil"/>
            </w:tcBorders>
            <w:vAlign w:val="center"/>
            <w:hideMark/>
          </w:tcPr>
          <w:p w14:paraId="26935B6F"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c>
          <w:tcPr>
            <w:tcW w:w="1276" w:type="dxa"/>
            <w:tcBorders>
              <w:top w:val="nil"/>
              <w:left w:val="nil"/>
              <w:bottom w:val="nil"/>
              <w:right w:val="nil"/>
            </w:tcBorders>
            <w:vAlign w:val="center"/>
            <w:hideMark/>
          </w:tcPr>
          <w:p w14:paraId="7E276911" w14:textId="77777777" w:rsidR="00CB4094" w:rsidRPr="00BC1ABD" w:rsidRDefault="00CB4094" w:rsidP="00CB4094">
            <w:pPr>
              <w:spacing w:after="0" w:line="240" w:lineRule="auto"/>
              <w:ind w:firstLineChars="100" w:firstLine="200"/>
              <w:jc w:val="right"/>
              <w:rPr>
                <w:rFonts w:ascii="Times New Roman" w:eastAsia="Times New Roman" w:hAnsi="Times New Roman"/>
                <w:sz w:val="20"/>
                <w:szCs w:val="20"/>
                <w:lang w:val="en-GB" w:eastAsia="sl-SI"/>
              </w:rPr>
            </w:pPr>
          </w:p>
        </w:tc>
      </w:tr>
      <w:tr w:rsidR="00CB4094" w:rsidRPr="00BC1ABD" w14:paraId="6720FA21" w14:textId="77777777" w:rsidTr="00E95C58">
        <w:trPr>
          <w:trHeight w:val="600"/>
        </w:trPr>
        <w:tc>
          <w:tcPr>
            <w:tcW w:w="1811" w:type="dxa"/>
            <w:tcBorders>
              <w:top w:val="single" w:sz="4" w:space="0" w:color="auto"/>
              <w:left w:val="single" w:sz="4" w:space="0" w:color="auto"/>
              <w:bottom w:val="single" w:sz="4" w:space="0" w:color="auto"/>
              <w:right w:val="single" w:sz="4" w:space="0" w:color="auto"/>
            </w:tcBorders>
            <w:vAlign w:val="bottom"/>
            <w:hideMark/>
          </w:tcPr>
          <w:p w14:paraId="3BCE9EAD" w14:textId="7A118AA5"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Tbilisi</w:t>
            </w:r>
            <w:r w:rsidRPr="00BC1ABD">
              <w:rPr>
                <w:rFonts w:eastAsia="Times New Roman" w:cs="Calibri"/>
                <w:b/>
                <w:bCs/>
                <w:color w:val="000000"/>
                <w:lang w:val="en-GB" w:eastAsia="sl-SI"/>
              </w:rPr>
              <w:br/>
              <w:t xml:space="preserve">FWA + xDSL + </w:t>
            </w:r>
            <w:r w:rsidR="00592449">
              <w:rPr>
                <w:rFonts w:eastAsia="Times New Roman" w:cs="Calibri"/>
                <w:b/>
                <w:bCs/>
                <w:color w:val="000000"/>
                <w:lang w:val="en-GB" w:eastAsia="sl-SI"/>
              </w:rPr>
              <w:t>FTTx</w:t>
            </w:r>
          </w:p>
        </w:tc>
        <w:tc>
          <w:tcPr>
            <w:tcW w:w="1228" w:type="dxa"/>
            <w:tcBorders>
              <w:top w:val="single" w:sz="4" w:space="0" w:color="auto"/>
              <w:left w:val="nil"/>
              <w:bottom w:val="single" w:sz="4" w:space="0" w:color="auto"/>
              <w:right w:val="single" w:sz="4" w:space="0" w:color="auto"/>
            </w:tcBorders>
            <w:vAlign w:val="center"/>
            <w:hideMark/>
          </w:tcPr>
          <w:p w14:paraId="00AA170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w:t>
            </w:r>
          </w:p>
        </w:tc>
        <w:tc>
          <w:tcPr>
            <w:tcW w:w="1259" w:type="dxa"/>
            <w:tcBorders>
              <w:top w:val="single" w:sz="4" w:space="0" w:color="auto"/>
              <w:left w:val="nil"/>
              <w:bottom w:val="single" w:sz="4" w:space="0" w:color="auto"/>
              <w:right w:val="single" w:sz="4" w:space="0" w:color="auto"/>
            </w:tcBorders>
            <w:vAlign w:val="center"/>
            <w:hideMark/>
          </w:tcPr>
          <w:p w14:paraId="184272F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464,688</w:t>
            </w:r>
          </w:p>
        </w:tc>
        <w:tc>
          <w:tcPr>
            <w:tcW w:w="1226" w:type="dxa"/>
            <w:tcBorders>
              <w:top w:val="single" w:sz="4" w:space="0" w:color="auto"/>
              <w:left w:val="nil"/>
              <w:bottom w:val="single" w:sz="4" w:space="0" w:color="auto"/>
              <w:right w:val="single" w:sz="4" w:space="0" w:color="auto"/>
            </w:tcBorders>
            <w:vAlign w:val="center"/>
            <w:hideMark/>
          </w:tcPr>
          <w:p w14:paraId="484208A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37.1</w:t>
            </w:r>
          </w:p>
        </w:tc>
        <w:tc>
          <w:tcPr>
            <w:tcW w:w="1275" w:type="dxa"/>
            <w:tcBorders>
              <w:top w:val="single" w:sz="4" w:space="0" w:color="auto"/>
              <w:left w:val="nil"/>
              <w:bottom w:val="single" w:sz="4" w:space="0" w:color="auto"/>
              <w:right w:val="single" w:sz="4" w:space="0" w:color="auto"/>
            </w:tcBorders>
            <w:vAlign w:val="center"/>
            <w:hideMark/>
          </w:tcPr>
          <w:p w14:paraId="28531BF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1,108,717</w:t>
            </w:r>
          </w:p>
        </w:tc>
        <w:tc>
          <w:tcPr>
            <w:tcW w:w="1276" w:type="dxa"/>
            <w:tcBorders>
              <w:top w:val="single" w:sz="4" w:space="0" w:color="auto"/>
              <w:left w:val="nil"/>
              <w:bottom w:val="single" w:sz="4" w:space="0" w:color="auto"/>
              <w:right w:val="single" w:sz="4" w:space="0" w:color="auto"/>
            </w:tcBorders>
            <w:vAlign w:val="center"/>
            <w:hideMark/>
          </w:tcPr>
          <w:p w14:paraId="1763B4E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425,610</w:t>
            </w:r>
          </w:p>
        </w:tc>
      </w:tr>
      <w:tr w:rsidR="00CB4094" w:rsidRPr="00BC1ABD" w14:paraId="4552E9FE" w14:textId="77777777" w:rsidTr="00E95C58">
        <w:trPr>
          <w:trHeight w:val="600"/>
        </w:trPr>
        <w:tc>
          <w:tcPr>
            <w:tcW w:w="1811" w:type="dxa"/>
            <w:tcBorders>
              <w:top w:val="single" w:sz="4" w:space="0" w:color="auto"/>
              <w:left w:val="single" w:sz="4" w:space="0" w:color="auto"/>
              <w:bottom w:val="single" w:sz="4" w:space="0" w:color="auto"/>
              <w:right w:val="single" w:sz="4" w:space="0" w:color="auto"/>
            </w:tcBorders>
            <w:vAlign w:val="bottom"/>
          </w:tcPr>
          <w:p w14:paraId="7728C4DD" w14:textId="0E00C418"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rPr>
              <w:t>Other</w:t>
            </w:r>
            <w:r w:rsidRPr="00BC1ABD">
              <w:rPr>
                <w:rFonts w:eastAsia="Times New Roman" w:cs="Calibri"/>
                <w:b/>
                <w:bCs/>
                <w:color w:val="000000"/>
                <w:lang w:val="en-GB"/>
              </w:rPr>
              <w:br/>
              <w:t xml:space="preserve">xDSL + </w:t>
            </w:r>
            <w:r w:rsidR="00592449">
              <w:rPr>
                <w:rFonts w:eastAsia="Times New Roman" w:cs="Calibri"/>
                <w:b/>
                <w:bCs/>
                <w:color w:val="000000"/>
                <w:lang w:val="en-GB"/>
              </w:rPr>
              <w:t>FTTx</w:t>
            </w:r>
            <w:r w:rsidRPr="00BC1ABD">
              <w:rPr>
                <w:rFonts w:eastAsia="Times New Roman" w:cs="Calibri"/>
                <w:b/>
                <w:bCs/>
                <w:color w:val="000000"/>
                <w:lang w:val="en-GB"/>
              </w:rPr>
              <w:t xml:space="preserve"> + FWA</w:t>
            </w:r>
          </w:p>
        </w:tc>
        <w:tc>
          <w:tcPr>
            <w:tcW w:w="1228" w:type="dxa"/>
            <w:tcBorders>
              <w:top w:val="single" w:sz="4" w:space="0" w:color="auto"/>
              <w:left w:val="nil"/>
              <w:bottom w:val="single" w:sz="4" w:space="0" w:color="auto"/>
              <w:right w:val="single" w:sz="4" w:space="0" w:color="auto"/>
            </w:tcBorders>
            <w:vAlign w:val="center"/>
          </w:tcPr>
          <w:p w14:paraId="72153C4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98</w:t>
            </w:r>
          </w:p>
        </w:tc>
        <w:tc>
          <w:tcPr>
            <w:tcW w:w="1259" w:type="dxa"/>
            <w:tcBorders>
              <w:top w:val="single" w:sz="4" w:space="0" w:color="auto"/>
              <w:left w:val="nil"/>
              <w:bottom w:val="single" w:sz="4" w:space="0" w:color="auto"/>
              <w:right w:val="single" w:sz="4" w:space="0" w:color="auto"/>
            </w:tcBorders>
            <w:vAlign w:val="center"/>
          </w:tcPr>
          <w:p w14:paraId="33B77D7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338,885</w:t>
            </w:r>
          </w:p>
        </w:tc>
        <w:tc>
          <w:tcPr>
            <w:tcW w:w="1226" w:type="dxa"/>
            <w:tcBorders>
              <w:top w:val="single" w:sz="4" w:space="0" w:color="auto"/>
              <w:left w:val="nil"/>
              <w:bottom w:val="single" w:sz="4" w:space="0" w:color="auto"/>
              <w:right w:val="single" w:sz="4" w:space="0" w:color="auto"/>
            </w:tcBorders>
            <w:vAlign w:val="center"/>
          </w:tcPr>
          <w:p w14:paraId="21540A5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27.1</w:t>
            </w:r>
          </w:p>
        </w:tc>
        <w:tc>
          <w:tcPr>
            <w:tcW w:w="1275" w:type="dxa"/>
            <w:tcBorders>
              <w:top w:val="single" w:sz="4" w:space="0" w:color="auto"/>
              <w:left w:val="nil"/>
              <w:bottom w:val="single" w:sz="4" w:space="0" w:color="auto"/>
              <w:right w:val="single" w:sz="4" w:space="0" w:color="auto"/>
            </w:tcBorders>
            <w:vAlign w:val="center"/>
          </w:tcPr>
          <w:p w14:paraId="301D0DC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1,047,445</w:t>
            </w:r>
          </w:p>
        </w:tc>
        <w:tc>
          <w:tcPr>
            <w:tcW w:w="1276" w:type="dxa"/>
            <w:tcBorders>
              <w:top w:val="single" w:sz="4" w:space="0" w:color="auto"/>
              <w:left w:val="nil"/>
              <w:bottom w:val="single" w:sz="4" w:space="0" w:color="auto"/>
              <w:right w:val="single" w:sz="4" w:space="0" w:color="auto"/>
            </w:tcBorders>
            <w:vAlign w:val="center"/>
          </w:tcPr>
          <w:p w14:paraId="65A6A69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350,728</w:t>
            </w:r>
          </w:p>
        </w:tc>
      </w:tr>
    </w:tbl>
    <w:p w14:paraId="18E79303" w14:textId="77777777" w:rsidR="00CB4094" w:rsidRPr="00BC1ABD" w:rsidRDefault="00CB4094" w:rsidP="00CB4094">
      <w:pPr>
        <w:rPr>
          <w:rFonts w:eastAsia="Times New Roman"/>
          <w:sz w:val="2"/>
          <w:szCs w:val="2"/>
          <w:lang w:val="en-GB"/>
        </w:rPr>
      </w:pPr>
    </w:p>
    <w:p w14:paraId="06FF967C"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163CD5F6" w14:textId="77777777"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p>
    <w:p w14:paraId="36E8F9B6" w14:textId="50BF8659"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81" w:name="_Toc141200251"/>
      <w:bookmarkStart w:id="82" w:name="_Toc152931362"/>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11</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Technology overlap: FWA vs other technologies</w:t>
      </w:r>
      <w:bookmarkEnd w:id="81"/>
      <w:r w:rsidR="007C10B9">
        <w:rPr>
          <w:rFonts w:asciiTheme="minorHAnsi" w:eastAsia="Times New Roman" w:hAnsiTheme="minorHAnsi"/>
          <w:i/>
          <w:iCs/>
          <w:color w:val="44546A" w:themeColor="text2"/>
          <w:sz w:val="20"/>
          <w:szCs w:val="20"/>
          <w:lang w:val="en-GB"/>
        </w:rPr>
        <w:t>5</w:t>
      </w:r>
      <w:bookmarkEnd w:id="82"/>
    </w:p>
    <w:p w14:paraId="22C08F90" w14:textId="20D4079F" w:rsidR="00CB4094" w:rsidRPr="00BC1ABD" w:rsidRDefault="00CB4094" w:rsidP="00CB4094">
      <w:pPr>
        <w:jc w:val="both"/>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0E23A404" wp14:editId="286AB5FA">
            <wp:extent cx="5760720" cy="3082290"/>
            <wp:effectExtent l="0" t="0" r="0" b="3810"/>
            <wp:docPr id="212622191" name="Slika 1" descr="Slika na kojoj se prikazuje tekst, snimka zaslona, broj, c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2191" name="Slika 1" descr="Slika na kojoj se prikazuje tekst, snimka zaslona, broj, crta&#10;&#10;Opis je automatski generir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082290"/>
                    </a:xfrm>
                    <a:prstGeom prst="rect">
                      <a:avLst/>
                    </a:prstGeom>
                    <a:noFill/>
                    <a:ln>
                      <a:noFill/>
                    </a:ln>
                  </pic:spPr>
                </pic:pic>
              </a:graphicData>
            </a:graphic>
          </wp:inline>
        </w:drawing>
      </w:r>
    </w:p>
    <w:p w14:paraId="505055FD"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4CC7FDC9" w14:textId="281C32AF" w:rsidR="00CB4094"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In settlements with only one technology, FWA has the highest coverage at 9.7% of households, </w:t>
      </w:r>
      <w:r w:rsidR="00592449">
        <w:rPr>
          <w:rFonts w:eastAsia="Times New Roman" w:cs="Arial"/>
          <w:sz w:val="24"/>
          <w:szCs w:val="24"/>
          <w:lang w:val="en-GB"/>
        </w:rPr>
        <w:t>FTTx</w:t>
      </w:r>
      <w:r w:rsidRPr="00BC1ABD">
        <w:rPr>
          <w:rFonts w:eastAsia="Times New Roman" w:cs="Arial"/>
          <w:sz w:val="24"/>
          <w:szCs w:val="24"/>
          <w:lang w:val="en-GB"/>
        </w:rPr>
        <w:t xml:space="preserve"> has 3.9% coverage and xDSL has 0.1% coverage. This result is expected </w:t>
      </w:r>
      <w:r w:rsidR="00AD3ECC">
        <w:rPr>
          <w:rFonts w:eastAsia="Times New Roman" w:cs="Arial"/>
          <w:sz w:val="24"/>
          <w:szCs w:val="24"/>
          <w:lang w:val="en-GB"/>
        </w:rPr>
        <w:t>as</w:t>
      </w:r>
      <w:r w:rsidR="00AD3ECC" w:rsidRPr="00BC1ABD">
        <w:rPr>
          <w:rFonts w:eastAsia="Times New Roman" w:cs="Arial"/>
          <w:sz w:val="24"/>
          <w:szCs w:val="24"/>
          <w:lang w:val="en-GB"/>
        </w:rPr>
        <w:t xml:space="preserve"> </w:t>
      </w:r>
      <w:r w:rsidRPr="00BC1ABD">
        <w:rPr>
          <w:rFonts w:eastAsia="Times New Roman" w:cs="Arial"/>
          <w:sz w:val="24"/>
          <w:szCs w:val="24"/>
          <w:lang w:val="en-GB"/>
        </w:rPr>
        <w:t xml:space="preserve">FWA technology is generally used in the more sparsely populated geographic areas because it has a lower set-up cost. FWA technology is also used in more populated </w:t>
      </w:r>
      <w:r w:rsidR="00AD3ECC">
        <w:rPr>
          <w:rFonts w:eastAsia="Times New Roman" w:cs="Arial"/>
          <w:sz w:val="24"/>
          <w:szCs w:val="24"/>
          <w:lang w:val="en-GB"/>
        </w:rPr>
        <w:t xml:space="preserve">settlements </w:t>
      </w:r>
      <w:r w:rsidRPr="00BC1ABD">
        <w:rPr>
          <w:rFonts w:eastAsia="Times New Roman" w:cs="Arial"/>
          <w:sz w:val="24"/>
          <w:szCs w:val="24"/>
          <w:lang w:val="en-GB"/>
        </w:rPr>
        <w:t>such as Tbilisi, Kutaisi, Batumi and Rustavi, but in these areas, it is not the only technology present.</w:t>
      </w:r>
    </w:p>
    <w:p w14:paraId="5CD13A44" w14:textId="77777777" w:rsidR="000A660E" w:rsidRDefault="000A660E" w:rsidP="00CB4094">
      <w:pPr>
        <w:jc w:val="both"/>
        <w:rPr>
          <w:rFonts w:eastAsia="Times New Roman" w:cs="Arial"/>
          <w:sz w:val="24"/>
          <w:szCs w:val="24"/>
          <w:lang w:val="en-GB"/>
        </w:rPr>
      </w:pPr>
    </w:p>
    <w:p w14:paraId="3548F3CC" w14:textId="77777777" w:rsidR="00723DBC" w:rsidRDefault="00723DBC" w:rsidP="00CB4094">
      <w:pPr>
        <w:jc w:val="both"/>
        <w:rPr>
          <w:rFonts w:eastAsia="Times New Roman" w:cs="Arial"/>
          <w:sz w:val="24"/>
          <w:szCs w:val="24"/>
          <w:lang w:val="en-GB"/>
        </w:rPr>
      </w:pPr>
    </w:p>
    <w:p w14:paraId="2F5FEB27" w14:textId="77777777" w:rsidR="00CB4094" w:rsidRPr="008B28CB" w:rsidRDefault="00CB4094" w:rsidP="008B28CB">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83" w:name="_Toc169258911"/>
      <w:r w:rsidRPr="008B28CB">
        <w:rPr>
          <w:rFonts w:asciiTheme="minorHAnsi" w:hAnsiTheme="minorHAnsi" w:cstheme="minorHAnsi"/>
          <w:b w:val="0"/>
          <w:bCs w:val="0"/>
          <w:sz w:val="24"/>
          <w:szCs w:val="24"/>
          <w:lang w:val="en-GB"/>
        </w:rPr>
        <w:t>Urban vs. rural areas</w:t>
      </w:r>
      <w:bookmarkEnd w:id="83"/>
      <w:r w:rsidRPr="008B28CB">
        <w:rPr>
          <w:rFonts w:asciiTheme="minorHAnsi" w:hAnsiTheme="minorHAnsi" w:cstheme="minorHAnsi"/>
          <w:b w:val="0"/>
          <w:bCs w:val="0"/>
          <w:sz w:val="24"/>
          <w:szCs w:val="24"/>
          <w:lang w:val="en-GB"/>
        </w:rPr>
        <w:t xml:space="preserve"> </w:t>
      </w:r>
    </w:p>
    <w:p w14:paraId="0DCCF690" w14:textId="3089B304"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Rural areas in Georgia generally have a significantly lower population density than urban areas. Some of more remote mountainous and forested areas have a very low population or even no inhabitants at all.</w:t>
      </w:r>
    </w:p>
    <w:p w14:paraId="0B1B990E"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In Georgia, some settlements have a ‘city’ status, possibly for some historical reason, even though their population is below 5,000 inhabitants. The most populated village has a population of four times more than the least populated city. For the purposes of this analysis, we have assumed that an ‘urban’ settlement is the one with more than 10,000 inhabitants.</w:t>
      </w:r>
    </w:p>
    <w:p w14:paraId="3CCB5E0A" w14:textId="4100B908"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Tbilisi is the most populated and richest region of Georgia </w:t>
      </w:r>
      <w:r w:rsidR="00AD3ECC">
        <w:rPr>
          <w:rFonts w:eastAsia="Times New Roman" w:cs="Arial"/>
          <w:sz w:val="24"/>
          <w:szCs w:val="24"/>
          <w:lang w:val="en-GB"/>
        </w:rPr>
        <w:t xml:space="preserve">and </w:t>
      </w:r>
      <w:r w:rsidRPr="00BC1ABD">
        <w:rPr>
          <w:rFonts w:eastAsia="Times New Roman" w:cs="Arial"/>
          <w:sz w:val="24"/>
          <w:szCs w:val="24"/>
          <w:lang w:val="en-GB"/>
        </w:rPr>
        <w:t xml:space="preserve">therefore has the most coverage of telecommunications networks, including four providers of </w:t>
      </w:r>
      <w:r w:rsidR="00592449">
        <w:rPr>
          <w:rFonts w:eastAsia="Times New Roman" w:cs="Arial"/>
          <w:sz w:val="24"/>
          <w:szCs w:val="24"/>
          <w:lang w:val="en-GB"/>
        </w:rPr>
        <w:t>FTTx</w:t>
      </w:r>
      <w:r w:rsidRPr="00BC1ABD">
        <w:rPr>
          <w:rFonts w:eastAsia="Times New Roman" w:cs="Arial"/>
          <w:sz w:val="24"/>
          <w:szCs w:val="24"/>
          <w:lang w:val="en-GB"/>
        </w:rPr>
        <w:t xml:space="preserve"> networks, two providers of xDSL networks, two small providers of FWA networks (one of the FWA networks is based on LTE technology). The average number of </w:t>
      </w:r>
      <w:r w:rsidR="00592449">
        <w:rPr>
          <w:rFonts w:eastAsia="Times New Roman" w:cs="Arial"/>
          <w:sz w:val="24"/>
          <w:szCs w:val="24"/>
          <w:lang w:val="en-GB"/>
        </w:rPr>
        <w:t>FTTx</w:t>
      </w:r>
      <w:r w:rsidRPr="00BC1ABD">
        <w:rPr>
          <w:rFonts w:eastAsia="Times New Roman" w:cs="Arial"/>
          <w:sz w:val="24"/>
          <w:szCs w:val="24"/>
          <w:lang w:val="en-GB"/>
        </w:rPr>
        <w:t xml:space="preserve"> broadband subscribers per household in Tbilisi is 0.9.</w:t>
      </w:r>
    </w:p>
    <w:p w14:paraId="60E38910" w14:textId="1AF35370"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next largest three cities each have more than 100,000 inhabitants – Batumi, Kutaisi and Rustavi. These cities each have three or more providers of </w:t>
      </w:r>
      <w:r w:rsidR="00592449">
        <w:rPr>
          <w:rFonts w:eastAsia="Times New Roman" w:cs="Arial"/>
          <w:sz w:val="24"/>
          <w:szCs w:val="24"/>
          <w:lang w:val="en-GB"/>
        </w:rPr>
        <w:t>FTTx</w:t>
      </w:r>
      <w:r w:rsidRPr="00BC1ABD">
        <w:rPr>
          <w:rFonts w:eastAsia="Times New Roman" w:cs="Arial"/>
          <w:sz w:val="24"/>
          <w:szCs w:val="24"/>
          <w:lang w:val="en-GB"/>
        </w:rPr>
        <w:t xml:space="preserve"> networks, at least one provider of xDSL network</w:t>
      </w:r>
      <w:r w:rsidR="00305484">
        <w:rPr>
          <w:rFonts w:eastAsia="Times New Roman" w:cs="Arial"/>
          <w:sz w:val="24"/>
          <w:szCs w:val="24"/>
          <w:lang w:val="en-GB"/>
        </w:rPr>
        <w:t>s</w:t>
      </w:r>
      <w:r w:rsidRPr="00BC1ABD">
        <w:rPr>
          <w:rFonts w:eastAsia="Times New Roman" w:cs="Arial"/>
          <w:sz w:val="24"/>
          <w:szCs w:val="24"/>
          <w:lang w:val="en-GB"/>
        </w:rPr>
        <w:t xml:space="preserve"> and at least one FWA network. On average over these three cities, the number of </w:t>
      </w:r>
      <w:r w:rsidR="00592449">
        <w:rPr>
          <w:rFonts w:eastAsia="Times New Roman" w:cs="Arial"/>
          <w:sz w:val="24"/>
          <w:szCs w:val="24"/>
          <w:lang w:val="en-GB"/>
        </w:rPr>
        <w:t>FTTx</w:t>
      </w:r>
      <w:r w:rsidRPr="00BC1ABD">
        <w:rPr>
          <w:rFonts w:eastAsia="Times New Roman" w:cs="Arial"/>
          <w:sz w:val="24"/>
          <w:szCs w:val="24"/>
          <w:lang w:val="en-GB"/>
        </w:rPr>
        <w:t xml:space="preserve"> broadband subscribers per household is 1.2.</w:t>
      </w:r>
    </w:p>
    <w:p w14:paraId="140E0614"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There are no cities in Georgia with 50,000 to 100,000 inhabitants.</w:t>
      </w:r>
    </w:p>
    <w:p w14:paraId="790BE9E1" w14:textId="0FB531BC"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There are three cities with 40,000 to 50,000 inhabitants, with a similar range of alternative networks available as in Batumi, Kutaisi and Rustavi. This means that there are generally three or more operators with </w:t>
      </w:r>
      <w:r w:rsidR="00592449">
        <w:rPr>
          <w:rFonts w:eastAsia="Times New Roman" w:cs="Arial"/>
          <w:sz w:val="24"/>
          <w:szCs w:val="24"/>
          <w:lang w:val="en-GB"/>
        </w:rPr>
        <w:t>FTTx</w:t>
      </w:r>
      <w:r w:rsidRPr="00BC1ABD">
        <w:rPr>
          <w:rFonts w:eastAsia="Times New Roman" w:cs="Arial"/>
          <w:sz w:val="24"/>
          <w:szCs w:val="24"/>
          <w:lang w:val="en-GB"/>
        </w:rPr>
        <w:t xml:space="preserve"> networks, and at least one xDSL network and one FWA network provider. On average </w:t>
      </w:r>
      <w:r w:rsidR="00305484">
        <w:rPr>
          <w:rFonts w:eastAsia="Times New Roman" w:cs="Arial"/>
          <w:sz w:val="24"/>
          <w:szCs w:val="24"/>
          <w:lang w:val="en-GB"/>
        </w:rPr>
        <w:t xml:space="preserve">the </w:t>
      </w:r>
      <w:r w:rsidRPr="00BC1ABD">
        <w:rPr>
          <w:rFonts w:eastAsia="Times New Roman" w:cs="Arial"/>
          <w:sz w:val="24"/>
          <w:szCs w:val="24"/>
          <w:lang w:val="en-GB"/>
        </w:rPr>
        <w:t xml:space="preserve">number of </w:t>
      </w:r>
      <w:r w:rsidR="00592449">
        <w:rPr>
          <w:rFonts w:eastAsia="Times New Roman" w:cs="Arial"/>
          <w:sz w:val="24"/>
          <w:szCs w:val="24"/>
          <w:lang w:val="en-GB"/>
        </w:rPr>
        <w:t>FTTx</w:t>
      </w:r>
      <w:r w:rsidRPr="00BC1ABD">
        <w:rPr>
          <w:rFonts w:eastAsia="Times New Roman" w:cs="Arial"/>
          <w:sz w:val="24"/>
          <w:szCs w:val="24"/>
          <w:lang w:val="en-GB"/>
        </w:rPr>
        <w:t xml:space="preserve"> broadband subscribers per household is 0.9.</w:t>
      </w:r>
    </w:p>
    <w:p w14:paraId="59185AEB" w14:textId="347C8EDE"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Smaller cities, with a population between 10,000 and 30,000 have similar characteristics in terms of fixed broadband subscriber penetration. At least one </w:t>
      </w:r>
      <w:r w:rsidR="00592449">
        <w:rPr>
          <w:rFonts w:eastAsia="Times New Roman" w:cs="Arial"/>
          <w:sz w:val="24"/>
          <w:szCs w:val="24"/>
          <w:lang w:val="en-GB"/>
        </w:rPr>
        <w:t>FTTx</w:t>
      </w:r>
      <w:r w:rsidRPr="00BC1ABD">
        <w:rPr>
          <w:rFonts w:eastAsia="Times New Roman" w:cs="Arial"/>
          <w:sz w:val="24"/>
          <w:szCs w:val="24"/>
          <w:lang w:val="en-GB"/>
        </w:rPr>
        <w:t xml:space="preserve"> network (generally two or three) is present plus </w:t>
      </w:r>
      <w:r w:rsidR="00305484">
        <w:rPr>
          <w:rFonts w:eastAsia="Times New Roman" w:cs="Arial"/>
          <w:sz w:val="24"/>
          <w:szCs w:val="24"/>
          <w:lang w:val="en-GB"/>
        </w:rPr>
        <w:t xml:space="preserve">a </w:t>
      </w:r>
      <w:r w:rsidRPr="00BC1ABD">
        <w:rPr>
          <w:rFonts w:eastAsia="Times New Roman" w:cs="Arial"/>
          <w:sz w:val="24"/>
          <w:szCs w:val="24"/>
          <w:lang w:val="en-GB"/>
        </w:rPr>
        <w:t xml:space="preserve">single xDSL </w:t>
      </w:r>
      <w:r w:rsidR="00305484">
        <w:rPr>
          <w:rFonts w:eastAsia="Times New Roman" w:cs="Arial"/>
          <w:sz w:val="24"/>
          <w:szCs w:val="24"/>
          <w:lang w:val="en-GB"/>
        </w:rPr>
        <w:t xml:space="preserve">provider </w:t>
      </w:r>
      <w:r w:rsidRPr="00BC1ABD">
        <w:rPr>
          <w:rFonts w:eastAsia="Times New Roman" w:cs="Arial"/>
          <w:sz w:val="24"/>
          <w:szCs w:val="24"/>
          <w:lang w:val="en-GB"/>
        </w:rPr>
        <w:t xml:space="preserve">and </w:t>
      </w:r>
      <w:r w:rsidR="00305484">
        <w:rPr>
          <w:rFonts w:eastAsia="Times New Roman" w:cs="Arial"/>
          <w:sz w:val="24"/>
          <w:szCs w:val="24"/>
          <w:lang w:val="en-GB"/>
        </w:rPr>
        <w:t xml:space="preserve">also </w:t>
      </w:r>
      <w:r w:rsidRPr="00BC1ABD">
        <w:rPr>
          <w:rFonts w:eastAsia="Times New Roman" w:cs="Arial"/>
          <w:sz w:val="24"/>
          <w:szCs w:val="24"/>
          <w:lang w:val="en-GB"/>
        </w:rPr>
        <w:t>FWA network provider</w:t>
      </w:r>
      <w:r w:rsidR="00305484">
        <w:rPr>
          <w:rFonts w:eastAsia="Times New Roman" w:cs="Arial"/>
          <w:sz w:val="24"/>
          <w:szCs w:val="24"/>
          <w:lang w:val="en-GB"/>
        </w:rPr>
        <w:t>s</w:t>
      </w:r>
      <w:r w:rsidRPr="00BC1ABD">
        <w:rPr>
          <w:rFonts w:eastAsia="Times New Roman" w:cs="Arial"/>
          <w:sz w:val="24"/>
          <w:szCs w:val="24"/>
          <w:lang w:val="en-GB"/>
        </w:rPr>
        <w:t>. The average number of broadband subscribers per household is still the same as for cities from 40,000 to 50,000 inhabitants (0.9).</w:t>
      </w:r>
    </w:p>
    <w:p w14:paraId="1664BEB8" w14:textId="70604C4B"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Settlements with a population between 5,000 and 10,000 generally have at least one </w:t>
      </w:r>
      <w:r w:rsidR="00592449">
        <w:rPr>
          <w:rFonts w:eastAsia="Times New Roman" w:cs="Arial"/>
          <w:sz w:val="24"/>
          <w:szCs w:val="24"/>
          <w:lang w:val="en-GB"/>
        </w:rPr>
        <w:t>FTTx</w:t>
      </w:r>
      <w:r w:rsidRPr="00BC1ABD">
        <w:rPr>
          <w:rFonts w:eastAsia="Times New Roman" w:cs="Arial"/>
          <w:sz w:val="24"/>
          <w:szCs w:val="24"/>
          <w:lang w:val="en-GB"/>
        </w:rPr>
        <w:t xml:space="preserve"> network, but not all of them have xDSL or FWA networks. The average number of </w:t>
      </w:r>
      <w:r w:rsidR="00592449">
        <w:rPr>
          <w:rFonts w:eastAsia="Times New Roman" w:cs="Arial"/>
          <w:sz w:val="24"/>
          <w:szCs w:val="24"/>
          <w:lang w:val="en-GB"/>
        </w:rPr>
        <w:t>FTTx</w:t>
      </w:r>
      <w:r w:rsidRPr="00BC1ABD">
        <w:rPr>
          <w:rFonts w:eastAsia="Times New Roman" w:cs="Arial"/>
          <w:sz w:val="24"/>
          <w:szCs w:val="24"/>
          <w:lang w:val="en-GB"/>
        </w:rPr>
        <w:t xml:space="preserve"> broadband subscribers per household is 0.6.</w:t>
      </w:r>
    </w:p>
    <w:p w14:paraId="31F5480D" w14:textId="4846580C"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Not all settlements with a population between 2,000 and 5,000 have an </w:t>
      </w:r>
      <w:r w:rsidR="00592449">
        <w:rPr>
          <w:rFonts w:eastAsia="Times New Roman" w:cs="Arial"/>
          <w:sz w:val="24"/>
          <w:szCs w:val="24"/>
          <w:lang w:val="en-GB"/>
        </w:rPr>
        <w:t>FTTx</w:t>
      </w:r>
      <w:r w:rsidRPr="00BC1ABD">
        <w:rPr>
          <w:rFonts w:eastAsia="Times New Roman" w:cs="Arial"/>
          <w:sz w:val="24"/>
          <w:szCs w:val="24"/>
          <w:lang w:val="en-GB"/>
        </w:rPr>
        <w:t xml:space="preserve"> network (13 out of 143 settlements are without an </w:t>
      </w:r>
      <w:r w:rsidR="00592449">
        <w:rPr>
          <w:rFonts w:eastAsia="Times New Roman" w:cs="Arial"/>
          <w:sz w:val="24"/>
          <w:szCs w:val="24"/>
          <w:lang w:val="en-GB"/>
        </w:rPr>
        <w:t>FTTx</w:t>
      </w:r>
      <w:r w:rsidRPr="00BC1ABD">
        <w:rPr>
          <w:rFonts w:eastAsia="Times New Roman" w:cs="Arial"/>
          <w:sz w:val="24"/>
          <w:szCs w:val="24"/>
          <w:lang w:val="en-GB"/>
        </w:rPr>
        <w:t xml:space="preserve"> network, but there are also 8 settlements having 3 </w:t>
      </w:r>
      <w:r w:rsidR="00592449">
        <w:rPr>
          <w:rFonts w:eastAsia="Times New Roman" w:cs="Arial"/>
          <w:sz w:val="24"/>
          <w:szCs w:val="24"/>
          <w:lang w:val="en-GB"/>
        </w:rPr>
        <w:t>FTTx</w:t>
      </w:r>
      <w:r w:rsidRPr="00BC1ABD">
        <w:rPr>
          <w:rFonts w:eastAsia="Times New Roman" w:cs="Arial"/>
          <w:sz w:val="24"/>
          <w:szCs w:val="24"/>
          <w:lang w:val="en-GB"/>
        </w:rPr>
        <w:t xml:space="preserve"> networks). One settlement in this population range does not have any fixed network of any technology. This settlement is the largest settlement in Georgia without a fixed broadband access network and has 4,891 inhabitants (according to </w:t>
      </w:r>
      <w:r w:rsidR="00305484">
        <w:rPr>
          <w:rFonts w:eastAsia="Times New Roman" w:cs="Arial"/>
          <w:sz w:val="24"/>
          <w:szCs w:val="24"/>
          <w:lang w:val="en-GB"/>
        </w:rPr>
        <w:t xml:space="preserve">the </w:t>
      </w:r>
      <w:r w:rsidRPr="00BC1ABD">
        <w:rPr>
          <w:rFonts w:eastAsia="Times New Roman" w:cs="Arial"/>
          <w:sz w:val="24"/>
          <w:szCs w:val="24"/>
          <w:lang w:val="en-GB"/>
        </w:rPr>
        <w:t xml:space="preserve">2014 census). In the settlements with 2,000 to 5,000 population, on average the number of </w:t>
      </w:r>
      <w:r w:rsidR="00592449">
        <w:rPr>
          <w:rFonts w:eastAsia="Times New Roman" w:cs="Arial"/>
          <w:sz w:val="24"/>
          <w:szCs w:val="24"/>
          <w:lang w:val="en-GB"/>
        </w:rPr>
        <w:t>FTTx</w:t>
      </w:r>
      <w:r w:rsidRPr="00BC1ABD">
        <w:rPr>
          <w:rFonts w:eastAsia="Times New Roman" w:cs="Arial"/>
          <w:sz w:val="24"/>
          <w:szCs w:val="24"/>
          <w:lang w:val="en-GB"/>
        </w:rPr>
        <w:t xml:space="preserve"> broadband subscribers per household is 0.5.</w:t>
      </w:r>
    </w:p>
    <w:p w14:paraId="29D9DED6" w14:textId="724C3B8D"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For the settlements between 1,000 and 2,000 inhabitants, almost one third of them (84 out of 279 settlements) have no </w:t>
      </w:r>
      <w:r w:rsidR="00592449">
        <w:rPr>
          <w:rFonts w:eastAsia="Times New Roman" w:cs="Arial"/>
          <w:sz w:val="24"/>
          <w:szCs w:val="24"/>
          <w:lang w:val="en-GB"/>
        </w:rPr>
        <w:t>FTTx</w:t>
      </w:r>
      <w:r w:rsidRPr="00BC1ABD">
        <w:rPr>
          <w:rFonts w:eastAsia="Times New Roman" w:cs="Arial"/>
          <w:sz w:val="24"/>
          <w:szCs w:val="24"/>
          <w:lang w:val="en-GB"/>
        </w:rPr>
        <w:t xml:space="preserve"> coverage and 11 of them have no fixed broadband connectivity of any technology. Approximately 40% of households have </w:t>
      </w:r>
      <w:r w:rsidR="00592449">
        <w:rPr>
          <w:rFonts w:eastAsia="Times New Roman" w:cs="Arial"/>
          <w:sz w:val="24"/>
          <w:szCs w:val="24"/>
          <w:lang w:val="en-GB"/>
        </w:rPr>
        <w:t>FTTx</w:t>
      </w:r>
      <w:r w:rsidRPr="00BC1ABD">
        <w:rPr>
          <w:rFonts w:eastAsia="Times New Roman" w:cs="Arial"/>
          <w:sz w:val="24"/>
          <w:szCs w:val="24"/>
          <w:lang w:val="en-GB"/>
        </w:rPr>
        <w:t xml:space="preserve"> subscriptions.</w:t>
      </w:r>
    </w:p>
    <w:p w14:paraId="26466F7E" w14:textId="0EAABBC3"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significant majority of settlements of less than 1,000 inhabitants are not covered by </w:t>
      </w:r>
      <w:r w:rsidR="00592449">
        <w:rPr>
          <w:rFonts w:eastAsia="Times New Roman" w:cs="Arial"/>
          <w:sz w:val="24"/>
          <w:szCs w:val="24"/>
          <w:lang w:val="en-GB"/>
        </w:rPr>
        <w:t>FTTx</w:t>
      </w:r>
      <w:r w:rsidRPr="00BC1ABD">
        <w:rPr>
          <w:rFonts w:eastAsia="Times New Roman" w:cs="Arial"/>
          <w:sz w:val="24"/>
          <w:szCs w:val="24"/>
          <w:lang w:val="en-GB"/>
        </w:rPr>
        <w:t xml:space="preserve"> networks (2,247 settlements out of 2,835). 1,190 settlements do not have any fixed broadband network of any technology. Only 17% of households are subscribers to </w:t>
      </w:r>
      <w:r w:rsidR="00592449">
        <w:rPr>
          <w:rFonts w:eastAsia="Times New Roman" w:cs="Arial"/>
          <w:sz w:val="24"/>
          <w:szCs w:val="24"/>
          <w:lang w:val="en-GB"/>
        </w:rPr>
        <w:t>FTTx</w:t>
      </w:r>
      <w:r w:rsidRPr="00BC1ABD">
        <w:rPr>
          <w:rFonts w:eastAsia="Times New Roman" w:cs="Arial"/>
          <w:sz w:val="24"/>
          <w:szCs w:val="24"/>
          <w:lang w:val="en-GB"/>
        </w:rPr>
        <w:t>.</w:t>
      </w:r>
    </w:p>
    <w:p w14:paraId="772FEDA4" w14:textId="46F1EFFF"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There are 296 empty settlements (according to the 2014 census), but still 29 of them have </w:t>
      </w:r>
      <w:r w:rsidR="00592449">
        <w:rPr>
          <w:rFonts w:eastAsia="Times New Roman" w:cs="Arial"/>
          <w:sz w:val="24"/>
          <w:szCs w:val="24"/>
          <w:lang w:val="en-GB"/>
        </w:rPr>
        <w:t>FTTx</w:t>
      </w:r>
      <w:r w:rsidRPr="00BC1ABD">
        <w:rPr>
          <w:rFonts w:eastAsia="Times New Roman" w:cs="Arial"/>
          <w:sz w:val="24"/>
          <w:szCs w:val="24"/>
          <w:lang w:val="en-GB"/>
        </w:rPr>
        <w:t xml:space="preserve"> subscribers. </w:t>
      </w:r>
    </w:p>
    <w:p w14:paraId="04BCA79D" w14:textId="3D50EDFE" w:rsidR="00CB4094" w:rsidRPr="00BC1ABD" w:rsidRDefault="00CB4094" w:rsidP="00CB4094">
      <w:pPr>
        <w:spacing w:line="240" w:lineRule="auto"/>
        <w:jc w:val="center"/>
        <w:rPr>
          <w:rFonts w:asciiTheme="minorHAnsi" w:eastAsia="Times New Roman" w:hAnsiTheme="minorHAnsi"/>
          <w:i/>
          <w:iCs/>
          <w:color w:val="44546A" w:themeColor="text2"/>
          <w:sz w:val="20"/>
          <w:szCs w:val="20"/>
          <w:lang w:val="en-GB"/>
        </w:rPr>
      </w:pPr>
      <w:bookmarkStart w:id="84" w:name="_Toc141200252"/>
      <w:bookmarkStart w:id="85" w:name="_Toc152931363"/>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12</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Calibri"/>
          <w:bCs/>
          <w:i/>
          <w:iCs/>
          <w:color w:val="44546A" w:themeColor="text2"/>
          <w:sz w:val="20"/>
          <w:szCs w:val="20"/>
          <w:lang w:val="en-GB"/>
        </w:rPr>
        <w:t xml:space="preserve"> </w:t>
      </w:r>
      <w:r w:rsidR="00592449">
        <w:rPr>
          <w:rFonts w:asciiTheme="minorHAnsi" w:eastAsia="Times New Roman" w:hAnsiTheme="minorHAnsi" w:cs="Calibri"/>
          <w:bCs/>
          <w:i/>
          <w:iCs/>
          <w:color w:val="44546A" w:themeColor="text2"/>
          <w:sz w:val="20"/>
          <w:szCs w:val="20"/>
          <w:lang w:val="en-GB"/>
        </w:rPr>
        <w:t>FTTx</w:t>
      </w:r>
      <w:r w:rsidRPr="00BC1ABD">
        <w:rPr>
          <w:rFonts w:asciiTheme="minorHAnsi" w:eastAsia="Times New Roman" w:hAnsiTheme="minorHAnsi" w:cs="Calibri"/>
          <w:bCs/>
          <w:i/>
          <w:iCs/>
          <w:color w:val="44546A" w:themeColor="text2"/>
          <w:sz w:val="20"/>
          <w:szCs w:val="20"/>
          <w:lang w:val="en-GB"/>
        </w:rPr>
        <w:t xml:space="preserve"> c</w:t>
      </w:r>
      <w:r w:rsidRPr="00BC1ABD">
        <w:rPr>
          <w:rFonts w:asciiTheme="minorHAnsi" w:eastAsia="Times New Roman" w:hAnsiTheme="minorHAnsi"/>
          <w:i/>
          <w:iCs/>
          <w:color w:val="44546A" w:themeColor="text2"/>
          <w:sz w:val="20"/>
          <w:szCs w:val="20"/>
          <w:lang w:val="en-GB"/>
        </w:rPr>
        <w:t>overage indicators depending on the size of settlement</w:t>
      </w:r>
      <w:bookmarkEnd w:id="84"/>
      <w:bookmarkEnd w:id="85"/>
    </w:p>
    <w:tbl>
      <w:tblPr>
        <w:tblW w:w="9204" w:type="dxa"/>
        <w:tblCellMar>
          <w:left w:w="70" w:type="dxa"/>
          <w:right w:w="70" w:type="dxa"/>
        </w:tblCellMar>
        <w:tblLook w:val="04A0" w:firstRow="1" w:lastRow="0" w:firstColumn="1" w:lastColumn="0" w:noHBand="0" w:noVBand="1"/>
      </w:tblPr>
      <w:tblGrid>
        <w:gridCol w:w="1496"/>
        <w:gridCol w:w="432"/>
        <w:gridCol w:w="1238"/>
        <w:gridCol w:w="1228"/>
        <w:gridCol w:w="1825"/>
        <w:gridCol w:w="1287"/>
        <w:gridCol w:w="1698"/>
      </w:tblGrid>
      <w:tr w:rsidR="00CB4094" w:rsidRPr="00BC1ABD" w14:paraId="4994584D" w14:textId="77777777" w:rsidTr="00E95C58">
        <w:trPr>
          <w:trHeight w:val="1050"/>
        </w:trPr>
        <w:tc>
          <w:tcPr>
            <w:tcW w:w="1498" w:type="dxa"/>
            <w:tcBorders>
              <w:top w:val="single" w:sz="8" w:space="0" w:color="auto"/>
              <w:left w:val="single" w:sz="8" w:space="0" w:color="auto"/>
              <w:bottom w:val="single" w:sz="8" w:space="0" w:color="auto"/>
            </w:tcBorders>
            <w:shd w:val="clear" w:color="000000" w:fill="D9D9D9" w:themeFill="background1" w:themeFillShade="D9"/>
            <w:vAlign w:val="bottom"/>
            <w:hideMark/>
          </w:tcPr>
          <w:p w14:paraId="5476EF67" w14:textId="77777777" w:rsidR="00CB4094" w:rsidRPr="00BC1ABD" w:rsidRDefault="00CB4094" w:rsidP="00CB4094">
            <w:pPr>
              <w:spacing w:after="0" w:line="240" w:lineRule="auto"/>
              <w:jc w:val="center"/>
              <w:rPr>
                <w:rFonts w:eastAsia="Times New Roman" w:cs="Calibri"/>
                <w:b/>
                <w:bCs/>
                <w:color w:val="000000"/>
                <w:lang w:val="en-GB" w:eastAsia="sl-SI"/>
              </w:rPr>
            </w:pPr>
          </w:p>
          <w:p w14:paraId="71CB1330"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Inhabitants</w:t>
            </w:r>
          </w:p>
          <w:p w14:paraId="16AC114D" w14:textId="77777777" w:rsidR="00CB4094" w:rsidRPr="00BC1ABD" w:rsidRDefault="00CB4094" w:rsidP="00CB4094">
            <w:pPr>
              <w:spacing w:after="0" w:line="240" w:lineRule="auto"/>
              <w:jc w:val="center"/>
              <w:rPr>
                <w:rFonts w:eastAsia="Times New Roman" w:cs="Calibri"/>
                <w:b/>
                <w:bCs/>
                <w:color w:val="000000"/>
                <w:lang w:val="en-GB" w:eastAsia="sl-SI"/>
              </w:rPr>
            </w:pPr>
          </w:p>
          <w:p w14:paraId="622069FF"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From </w:t>
            </w:r>
          </w:p>
        </w:tc>
        <w:tc>
          <w:tcPr>
            <w:tcW w:w="433" w:type="dxa"/>
            <w:tcBorders>
              <w:top w:val="single" w:sz="8" w:space="0" w:color="auto"/>
              <w:bottom w:val="single" w:sz="8" w:space="0" w:color="auto"/>
            </w:tcBorders>
            <w:shd w:val="clear" w:color="000000" w:fill="D9D9D9" w:themeFill="background1" w:themeFillShade="D9"/>
            <w:vAlign w:val="bottom"/>
            <w:hideMark/>
          </w:tcPr>
          <w:p w14:paraId="108F503A"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 </w:t>
            </w:r>
          </w:p>
        </w:tc>
        <w:tc>
          <w:tcPr>
            <w:tcW w:w="1240" w:type="dxa"/>
            <w:tcBorders>
              <w:top w:val="single" w:sz="8" w:space="0" w:color="auto"/>
              <w:bottom w:val="single" w:sz="8" w:space="0" w:color="auto"/>
              <w:right w:val="single" w:sz="8" w:space="0" w:color="auto"/>
            </w:tcBorders>
            <w:shd w:val="clear" w:color="000000" w:fill="D9D9D9" w:themeFill="background1" w:themeFillShade="D9"/>
            <w:vAlign w:val="bottom"/>
            <w:hideMark/>
          </w:tcPr>
          <w:p w14:paraId="65058CD2"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To </w:t>
            </w:r>
          </w:p>
        </w:tc>
        <w:tc>
          <w:tcPr>
            <w:tcW w:w="1228" w:type="dxa"/>
            <w:tcBorders>
              <w:top w:val="single" w:sz="8" w:space="0" w:color="auto"/>
              <w:left w:val="nil"/>
              <w:bottom w:val="single" w:sz="8" w:space="0" w:color="auto"/>
              <w:right w:val="single" w:sz="8" w:space="0" w:color="auto"/>
            </w:tcBorders>
            <w:shd w:val="clear" w:color="000000" w:fill="D9D9D9" w:themeFill="background1" w:themeFillShade="D9"/>
            <w:vAlign w:val="bottom"/>
            <w:hideMark/>
          </w:tcPr>
          <w:p w14:paraId="20F846A2"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No of settlements</w:t>
            </w:r>
          </w:p>
        </w:tc>
        <w:tc>
          <w:tcPr>
            <w:tcW w:w="1828" w:type="dxa"/>
            <w:tcBorders>
              <w:top w:val="single" w:sz="8" w:space="0" w:color="auto"/>
              <w:left w:val="nil"/>
              <w:bottom w:val="single" w:sz="8" w:space="0" w:color="auto"/>
              <w:right w:val="single" w:sz="8" w:space="0" w:color="auto"/>
            </w:tcBorders>
            <w:shd w:val="clear" w:color="000000" w:fill="D9D9D9" w:themeFill="background1" w:themeFillShade="D9"/>
            <w:vAlign w:val="bottom"/>
            <w:hideMark/>
          </w:tcPr>
          <w:p w14:paraId="6FBA6F5E" w14:textId="68B30670"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No. of settl</w:t>
            </w:r>
            <w:r w:rsidR="00B134C3">
              <w:rPr>
                <w:rFonts w:eastAsia="Times New Roman" w:cs="Calibri"/>
                <w:b/>
                <w:bCs/>
                <w:color w:val="000000"/>
                <w:lang w:val="en-GB" w:eastAsia="sl-SI"/>
              </w:rPr>
              <w:t>ements</w:t>
            </w:r>
            <w:r w:rsidRPr="00BC1ABD">
              <w:rPr>
                <w:rFonts w:eastAsia="Times New Roman" w:cs="Calibri"/>
                <w:b/>
                <w:bCs/>
                <w:color w:val="000000"/>
                <w:lang w:val="en-GB" w:eastAsia="sl-SI"/>
              </w:rPr>
              <w:t xml:space="preserve">. with 3 or more </w:t>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providers</w:t>
            </w:r>
          </w:p>
        </w:tc>
        <w:tc>
          <w:tcPr>
            <w:tcW w:w="1276" w:type="dxa"/>
            <w:tcBorders>
              <w:top w:val="single" w:sz="8" w:space="0" w:color="auto"/>
              <w:left w:val="nil"/>
              <w:bottom w:val="single" w:sz="8" w:space="0" w:color="auto"/>
              <w:right w:val="single" w:sz="8" w:space="0" w:color="auto"/>
            </w:tcBorders>
            <w:shd w:val="clear" w:color="000000" w:fill="D9D9D9" w:themeFill="background1" w:themeFillShade="D9"/>
            <w:vAlign w:val="bottom"/>
            <w:hideMark/>
          </w:tcPr>
          <w:p w14:paraId="5E4F6408" w14:textId="344B07EE"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No. of settl</w:t>
            </w:r>
            <w:r w:rsidR="00B134C3">
              <w:rPr>
                <w:rFonts w:eastAsia="Times New Roman" w:cs="Calibri"/>
                <w:b/>
                <w:bCs/>
                <w:color w:val="000000"/>
                <w:lang w:val="en-GB" w:eastAsia="sl-SI"/>
              </w:rPr>
              <w:t>ements</w:t>
            </w:r>
            <w:r w:rsidRPr="00BC1ABD">
              <w:rPr>
                <w:rFonts w:eastAsia="Times New Roman" w:cs="Calibri"/>
                <w:b/>
                <w:bCs/>
                <w:color w:val="000000"/>
                <w:lang w:val="en-GB" w:eastAsia="sl-SI"/>
              </w:rPr>
              <w:t xml:space="preserve">. without </w:t>
            </w:r>
            <w:r w:rsidR="00592449">
              <w:rPr>
                <w:rFonts w:eastAsia="Times New Roman" w:cs="Calibri"/>
                <w:b/>
                <w:bCs/>
                <w:color w:val="000000"/>
                <w:lang w:val="en-GB" w:eastAsia="sl-SI"/>
              </w:rPr>
              <w:t>FTTx</w:t>
            </w:r>
            <w:r w:rsidRPr="00BC1ABD">
              <w:rPr>
                <w:rFonts w:eastAsia="Times New Roman" w:cs="Calibri"/>
                <w:b/>
                <w:bCs/>
                <w:color w:val="000000"/>
                <w:lang w:val="en-GB" w:eastAsia="sl-SI"/>
              </w:rPr>
              <w:t xml:space="preserve"> </w:t>
            </w:r>
          </w:p>
        </w:tc>
        <w:tc>
          <w:tcPr>
            <w:tcW w:w="1701" w:type="dxa"/>
            <w:tcBorders>
              <w:top w:val="single" w:sz="8" w:space="0" w:color="auto"/>
              <w:left w:val="nil"/>
              <w:bottom w:val="single" w:sz="8" w:space="0" w:color="auto"/>
              <w:right w:val="single" w:sz="8" w:space="0" w:color="auto"/>
            </w:tcBorders>
            <w:shd w:val="clear" w:color="000000" w:fill="D9D9D9" w:themeFill="background1" w:themeFillShade="D9"/>
            <w:vAlign w:val="bottom"/>
            <w:hideMark/>
          </w:tcPr>
          <w:p w14:paraId="26BD5C8D" w14:textId="77777777" w:rsidR="00CB4094" w:rsidRPr="00BC1ABD" w:rsidRDefault="00CB4094" w:rsidP="00CB4094">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rPr>
              <w:t>Homes connected / households</w:t>
            </w:r>
          </w:p>
        </w:tc>
      </w:tr>
      <w:tr w:rsidR="00CB4094" w:rsidRPr="00BC1ABD" w14:paraId="70683F50"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5B0C5BF6"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1,000,000</w:t>
            </w:r>
          </w:p>
        </w:tc>
        <w:tc>
          <w:tcPr>
            <w:tcW w:w="433" w:type="dxa"/>
            <w:tcBorders>
              <w:top w:val="single" w:sz="8" w:space="0" w:color="auto"/>
              <w:bottom w:val="single" w:sz="8" w:space="0" w:color="auto"/>
            </w:tcBorders>
            <w:vAlign w:val="bottom"/>
            <w:hideMark/>
          </w:tcPr>
          <w:p w14:paraId="0430CBFB"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 </w:t>
            </w:r>
          </w:p>
        </w:tc>
        <w:tc>
          <w:tcPr>
            <w:tcW w:w="1240" w:type="dxa"/>
            <w:tcBorders>
              <w:top w:val="single" w:sz="8" w:space="0" w:color="auto"/>
              <w:bottom w:val="single" w:sz="8" w:space="0" w:color="auto"/>
              <w:right w:val="single" w:sz="8" w:space="0" w:color="auto"/>
            </w:tcBorders>
            <w:vAlign w:val="bottom"/>
            <w:hideMark/>
          </w:tcPr>
          <w:p w14:paraId="5F0E06F7"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 </w:t>
            </w:r>
          </w:p>
        </w:tc>
        <w:tc>
          <w:tcPr>
            <w:tcW w:w="1228" w:type="dxa"/>
            <w:tcBorders>
              <w:top w:val="nil"/>
              <w:left w:val="nil"/>
              <w:bottom w:val="single" w:sz="8" w:space="0" w:color="auto"/>
              <w:right w:val="single" w:sz="8" w:space="0" w:color="auto"/>
            </w:tcBorders>
            <w:vAlign w:val="center"/>
            <w:hideMark/>
          </w:tcPr>
          <w:p w14:paraId="382E271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w:t>
            </w:r>
          </w:p>
        </w:tc>
        <w:tc>
          <w:tcPr>
            <w:tcW w:w="1828" w:type="dxa"/>
            <w:tcBorders>
              <w:top w:val="nil"/>
              <w:left w:val="nil"/>
              <w:bottom w:val="single" w:sz="8" w:space="0" w:color="auto"/>
              <w:right w:val="single" w:sz="8" w:space="0" w:color="auto"/>
            </w:tcBorders>
            <w:vAlign w:val="center"/>
            <w:hideMark/>
          </w:tcPr>
          <w:p w14:paraId="5D9DA23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w:t>
            </w:r>
          </w:p>
        </w:tc>
        <w:tc>
          <w:tcPr>
            <w:tcW w:w="1276" w:type="dxa"/>
            <w:tcBorders>
              <w:top w:val="nil"/>
              <w:left w:val="nil"/>
              <w:bottom w:val="single" w:sz="8" w:space="0" w:color="auto"/>
              <w:right w:val="single" w:sz="8" w:space="0" w:color="auto"/>
            </w:tcBorders>
            <w:vAlign w:val="center"/>
            <w:hideMark/>
          </w:tcPr>
          <w:p w14:paraId="03663A6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701" w:type="dxa"/>
            <w:tcBorders>
              <w:top w:val="nil"/>
              <w:left w:val="nil"/>
              <w:bottom w:val="single" w:sz="8" w:space="0" w:color="auto"/>
              <w:right w:val="single" w:sz="8" w:space="0" w:color="auto"/>
            </w:tcBorders>
            <w:vAlign w:val="center"/>
            <w:hideMark/>
          </w:tcPr>
          <w:p w14:paraId="03DA7FD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0.9</w:t>
            </w:r>
          </w:p>
        </w:tc>
      </w:tr>
      <w:tr w:rsidR="00CB4094" w:rsidRPr="00BC1ABD" w14:paraId="3A2D7442"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6A51CDD5"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100,000</w:t>
            </w:r>
          </w:p>
        </w:tc>
        <w:tc>
          <w:tcPr>
            <w:tcW w:w="433" w:type="dxa"/>
            <w:tcBorders>
              <w:top w:val="single" w:sz="8" w:space="0" w:color="auto"/>
              <w:bottom w:val="single" w:sz="8" w:space="0" w:color="auto"/>
            </w:tcBorders>
            <w:vAlign w:val="bottom"/>
            <w:hideMark/>
          </w:tcPr>
          <w:p w14:paraId="5F524243"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71C4F507"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200,000</w:t>
            </w:r>
          </w:p>
        </w:tc>
        <w:tc>
          <w:tcPr>
            <w:tcW w:w="1228" w:type="dxa"/>
            <w:tcBorders>
              <w:top w:val="nil"/>
              <w:left w:val="nil"/>
              <w:bottom w:val="single" w:sz="8" w:space="0" w:color="auto"/>
              <w:right w:val="single" w:sz="8" w:space="0" w:color="auto"/>
            </w:tcBorders>
            <w:vAlign w:val="center"/>
            <w:hideMark/>
          </w:tcPr>
          <w:p w14:paraId="2BF914F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w:t>
            </w:r>
          </w:p>
        </w:tc>
        <w:tc>
          <w:tcPr>
            <w:tcW w:w="1828" w:type="dxa"/>
            <w:tcBorders>
              <w:top w:val="nil"/>
              <w:left w:val="nil"/>
              <w:bottom w:val="single" w:sz="8" w:space="0" w:color="auto"/>
              <w:right w:val="single" w:sz="8" w:space="0" w:color="auto"/>
            </w:tcBorders>
            <w:vAlign w:val="center"/>
            <w:hideMark/>
          </w:tcPr>
          <w:p w14:paraId="0DA51DB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w:t>
            </w:r>
          </w:p>
        </w:tc>
        <w:tc>
          <w:tcPr>
            <w:tcW w:w="1276" w:type="dxa"/>
            <w:tcBorders>
              <w:top w:val="nil"/>
              <w:left w:val="nil"/>
              <w:bottom w:val="single" w:sz="8" w:space="0" w:color="auto"/>
              <w:right w:val="single" w:sz="8" w:space="0" w:color="auto"/>
            </w:tcBorders>
            <w:vAlign w:val="center"/>
            <w:hideMark/>
          </w:tcPr>
          <w:p w14:paraId="1271F037"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701" w:type="dxa"/>
            <w:tcBorders>
              <w:top w:val="nil"/>
              <w:left w:val="nil"/>
              <w:bottom w:val="single" w:sz="8" w:space="0" w:color="auto"/>
              <w:right w:val="single" w:sz="8" w:space="0" w:color="auto"/>
            </w:tcBorders>
            <w:vAlign w:val="center"/>
            <w:hideMark/>
          </w:tcPr>
          <w:p w14:paraId="381935B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 xml:space="preserve"> (see note)</w:t>
            </w:r>
          </w:p>
        </w:tc>
      </w:tr>
      <w:tr w:rsidR="00CB4094" w:rsidRPr="00BC1ABD" w14:paraId="75A650FA"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7CD1E136"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50,000</w:t>
            </w:r>
          </w:p>
        </w:tc>
        <w:tc>
          <w:tcPr>
            <w:tcW w:w="433" w:type="dxa"/>
            <w:tcBorders>
              <w:top w:val="single" w:sz="8" w:space="0" w:color="auto"/>
              <w:bottom w:val="single" w:sz="8" w:space="0" w:color="auto"/>
            </w:tcBorders>
            <w:vAlign w:val="bottom"/>
            <w:hideMark/>
          </w:tcPr>
          <w:p w14:paraId="1AB9E1A3"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6811D7FE"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100,000</w:t>
            </w:r>
          </w:p>
        </w:tc>
        <w:tc>
          <w:tcPr>
            <w:tcW w:w="1228" w:type="dxa"/>
            <w:tcBorders>
              <w:top w:val="nil"/>
              <w:left w:val="nil"/>
              <w:bottom w:val="single" w:sz="8" w:space="0" w:color="auto"/>
              <w:right w:val="single" w:sz="8" w:space="0" w:color="auto"/>
            </w:tcBorders>
            <w:vAlign w:val="center"/>
            <w:hideMark/>
          </w:tcPr>
          <w:p w14:paraId="0F982AC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828" w:type="dxa"/>
            <w:tcBorders>
              <w:top w:val="nil"/>
              <w:left w:val="nil"/>
              <w:bottom w:val="single" w:sz="8" w:space="0" w:color="auto"/>
              <w:right w:val="single" w:sz="8" w:space="0" w:color="auto"/>
            </w:tcBorders>
            <w:vAlign w:val="center"/>
            <w:hideMark/>
          </w:tcPr>
          <w:p w14:paraId="5BAEDA2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 </w:t>
            </w:r>
          </w:p>
        </w:tc>
        <w:tc>
          <w:tcPr>
            <w:tcW w:w="1276" w:type="dxa"/>
            <w:tcBorders>
              <w:top w:val="nil"/>
              <w:left w:val="nil"/>
              <w:bottom w:val="single" w:sz="8" w:space="0" w:color="auto"/>
              <w:right w:val="single" w:sz="8" w:space="0" w:color="auto"/>
            </w:tcBorders>
            <w:vAlign w:val="center"/>
            <w:hideMark/>
          </w:tcPr>
          <w:p w14:paraId="5DF408A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 </w:t>
            </w:r>
          </w:p>
        </w:tc>
        <w:tc>
          <w:tcPr>
            <w:tcW w:w="1701" w:type="dxa"/>
            <w:tcBorders>
              <w:top w:val="nil"/>
              <w:left w:val="nil"/>
              <w:bottom w:val="single" w:sz="8" w:space="0" w:color="auto"/>
              <w:right w:val="single" w:sz="8" w:space="0" w:color="auto"/>
            </w:tcBorders>
            <w:vAlign w:val="center"/>
            <w:hideMark/>
          </w:tcPr>
          <w:p w14:paraId="75FC932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 </w:t>
            </w:r>
          </w:p>
        </w:tc>
      </w:tr>
      <w:tr w:rsidR="00CB4094" w:rsidRPr="00BC1ABD" w14:paraId="2892D3D0"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087D72F2"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30,000</w:t>
            </w:r>
          </w:p>
        </w:tc>
        <w:tc>
          <w:tcPr>
            <w:tcW w:w="433" w:type="dxa"/>
            <w:tcBorders>
              <w:top w:val="single" w:sz="8" w:space="0" w:color="auto"/>
              <w:bottom w:val="single" w:sz="8" w:space="0" w:color="auto"/>
            </w:tcBorders>
            <w:vAlign w:val="bottom"/>
            <w:hideMark/>
          </w:tcPr>
          <w:p w14:paraId="4FAF6596"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16D903C3"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50,000</w:t>
            </w:r>
          </w:p>
        </w:tc>
        <w:tc>
          <w:tcPr>
            <w:tcW w:w="1228" w:type="dxa"/>
            <w:tcBorders>
              <w:top w:val="nil"/>
              <w:left w:val="nil"/>
              <w:bottom w:val="single" w:sz="8" w:space="0" w:color="auto"/>
              <w:right w:val="single" w:sz="8" w:space="0" w:color="auto"/>
            </w:tcBorders>
            <w:vAlign w:val="center"/>
            <w:hideMark/>
          </w:tcPr>
          <w:p w14:paraId="1E72024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w:t>
            </w:r>
          </w:p>
        </w:tc>
        <w:tc>
          <w:tcPr>
            <w:tcW w:w="1828" w:type="dxa"/>
            <w:tcBorders>
              <w:top w:val="nil"/>
              <w:left w:val="nil"/>
              <w:bottom w:val="single" w:sz="8" w:space="0" w:color="auto"/>
              <w:right w:val="single" w:sz="8" w:space="0" w:color="auto"/>
            </w:tcBorders>
            <w:vAlign w:val="center"/>
            <w:hideMark/>
          </w:tcPr>
          <w:p w14:paraId="16CDCDE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w:t>
            </w:r>
          </w:p>
        </w:tc>
        <w:tc>
          <w:tcPr>
            <w:tcW w:w="1276" w:type="dxa"/>
            <w:tcBorders>
              <w:top w:val="nil"/>
              <w:left w:val="nil"/>
              <w:bottom w:val="single" w:sz="8" w:space="0" w:color="auto"/>
              <w:right w:val="single" w:sz="8" w:space="0" w:color="auto"/>
            </w:tcBorders>
            <w:vAlign w:val="center"/>
            <w:hideMark/>
          </w:tcPr>
          <w:p w14:paraId="70612A0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701" w:type="dxa"/>
            <w:tcBorders>
              <w:top w:val="nil"/>
              <w:left w:val="nil"/>
              <w:bottom w:val="single" w:sz="8" w:space="0" w:color="auto"/>
              <w:right w:val="single" w:sz="8" w:space="0" w:color="auto"/>
            </w:tcBorders>
            <w:vAlign w:val="center"/>
            <w:hideMark/>
          </w:tcPr>
          <w:p w14:paraId="5A95315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0.9</w:t>
            </w:r>
          </w:p>
        </w:tc>
      </w:tr>
      <w:tr w:rsidR="00CB4094" w:rsidRPr="00BC1ABD" w14:paraId="24A2877B"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23D49A0C"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10,000</w:t>
            </w:r>
          </w:p>
        </w:tc>
        <w:tc>
          <w:tcPr>
            <w:tcW w:w="433" w:type="dxa"/>
            <w:tcBorders>
              <w:top w:val="single" w:sz="8" w:space="0" w:color="auto"/>
              <w:bottom w:val="single" w:sz="8" w:space="0" w:color="auto"/>
            </w:tcBorders>
            <w:vAlign w:val="bottom"/>
            <w:hideMark/>
          </w:tcPr>
          <w:p w14:paraId="2E267CC7"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158D9D89"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30,000</w:t>
            </w:r>
          </w:p>
        </w:tc>
        <w:tc>
          <w:tcPr>
            <w:tcW w:w="1228" w:type="dxa"/>
            <w:tcBorders>
              <w:top w:val="nil"/>
              <w:left w:val="nil"/>
              <w:bottom w:val="single" w:sz="8" w:space="0" w:color="auto"/>
              <w:right w:val="single" w:sz="8" w:space="0" w:color="auto"/>
            </w:tcBorders>
            <w:vAlign w:val="center"/>
            <w:hideMark/>
          </w:tcPr>
          <w:p w14:paraId="74E14FEE"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15</w:t>
            </w:r>
          </w:p>
        </w:tc>
        <w:tc>
          <w:tcPr>
            <w:tcW w:w="1828" w:type="dxa"/>
            <w:tcBorders>
              <w:top w:val="nil"/>
              <w:left w:val="nil"/>
              <w:bottom w:val="single" w:sz="8" w:space="0" w:color="auto"/>
              <w:right w:val="single" w:sz="8" w:space="0" w:color="auto"/>
            </w:tcBorders>
            <w:vAlign w:val="center"/>
            <w:hideMark/>
          </w:tcPr>
          <w:p w14:paraId="02C4626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13</w:t>
            </w:r>
          </w:p>
        </w:tc>
        <w:tc>
          <w:tcPr>
            <w:tcW w:w="1276" w:type="dxa"/>
            <w:tcBorders>
              <w:top w:val="nil"/>
              <w:left w:val="nil"/>
              <w:bottom w:val="single" w:sz="8" w:space="0" w:color="auto"/>
              <w:right w:val="single" w:sz="8" w:space="0" w:color="auto"/>
            </w:tcBorders>
            <w:vAlign w:val="center"/>
            <w:hideMark/>
          </w:tcPr>
          <w:p w14:paraId="42FF2C6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701" w:type="dxa"/>
            <w:tcBorders>
              <w:top w:val="nil"/>
              <w:left w:val="nil"/>
              <w:bottom w:val="single" w:sz="8" w:space="0" w:color="auto"/>
              <w:right w:val="single" w:sz="8" w:space="0" w:color="auto"/>
            </w:tcBorders>
            <w:vAlign w:val="center"/>
            <w:hideMark/>
          </w:tcPr>
          <w:p w14:paraId="52586834"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0.9</w:t>
            </w:r>
          </w:p>
        </w:tc>
      </w:tr>
      <w:tr w:rsidR="00CB4094" w:rsidRPr="00BC1ABD" w14:paraId="6F7E63DA"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0A344571"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5,000</w:t>
            </w:r>
          </w:p>
        </w:tc>
        <w:tc>
          <w:tcPr>
            <w:tcW w:w="433" w:type="dxa"/>
            <w:tcBorders>
              <w:top w:val="single" w:sz="8" w:space="0" w:color="auto"/>
              <w:bottom w:val="single" w:sz="8" w:space="0" w:color="auto"/>
            </w:tcBorders>
            <w:vAlign w:val="bottom"/>
            <w:hideMark/>
          </w:tcPr>
          <w:p w14:paraId="1258A5AB"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6DD84BA3"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10,000</w:t>
            </w:r>
          </w:p>
        </w:tc>
        <w:tc>
          <w:tcPr>
            <w:tcW w:w="1228" w:type="dxa"/>
            <w:tcBorders>
              <w:top w:val="nil"/>
              <w:left w:val="nil"/>
              <w:bottom w:val="single" w:sz="8" w:space="0" w:color="auto"/>
              <w:right w:val="single" w:sz="8" w:space="0" w:color="auto"/>
            </w:tcBorders>
            <w:vAlign w:val="center"/>
            <w:hideMark/>
          </w:tcPr>
          <w:p w14:paraId="1DDAA71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30</w:t>
            </w:r>
          </w:p>
        </w:tc>
        <w:tc>
          <w:tcPr>
            <w:tcW w:w="1828" w:type="dxa"/>
            <w:tcBorders>
              <w:top w:val="nil"/>
              <w:left w:val="nil"/>
              <w:bottom w:val="single" w:sz="8" w:space="0" w:color="auto"/>
              <w:right w:val="single" w:sz="8" w:space="0" w:color="auto"/>
            </w:tcBorders>
            <w:vAlign w:val="center"/>
            <w:hideMark/>
          </w:tcPr>
          <w:p w14:paraId="68493FB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w:t>
            </w:r>
          </w:p>
        </w:tc>
        <w:tc>
          <w:tcPr>
            <w:tcW w:w="1276" w:type="dxa"/>
            <w:tcBorders>
              <w:top w:val="nil"/>
              <w:left w:val="nil"/>
              <w:bottom w:val="single" w:sz="8" w:space="0" w:color="auto"/>
              <w:right w:val="single" w:sz="8" w:space="0" w:color="auto"/>
            </w:tcBorders>
            <w:vAlign w:val="center"/>
            <w:hideMark/>
          </w:tcPr>
          <w:p w14:paraId="5D1E8DA6"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701" w:type="dxa"/>
            <w:tcBorders>
              <w:top w:val="nil"/>
              <w:left w:val="nil"/>
              <w:bottom w:val="single" w:sz="8" w:space="0" w:color="auto"/>
              <w:right w:val="single" w:sz="8" w:space="0" w:color="auto"/>
            </w:tcBorders>
            <w:vAlign w:val="center"/>
            <w:hideMark/>
          </w:tcPr>
          <w:p w14:paraId="782CF34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0.6</w:t>
            </w:r>
          </w:p>
        </w:tc>
      </w:tr>
      <w:tr w:rsidR="00CB4094" w:rsidRPr="00BC1ABD" w14:paraId="67D40D95"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5EC999B4"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2,000</w:t>
            </w:r>
          </w:p>
        </w:tc>
        <w:tc>
          <w:tcPr>
            <w:tcW w:w="433" w:type="dxa"/>
            <w:tcBorders>
              <w:top w:val="single" w:sz="8" w:space="0" w:color="auto"/>
              <w:bottom w:val="single" w:sz="8" w:space="0" w:color="auto"/>
            </w:tcBorders>
            <w:vAlign w:val="bottom"/>
            <w:hideMark/>
          </w:tcPr>
          <w:p w14:paraId="771A83CD"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4F3F4183"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5,000</w:t>
            </w:r>
          </w:p>
        </w:tc>
        <w:tc>
          <w:tcPr>
            <w:tcW w:w="1228" w:type="dxa"/>
            <w:tcBorders>
              <w:top w:val="nil"/>
              <w:left w:val="nil"/>
              <w:bottom w:val="single" w:sz="8" w:space="0" w:color="auto"/>
              <w:right w:val="single" w:sz="8" w:space="0" w:color="auto"/>
            </w:tcBorders>
            <w:vAlign w:val="center"/>
            <w:hideMark/>
          </w:tcPr>
          <w:p w14:paraId="48C12A1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143</w:t>
            </w:r>
          </w:p>
        </w:tc>
        <w:tc>
          <w:tcPr>
            <w:tcW w:w="1828" w:type="dxa"/>
            <w:tcBorders>
              <w:top w:val="nil"/>
              <w:left w:val="nil"/>
              <w:bottom w:val="single" w:sz="8" w:space="0" w:color="auto"/>
              <w:right w:val="single" w:sz="8" w:space="0" w:color="auto"/>
            </w:tcBorders>
            <w:vAlign w:val="center"/>
            <w:hideMark/>
          </w:tcPr>
          <w:p w14:paraId="3579671D"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w:t>
            </w:r>
          </w:p>
        </w:tc>
        <w:tc>
          <w:tcPr>
            <w:tcW w:w="1276" w:type="dxa"/>
            <w:tcBorders>
              <w:top w:val="nil"/>
              <w:left w:val="nil"/>
              <w:bottom w:val="single" w:sz="8" w:space="0" w:color="auto"/>
              <w:right w:val="single" w:sz="8" w:space="0" w:color="auto"/>
            </w:tcBorders>
            <w:vAlign w:val="center"/>
            <w:hideMark/>
          </w:tcPr>
          <w:p w14:paraId="0D758F71"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13</w:t>
            </w:r>
          </w:p>
        </w:tc>
        <w:tc>
          <w:tcPr>
            <w:tcW w:w="1701" w:type="dxa"/>
            <w:tcBorders>
              <w:top w:val="nil"/>
              <w:left w:val="nil"/>
              <w:bottom w:val="single" w:sz="8" w:space="0" w:color="auto"/>
              <w:right w:val="single" w:sz="8" w:space="0" w:color="auto"/>
            </w:tcBorders>
            <w:vAlign w:val="center"/>
            <w:hideMark/>
          </w:tcPr>
          <w:p w14:paraId="720C959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0.5</w:t>
            </w:r>
          </w:p>
        </w:tc>
      </w:tr>
      <w:tr w:rsidR="00CB4094" w:rsidRPr="00BC1ABD" w14:paraId="6DA4D082"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4D1A08D6"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w:t>
            </w:r>
          </w:p>
        </w:tc>
        <w:tc>
          <w:tcPr>
            <w:tcW w:w="433" w:type="dxa"/>
            <w:tcBorders>
              <w:top w:val="single" w:sz="8" w:space="0" w:color="auto"/>
              <w:bottom w:val="single" w:sz="8" w:space="0" w:color="auto"/>
            </w:tcBorders>
            <w:vAlign w:val="bottom"/>
            <w:hideMark/>
          </w:tcPr>
          <w:p w14:paraId="7AD1CF4F"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5E0AF42C"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2,000</w:t>
            </w:r>
          </w:p>
        </w:tc>
        <w:tc>
          <w:tcPr>
            <w:tcW w:w="1228" w:type="dxa"/>
            <w:tcBorders>
              <w:top w:val="nil"/>
              <w:left w:val="nil"/>
              <w:bottom w:val="single" w:sz="8" w:space="0" w:color="auto"/>
              <w:right w:val="single" w:sz="8" w:space="0" w:color="auto"/>
            </w:tcBorders>
            <w:vAlign w:val="center"/>
            <w:hideMark/>
          </w:tcPr>
          <w:p w14:paraId="65461A2B"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279</w:t>
            </w:r>
          </w:p>
        </w:tc>
        <w:tc>
          <w:tcPr>
            <w:tcW w:w="1828" w:type="dxa"/>
            <w:tcBorders>
              <w:top w:val="nil"/>
              <w:left w:val="nil"/>
              <w:bottom w:val="single" w:sz="8" w:space="0" w:color="auto"/>
              <w:right w:val="single" w:sz="8" w:space="0" w:color="auto"/>
            </w:tcBorders>
            <w:vAlign w:val="center"/>
            <w:hideMark/>
          </w:tcPr>
          <w:p w14:paraId="4D66C9D3"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7</w:t>
            </w:r>
          </w:p>
        </w:tc>
        <w:tc>
          <w:tcPr>
            <w:tcW w:w="1276" w:type="dxa"/>
            <w:tcBorders>
              <w:top w:val="nil"/>
              <w:left w:val="nil"/>
              <w:bottom w:val="single" w:sz="8" w:space="0" w:color="auto"/>
              <w:right w:val="single" w:sz="8" w:space="0" w:color="auto"/>
            </w:tcBorders>
            <w:vAlign w:val="center"/>
            <w:hideMark/>
          </w:tcPr>
          <w:p w14:paraId="7B597432"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84</w:t>
            </w:r>
          </w:p>
        </w:tc>
        <w:tc>
          <w:tcPr>
            <w:tcW w:w="1701" w:type="dxa"/>
            <w:tcBorders>
              <w:top w:val="nil"/>
              <w:left w:val="nil"/>
              <w:bottom w:val="single" w:sz="8" w:space="0" w:color="auto"/>
              <w:right w:val="single" w:sz="8" w:space="0" w:color="auto"/>
            </w:tcBorders>
            <w:vAlign w:val="center"/>
            <w:hideMark/>
          </w:tcPr>
          <w:p w14:paraId="31CBAC7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0.4</w:t>
            </w:r>
          </w:p>
        </w:tc>
      </w:tr>
      <w:tr w:rsidR="00CB4094" w:rsidRPr="00BC1ABD" w14:paraId="254A8CA9"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66E005A8"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w:t>
            </w:r>
          </w:p>
        </w:tc>
        <w:tc>
          <w:tcPr>
            <w:tcW w:w="433" w:type="dxa"/>
            <w:tcBorders>
              <w:top w:val="single" w:sz="8" w:space="0" w:color="auto"/>
              <w:bottom w:val="single" w:sz="8" w:space="0" w:color="auto"/>
            </w:tcBorders>
            <w:vAlign w:val="bottom"/>
            <w:hideMark/>
          </w:tcPr>
          <w:p w14:paraId="3B45F6BE"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0617A268"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1,000</w:t>
            </w:r>
          </w:p>
        </w:tc>
        <w:tc>
          <w:tcPr>
            <w:tcW w:w="1228" w:type="dxa"/>
            <w:tcBorders>
              <w:top w:val="nil"/>
              <w:left w:val="nil"/>
              <w:bottom w:val="single" w:sz="8" w:space="0" w:color="auto"/>
              <w:right w:val="single" w:sz="8" w:space="0" w:color="auto"/>
            </w:tcBorders>
            <w:vAlign w:val="center"/>
            <w:hideMark/>
          </w:tcPr>
          <w:p w14:paraId="53BE18EA"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2,835</w:t>
            </w:r>
          </w:p>
        </w:tc>
        <w:tc>
          <w:tcPr>
            <w:tcW w:w="1828" w:type="dxa"/>
            <w:tcBorders>
              <w:top w:val="nil"/>
              <w:left w:val="nil"/>
              <w:bottom w:val="single" w:sz="8" w:space="0" w:color="auto"/>
              <w:right w:val="single" w:sz="8" w:space="0" w:color="auto"/>
            </w:tcBorders>
            <w:vAlign w:val="center"/>
            <w:hideMark/>
          </w:tcPr>
          <w:p w14:paraId="3ECEBE7F"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3</w:t>
            </w:r>
          </w:p>
        </w:tc>
        <w:tc>
          <w:tcPr>
            <w:tcW w:w="1276" w:type="dxa"/>
            <w:tcBorders>
              <w:top w:val="nil"/>
              <w:left w:val="nil"/>
              <w:bottom w:val="single" w:sz="8" w:space="0" w:color="auto"/>
              <w:right w:val="single" w:sz="8" w:space="0" w:color="auto"/>
            </w:tcBorders>
            <w:vAlign w:val="center"/>
            <w:hideMark/>
          </w:tcPr>
          <w:p w14:paraId="1C6EE0C9"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2,247</w:t>
            </w:r>
          </w:p>
        </w:tc>
        <w:tc>
          <w:tcPr>
            <w:tcW w:w="1701" w:type="dxa"/>
            <w:tcBorders>
              <w:top w:val="nil"/>
              <w:left w:val="nil"/>
              <w:bottom w:val="single" w:sz="8" w:space="0" w:color="auto"/>
              <w:right w:val="single" w:sz="8" w:space="0" w:color="auto"/>
            </w:tcBorders>
            <w:vAlign w:val="center"/>
            <w:hideMark/>
          </w:tcPr>
          <w:p w14:paraId="64B23FE8"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rPr>
              <w:t>0.2</w:t>
            </w:r>
          </w:p>
        </w:tc>
      </w:tr>
      <w:tr w:rsidR="00CB4094" w:rsidRPr="00BC1ABD" w14:paraId="0B815DCA" w14:textId="77777777" w:rsidTr="00E95C58">
        <w:trPr>
          <w:trHeight w:val="315"/>
        </w:trPr>
        <w:tc>
          <w:tcPr>
            <w:tcW w:w="1498" w:type="dxa"/>
            <w:tcBorders>
              <w:top w:val="single" w:sz="8" w:space="0" w:color="auto"/>
              <w:left w:val="single" w:sz="8" w:space="0" w:color="auto"/>
              <w:bottom w:val="single" w:sz="8" w:space="0" w:color="auto"/>
            </w:tcBorders>
            <w:vAlign w:val="bottom"/>
            <w:hideMark/>
          </w:tcPr>
          <w:p w14:paraId="38030005"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0</w:t>
            </w:r>
          </w:p>
        </w:tc>
        <w:tc>
          <w:tcPr>
            <w:tcW w:w="433" w:type="dxa"/>
            <w:tcBorders>
              <w:top w:val="single" w:sz="8" w:space="0" w:color="auto"/>
              <w:bottom w:val="single" w:sz="8" w:space="0" w:color="auto"/>
            </w:tcBorders>
            <w:vAlign w:val="bottom"/>
            <w:hideMark/>
          </w:tcPr>
          <w:p w14:paraId="66248460"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w:t>
            </w:r>
          </w:p>
        </w:tc>
        <w:tc>
          <w:tcPr>
            <w:tcW w:w="1240" w:type="dxa"/>
            <w:tcBorders>
              <w:top w:val="single" w:sz="8" w:space="0" w:color="auto"/>
              <w:bottom w:val="single" w:sz="8" w:space="0" w:color="auto"/>
              <w:right w:val="single" w:sz="8" w:space="0" w:color="auto"/>
            </w:tcBorders>
            <w:vAlign w:val="bottom"/>
            <w:hideMark/>
          </w:tcPr>
          <w:p w14:paraId="21F7386F"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 </w:t>
            </w:r>
          </w:p>
        </w:tc>
        <w:tc>
          <w:tcPr>
            <w:tcW w:w="1228" w:type="dxa"/>
            <w:tcBorders>
              <w:top w:val="nil"/>
              <w:left w:val="nil"/>
              <w:bottom w:val="single" w:sz="8" w:space="0" w:color="auto"/>
              <w:right w:val="single" w:sz="8" w:space="0" w:color="auto"/>
            </w:tcBorders>
            <w:vAlign w:val="center"/>
            <w:hideMark/>
          </w:tcPr>
          <w:p w14:paraId="243CC0D5"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296</w:t>
            </w:r>
          </w:p>
        </w:tc>
        <w:tc>
          <w:tcPr>
            <w:tcW w:w="1828" w:type="dxa"/>
            <w:tcBorders>
              <w:top w:val="nil"/>
              <w:left w:val="nil"/>
              <w:bottom w:val="single" w:sz="8" w:space="0" w:color="auto"/>
              <w:right w:val="single" w:sz="8" w:space="0" w:color="auto"/>
            </w:tcBorders>
            <w:vAlign w:val="center"/>
            <w:hideMark/>
          </w:tcPr>
          <w:p w14:paraId="49BE824C"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0</w:t>
            </w:r>
          </w:p>
        </w:tc>
        <w:tc>
          <w:tcPr>
            <w:tcW w:w="1276" w:type="dxa"/>
            <w:tcBorders>
              <w:top w:val="nil"/>
              <w:left w:val="nil"/>
              <w:bottom w:val="single" w:sz="8" w:space="0" w:color="auto"/>
              <w:right w:val="single" w:sz="8" w:space="0" w:color="auto"/>
            </w:tcBorders>
            <w:vAlign w:val="center"/>
            <w:hideMark/>
          </w:tcPr>
          <w:p w14:paraId="2C996C10" w14:textId="77777777" w:rsidR="00CB4094" w:rsidRPr="00BC1ABD" w:rsidRDefault="00CB4094" w:rsidP="00CB4094">
            <w:pPr>
              <w:spacing w:after="0" w:line="240" w:lineRule="auto"/>
              <w:ind w:firstLineChars="100" w:firstLine="220"/>
              <w:jc w:val="right"/>
              <w:rPr>
                <w:rFonts w:eastAsia="Times New Roman" w:cs="Calibri"/>
                <w:color w:val="000000"/>
                <w:lang w:val="en-GB" w:eastAsia="sl-SI"/>
              </w:rPr>
            </w:pPr>
            <w:r w:rsidRPr="00BC1ABD">
              <w:rPr>
                <w:rFonts w:eastAsia="Times New Roman" w:cs="Calibri"/>
                <w:color w:val="000000"/>
                <w:lang w:val="en-GB" w:eastAsia="sl-SI"/>
              </w:rPr>
              <w:t>267</w:t>
            </w:r>
          </w:p>
        </w:tc>
        <w:tc>
          <w:tcPr>
            <w:tcW w:w="1701" w:type="dxa"/>
            <w:tcBorders>
              <w:top w:val="nil"/>
              <w:left w:val="nil"/>
              <w:bottom w:val="single" w:sz="8" w:space="0" w:color="auto"/>
              <w:right w:val="single" w:sz="8" w:space="0" w:color="auto"/>
            </w:tcBorders>
            <w:vAlign w:val="center"/>
            <w:hideMark/>
          </w:tcPr>
          <w:p w14:paraId="14D35C1C"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color w:val="000000"/>
                <w:lang w:val="en-GB"/>
              </w:rPr>
              <w:t> </w:t>
            </w:r>
          </w:p>
        </w:tc>
      </w:tr>
      <w:tr w:rsidR="00CB4094" w:rsidRPr="00BC1ABD" w14:paraId="7728DC0D" w14:textId="77777777" w:rsidTr="00E95C58">
        <w:trPr>
          <w:trHeight w:val="315"/>
        </w:trPr>
        <w:tc>
          <w:tcPr>
            <w:tcW w:w="1498" w:type="dxa"/>
            <w:tcBorders>
              <w:top w:val="single" w:sz="8" w:space="0" w:color="auto"/>
              <w:left w:val="single" w:sz="8" w:space="0" w:color="auto"/>
              <w:bottom w:val="single" w:sz="8" w:space="0" w:color="auto"/>
            </w:tcBorders>
            <w:shd w:val="clear" w:color="000000" w:fill="D9D9D9" w:themeFill="background1" w:themeFillShade="D9"/>
            <w:vAlign w:val="bottom"/>
            <w:hideMark/>
          </w:tcPr>
          <w:p w14:paraId="7CF7CA06" w14:textId="77777777" w:rsidR="00CB4094" w:rsidRPr="00BC1ABD" w:rsidRDefault="00CB4094" w:rsidP="00CB4094">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 xml:space="preserve">Total </w:t>
            </w:r>
          </w:p>
        </w:tc>
        <w:tc>
          <w:tcPr>
            <w:tcW w:w="433" w:type="dxa"/>
            <w:tcBorders>
              <w:top w:val="single" w:sz="8" w:space="0" w:color="auto"/>
              <w:bottom w:val="single" w:sz="8" w:space="0" w:color="auto"/>
            </w:tcBorders>
            <w:shd w:val="clear" w:color="000000" w:fill="D9D9D9" w:themeFill="background1" w:themeFillShade="D9"/>
            <w:vAlign w:val="bottom"/>
            <w:hideMark/>
          </w:tcPr>
          <w:p w14:paraId="490E387F" w14:textId="77777777" w:rsidR="00CB4094" w:rsidRPr="00BC1ABD" w:rsidRDefault="00CB4094" w:rsidP="00CB4094">
            <w:pPr>
              <w:spacing w:after="0" w:line="240" w:lineRule="auto"/>
              <w:jc w:val="center"/>
              <w:rPr>
                <w:rFonts w:eastAsia="Times New Roman" w:cs="Calibri"/>
                <w:color w:val="000000"/>
                <w:lang w:val="en-GB" w:eastAsia="sl-SI"/>
              </w:rPr>
            </w:pPr>
            <w:r w:rsidRPr="00BC1ABD">
              <w:rPr>
                <w:rFonts w:eastAsia="Times New Roman" w:cs="Calibri"/>
                <w:b/>
                <w:bCs/>
                <w:color w:val="000000"/>
                <w:lang w:val="en-GB" w:eastAsia="sl-SI"/>
              </w:rPr>
              <w:t>/</w:t>
            </w:r>
          </w:p>
        </w:tc>
        <w:tc>
          <w:tcPr>
            <w:tcW w:w="1240" w:type="dxa"/>
            <w:tcBorders>
              <w:top w:val="single" w:sz="8" w:space="0" w:color="auto"/>
              <w:bottom w:val="single" w:sz="8" w:space="0" w:color="auto"/>
              <w:right w:val="single" w:sz="8" w:space="0" w:color="auto"/>
            </w:tcBorders>
            <w:shd w:val="clear" w:color="000000" w:fill="D9D9D9" w:themeFill="background1" w:themeFillShade="D9"/>
            <w:vAlign w:val="bottom"/>
            <w:hideMark/>
          </w:tcPr>
          <w:p w14:paraId="419A44C4" w14:textId="77777777" w:rsidR="00CB4094" w:rsidRPr="00BC1ABD" w:rsidRDefault="00CB4094" w:rsidP="00CB4094">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 Average</w:t>
            </w:r>
          </w:p>
        </w:tc>
        <w:tc>
          <w:tcPr>
            <w:tcW w:w="1228"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564CEADE"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3,605</w:t>
            </w:r>
          </w:p>
        </w:tc>
        <w:tc>
          <w:tcPr>
            <w:tcW w:w="1828"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5FDB346B"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45</w:t>
            </w:r>
          </w:p>
        </w:tc>
        <w:tc>
          <w:tcPr>
            <w:tcW w:w="1276"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7776CAAE"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eastAsia="sl-SI"/>
              </w:rPr>
              <w:t>2,611</w:t>
            </w:r>
          </w:p>
        </w:tc>
        <w:tc>
          <w:tcPr>
            <w:tcW w:w="1701"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234A5EF0" w14:textId="77777777" w:rsidR="00CB4094" w:rsidRPr="00BC1ABD" w:rsidRDefault="00CB4094" w:rsidP="00CB4094">
            <w:pPr>
              <w:spacing w:after="0" w:line="240" w:lineRule="auto"/>
              <w:ind w:firstLineChars="100" w:firstLine="221"/>
              <w:jc w:val="right"/>
              <w:rPr>
                <w:rFonts w:eastAsia="Times New Roman" w:cs="Calibri"/>
                <w:b/>
                <w:bCs/>
                <w:color w:val="000000"/>
                <w:lang w:val="en-GB" w:eastAsia="sl-SI"/>
              </w:rPr>
            </w:pPr>
            <w:r w:rsidRPr="00BC1ABD">
              <w:rPr>
                <w:rFonts w:eastAsia="Times New Roman" w:cs="Calibri"/>
                <w:b/>
                <w:bCs/>
                <w:color w:val="000000"/>
                <w:lang w:val="en-GB"/>
              </w:rPr>
              <w:t>0.7</w:t>
            </w:r>
          </w:p>
        </w:tc>
      </w:tr>
    </w:tbl>
    <w:p w14:paraId="758EC7C5" w14:textId="77777777" w:rsidR="00CB4094" w:rsidRPr="00BC1ABD" w:rsidRDefault="00CB4094" w:rsidP="00CB4094">
      <w:pPr>
        <w:rPr>
          <w:rFonts w:eastAsia="Times New Roman"/>
          <w:iCs/>
          <w:sz w:val="2"/>
          <w:szCs w:val="2"/>
          <w:lang w:val="en-GB"/>
        </w:rPr>
      </w:pPr>
    </w:p>
    <w:p w14:paraId="0192C3E3" w14:textId="77777777" w:rsidR="00CB4094" w:rsidRPr="00BC1ABD" w:rsidRDefault="00CB4094" w:rsidP="00CB4094">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76717D8E" w14:textId="25B8A926" w:rsidR="00CB4094" w:rsidRDefault="00CB4094" w:rsidP="00CB4094">
      <w:pPr>
        <w:jc w:val="both"/>
        <w:rPr>
          <w:rFonts w:eastAsia="Times New Roman" w:cs="Arial"/>
          <w:sz w:val="20"/>
          <w:szCs w:val="20"/>
          <w:lang w:val="en-GB"/>
        </w:rPr>
      </w:pPr>
      <w:r w:rsidRPr="00BC1ABD">
        <w:rPr>
          <w:rFonts w:eastAsia="Times New Roman" w:cs="Arial"/>
          <w:sz w:val="20"/>
          <w:szCs w:val="20"/>
          <w:lang w:val="en-GB"/>
        </w:rPr>
        <w:t xml:space="preserve">Note: The cities between 100,000 and 200,000 population include Rustavi, Batumi and Kutaisi. For these 3 cities, there are added complexities to determining the ratio of homes connected to </w:t>
      </w:r>
      <w:r w:rsidR="00305484">
        <w:rPr>
          <w:rFonts w:eastAsia="Times New Roman" w:cs="Arial"/>
          <w:sz w:val="20"/>
          <w:szCs w:val="20"/>
          <w:lang w:val="en-GB"/>
        </w:rPr>
        <w:t xml:space="preserve">the </w:t>
      </w:r>
      <w:r w:rsidRPr="00BC1ABD">
        <w:rPr>
          <w:rFonts w:eastAsia="Times New Roman" w:cs="Arial"/>
          <w:sz w:val="20"/>
          <w:szCs w:val="20"/>
          <w:lang w:val="en-GB"/>
        </w:rPr>
        <w:t>number of households. The base data used for homes connected is taken from the data reported by the operators. The number of households is derived from Geo</w:t>
      </w:r>
      <w:r w:rsidR="00305484">
        <w:rPr>
          <w:rFonts w:eastAsia="Times New Roman" w:cs="Arial"/>
          <w:sz w:val="20"/>
          <w:szCs w:val="20"/>
          <w:lang w:val="en-GB"/>
        </w:rPr>
        <w:t>s</w:t>
      </w:r>
      <w:r w:rsidRPr="00BC1ABD">
        <w:rPr>
          <w:rFonts w:eastAsia="Times New Roman" w:cs="Arial"/>
          <w:sz w:val="20"/>
          <w:szCs w:val="20"/>
          <w:lang w:val="en-GB"/>
        </w:rPr>
        <w:t>tat, where household data was last reported in 2014. Rustavi has experienced significant population growth since 2014, whereas Batumi and Kutaisi have relatively stable populations. Batumi is a tourist area where some homes are not occupied all year round and those households are not counted in the Geostat census data. The ratio of homes connected to number of households in Batumi is 1.28, probably reflecting the absence of some households from the calculation. The ratio of homes connected to number of households in Kutaisi is 0.97. In Rustavi, an attempt has been made to update the number of households from the Geostat 2014 data to a more realistic estimate for 2022 based on population growth. Even with this higher estimate of households, Rustavi has a ratio of homes connected to number of households of 1.29, based on the subscriptions reported by the operators. The calculations for cities with growing populations, notably Rustavi and Tbilisi, remain subject to added complexity without more accurate data on households within these cities.</w:t>
      </w:r>
    </w:p>
    <w:p w14:paraId="383DEE19" w14:textId="3243B482" w:rsidR="000A660E" w:rsidRDefault="000A660E" w:rsidP="00CB4094">
      <w:pPr>
        <w:jc w:val="both"/>
        <w:rPr>
          <w:rFonts w:eastAsia="Times New Roman" w:cs="Arial"/>
          <w:sz w:val="20"/>
          <w:szCs w:val="20"/>
          <w:lang w:val="en-GB"/>
        </w:rPr>
      </w:pPr>
    </w:p>
    <w:p w14:paraId="6A70B877" w14:textId="77777777" w:rsidR="000A660E" w:rsidRPr="00BC1ABD" w:rsidRDefault="000A660E" w:rsidP="00CB4094">
      <w:pPr>
        <w:jc w:val="both"/>
        <w:rPr>
          <w:rFonts w:eastAsia="Times New Roman" w:cs="Arial"/>
          <w:sz w:val="20"/>
          <w:szCs w:val="20"/>
          <w:lang w:val="en-GB"/>
        </w:rPr>
      </w:pPr>
    </w:p>
    <w:p w14:paraId="0FC64D18" w14:textId="77777777" w:rsidR="00CB4094" w:rsidRPr="008B28CB" w:rsidRDefault="00CB4094" w:rsidP="008B28CB">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86" w:name="_Toc169258912"/>
      <w:r w:rsidRPr="008B28CB">
        <w:rPr>
          <w:rFonts w:asciiTheme="minorHAnsi" w:hAnsiTheme="minorHAnsi" w:cstheme="minorHAnsi"/>
          <w:b w:val="0"/>
          <w:bCs w:val="0"/>
          <w:sz w:val="24"/>
          <w:szCs w:val="24"/>
          <w:lang w:val="en-GB"/>
        </w:rPr>
        <w:t>Conclusions</w:t>
      </w:r>
      <w:bookmarkEnd w:id="86"/>
    </w:p>
    <w:p w14:paraId="458848B7" w14:textId="12793CB2"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In Georgia the majority of fixed broadband subscribers are connected to a </w:t>
      </w:r>
      <w:r w:rsidR="00592449">
        <w:rPr>
          <w:rFonts w:eastAsia="Times New Roman" w:cs="Arial"/>
          <w:sz w:val="24"/>
          <w:szCs w:val="24"/>
          <w:lang w:val="en-GB"/>
        </w:rPr>
        <w:t>FTTx</w:t>
      </w:r>
      <w:r w:rsidRPr="00BC1ABD">
        <w:rPr>
          <w:rFonts w:eastAsia="Times New Roman" w:cs="Arial"/>
          <w:sz w:val="24"/>
          <w:szCs w:val="24"/>
          <w:lang w:val="en-GB"/>
        </w:rPr>
        <w:t xml:space="preserve"> network (91%).</w:t>
      </w:r>
      <w:r w:rsidRPr="00BC1ABD">
        <w:rPr>
          <w:rFonts w:eastAsia="Times New Roman" w:cs="Arial"/>
          <w:sz w:val="24"/>
          <w:szCs w:val="24"/>
          <w:vertAlign w:val="superscript"/>
          <w:lang w:val="en-GB"/>
        </w:rPr>
        <w:footnoteReference w:id="44"/>
      </w:r>
      <w:r w:rsidRPr="00BC1ABD">
        <w:rPr>
          <w:rFonts w:eastAsia="Times New Roman" w:cs="Arial"/>
          <w:sz w:val="24"/>
          <w:szCs w:val="24"/>
          <w:lang w:val="en-GB"/>
        </w:rPr>
        <w:t xml:space="preserve"> All cities with more than 40,000 inhabitants have at least three providers of </w:t>
      </w:r>
      <w:r w:rsidR="00592449">
        <w:rPr>
          <w:rFonts w:eastAsia="Times New Roman" w:cs="Arial"/>
          <w:sz w:val="24"/>
          <w:szCs w:val="24"/>
          <w:lang w:val="en-GB"/>
        </w:rPr>
        <w:t>FTTx</w:t>
      </w:r>
      <w:r w:rsidRPr="00BC1ABD">
        <w:rPr>
          <w:rFonts w:eastAsia="Times New Roman" w:cs="Arial"/>
          <w:sz w:val="24"/>
          <w:szCs w:val="24"/>
          <w:lang w:val="en-GB"/>
        </w:rPr>
        <w:t xml:space="preserve"> networks. In this coverage analysis we have only assessed network and technology coverage, not the relative market sizes and take-up of the separate operators and the different technologies. The relative market positions resulting from this network coverage will be carried out in a subsequent competition analysis (in Chapter </w:t>
      </w:r>
      <w:r w:rsidR="00B3125C">
        <w:rPr>
          <w:rFonts w:eastAsia="Times New Roman" w:cs="Arial"/>
          <w:sz w:val="24"/>
          <w:szCs w:val="24"/>
          <w:lang w:val="en-GB"/>
        </w:rPr>
        <w:t>3</w:t>
      </w:r>
      <w:r w:rsidRPr="00BC1ABD">
        <w:rPr>
          <w:rFonts w:eastAsia="Times New Roman" w:cs="Arial"/>
          <w:sz w:val="24"/>
          <w:szCs w:val="24"/>
          <w:lang w:val="en-GB"/>
        </w:rPr>
        <w:t>.6).</w:t>
      </w:r>
    </w:p>
    <w:p w14:paraId="185A7AC3" w14:textId="77777777"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LTE technology has a coverage of all settlements with over 2,000 population (at least part of those settlements is covered by at least one operator). In this respect LTE networks have the technical capability to provide near universal fixed broadband access in Georgia. However, Georgian mobile operators do not generally choose to use their LTE networks to offer fixed broadband service to subscribers</w:t>
      </w:r>
      <w:r w:rsidRPr="00BC1ABD">
        <w:rPr>
          <w:rFonts w:eastAsia="Times New Roman" w:cs="Arial"/>
          <w:sz w:val="24"/>
          <w:szCs w:val="24"/>
          <w:vertAlign w:val="superscript"/>
          <w:lang w:val="en-GB"/>
        </w:rPr>
        <w:footnoteReference w:id="45"/>
      </w:r>
      <w:r w:rsidRPr="00BC1ABD">
        <w:rPr>
          <w:rFonts w:eastAsia="Times New Roman" w:cs="Arial"/>
          <w:sz w:val="24"/>
          <w:szCs w:val="24"/>
          <w:lang w:val="en-GB"/>
        </w:rPr>
        <w:t>.</w:t>
      </w:r>
    </w:p>
    <w:p w14:paraId="62243BFE" w14:textId="501A2B3D"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In terms of geographical coverage and take-up, xDSL has the lowest, FWA the next lowest and </w:t>
      </w:r>
      <w:r w:rsidR="00592449">
        <w:rPr>
          <w:rFonts w:eastAsia="Times New Roman" w:cs="Arial"/>
          <w:sz w:val="24"/>
          <w:szCs w:val="24"/>
          <w:lang w:val="en-GB"/>
        </w:rPr>
        <w:t>FTTx</w:t>
      </w:r>
      <w:r w:rsidRPr="00BC1ABD">
        <w:rPr>
          <w:rFonts w:eastAsia="Times New Roman" w:cs="Arial"/>
          <w:sz w:val="24"/>
          <w:szCs w:val="24"/>
          <w:lang w:val="en-GB"/>
        </w:rPr>
        <w:t xml:space="preserve"> the highest. LTE coverage is national but its take-up rate for fixed broadband access is the lowest of all technologies.</w:t>
      </w:r>
    </w:p>
    <w:p w14:paraId="231E5F1C" w14:textId="0E90D5BB"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The overlaps between the geographical coverage of different fixed broadband networks using different technologies will have obvious implications for competition. The level of overlap varies considerably between the relative size of settlements. All settlements with more than 40,000 inhabitants have at least three providers of </w:t>
      </w:r>
      <w:r w:rsidR="00592449">
        <w:rPr>
          <w:rFonts w:eastAsia="Times New Roman" w:cs="Arial"/>
          <w:sz w:val="24"/>
          <w:szCs w:val="24"/>
          <w:lang w:val="en-GB"/>
        </w:rPr>
        <w:t>FTTx</w:t>
      </w:r>
      <w:r w:rsidRPr="00BC1ABD">
        <w:rPr>
          <w:rFonts w:eastAsia="Times New Roman" w:cs="Arial"/>
          <w:sz w:val="24"/>
          <w:szCs w:val="24"/>
          <w:lang w:val="en-GB"/>
        </w:rPr>
        <w:t xml:space="preserve"> networks, plus additional FWA and xDSL networks. In those settlements each household has on average </w:t>
      </w:r>
      <w:r w:rsidR="00FE2774">
        <w:rPr>
          <w:rFonts w:eastAsia="Times New Roman" w:cs="Arial"/>
          <w:sz w:val="24"/>
          <w:szCs w:val="24"/>
          <w:lang w:val="en-GB"/>
        </w:rPr>
        <w:t xml:space="preserve">of </w:t>
      </w:r>
      <w:r w:rsidRPr="00BC1ABD">
        <w:rPr>
          <w:rFonts w:eastAsia="Times New Roman" w:cs="Arial"/>
          <w:sz w:val="24"/>
          <w:szCs w:val="24"/>
          <w:lang w:val="en-GB"/>
        </w:rPr>
        <w:t xml:space="preserve">more than one available </w:t>
      </w:r>
      <w:r w:rsidR="00592449">
        <w:rPr>
          <w:rFonts w:eastAsia="Times New Roman" w:cs="Arial"/>
          <w:sz w:val="24"/>
          <w:szCs w:val="24"/>
          <w:lang w:val="en-GB"/>
        </w:rPr>
        <w:t>FTTx</w:t>
      </w:r>
      <w:r w:rsidRPr="00BC1ABD">
        <w:rPr>
          <w:rFonts w:eastAsia="Times New Roman" w:cs="Arial"/>
          <w:sz w:val="24"/>
          <w:szCs w:val="24"/>
          <w:lang w:val="en-GB"/>
        </w:rPr>
        <w:t xml:space="preserve"> network and the actual take up is 90% or more. There are 1,4</w:t>
      </w:r>
      <w:r w:rsidR="008B1C49">
        <w:rPr>
          <w:rFonts w:eastAsia="Times New Roman" w:cs="Arial"/>
          <w:sz w:val="24"/>
          <w:szCs w:val="24"/>
          <w:lang w:val="en-GB"/>
        </w:rPr>
        <w:t>20</w:t>
      </w:r>
      <w:r w:rsidR="00D52A56">
        <w:rPr>
          <w:rFonts w:eastAsia="Times New Roman" w:cs="Arial"/>
          <w:sz w:val="24"/>
          <w:szCs w:val="24"/>
          <w:lang w:val="en-GB"/>
        </w:rPr>
        <w:t xml:space="preserve"> </w:t>
      </w:r>
      <w:r w:rsidRPr="00BC1ABD">
        <w:rPr>
          <w:rFonts w:eastAsia="Times New Roman" w:cs="Arial"/>
          <w:sz w:val="24"/>
          <w:szCs w:val="24"/>
          <w:lang w:val="en-GB"/>
        </w:rPr>
        <w:t>settlements without any broadband coverage by any fixed network technology, representing 4.</w:t>
      </w:r>
      <w:r w:rsidR="0010054C">
        <w:rPr>
          <w:rFonts w:eastAsia="Times New Roman" w:cs="Arial"/>
          <w:sz w:val="24"/>
          <w:szCs w:val="24"/>
          <w:lang w:val="en-GB"/>
        </w:rPr>
        <w:t>9</w:t>
      </w:r>
      <w:r w:rsidRPr="00BC1ABD">
        <w:rPr>
          <w:rFonts w:eastAsia="Times New Roman" w:cs="Arial"/>
          <w:sz w:val="24"/>
          <w:szCs w:val="24"/>
          <w:lang w:val="en-GB"/>
        </w:rPr>
        <w:t>% of all households in Georgia.</w:t>
      </w:r>
    </w:p>
    <w:p w14:paraId="5F3374DC" w14:textId="346ABBA9" w:rsidR="00CB4094" w:rsidRPr="00BC1ABD" w:rsidRDefault="00CB4094" w:rsidP="00CB4094">
      <w:pPr>
        <w:jc w:val="both"/>
        <w:rPr>
          <w:rFonts w:eastAsia="Times New Roman" w:cs="Arial"/>
          <w:sz w:val="24"/>
          <w:szCs w:val="24"/>
          <w:lang w:val="en-GB"/>
        </w:rPr>
      </w:pPr>
      <w:r w:rsidRPr="00BC1ABD">
        <w:rPr>
          <w:rFonts w:eastAsia="Times New Roman" w:cs="Arial"/>
          <w:sz w:val="24"/>
          <w:szCs w:val="24"/>
          <w:lang w:val="en-GB"/>
        </w:rPr>
        <w:t xml:space="preserve">In the recent past, the majority of investments have been in </w:t>
      </w:r>
      <w:r w:rsidR="00592449">
        <w:rPr>
          <w:rFonts w:eastAsia="Times New Roman" w:cs="Arial"/>
          <w:sz w:val="24"/>
          <w:szCs w:val="24"/>
          <w:lang w:val="en-GB"/>
        </w:rPr>
        <w:t>FTTx</w:t>
      </w:r>
      <w:r w:rsidRPr="00BC1ABD">
        <w:rPr>
          <w:rFonts w:eastAsia="Times New Roman" w:cs="Arial"/>
          <w:sz w:val="24"/>
          <w:szCs w:val="24"/>
          <w:lang w:val="en-GB"/>
        </w:rPr>
        <w:t xml:space="preserve"> networks. There have been only limited investments in FWA and no recent investments in copper-based xDSL networks. It is therefore expected that the coverage of </w:t>
      </w:r>
      <w:r w:rsidR="00592449">
        <w:rPr>
          <w:rFonts w:eastAsia="Times New Roman" w:cs="Arial"/>
          <w:sz w:val="24"/>
          <w:szCs w:val="24"/>
          <w:lang w:val="en-GB"/>
        </w:rPr>
        <w:t>FTTx</w:t>
      </w:r>
      <w:r w:rsidRPr="00BC1ABD">
        <w:rPr>
          <w:rFonts w:eastAsia="Times New Roman" w:cs="Arial"/>
          <w:sz w:val="24"/>
          <w:szCs w:val="24"/>
          <w:lang w:val="en-GB"/>
        </w:rPr>
        <w:t xml:space="preserve"> networks will keep increasing while other technologies will be gradually declining in the course of the forward-looking time horizon of this market analysis.</w:t>
      </w:r>
    </w:p>
    <w:p w14:paraId="33E8F1F3" w14:textId="3F9D2216" w:rsidR="00B271E6" w:rsidRPr="008B28CB" w:rsidRDefault="00CB4094" w:rsidP="008B28CB">
      <w:pPr>
        <w:jc w:val="both"/>
        <w:rPr>
          <w:rFonts w:eastAsia="Times New Roman" w:cs="Arial"/>
          <w:sz w:val="24"/>
          <w:szCs w:val="24"/>
          <w:lang w:val="en-GB"/>
        </w:rPr>
      </w:pPr>
      <w:r w:rsidRPr="00BC1ABD">
        <w:rPr>
          <w:rFonts w:eastAsia="Times New Roman" w:cs="Arial"/>
          <w:sz w:val="24"/>
          <w:szCs w:val="24"/>
          <w:lang w:val="en-GB"/>
        </w:rPr>
        <w:t>The real challenge that remains for Georgia is how to provide broadband connectivity in small, rural settlements for which there remains no economic incentive to build fixed broadband access networks</w:t>
      </w:r>
      <w:r w:rsidR="00B55501" w:rsidRPr="00BC1ABD">
        <w:rPr>
          <w:rFonts w:cs="Arial"/>
          <w:sz w:val="24"/>
          <w:szCs w:val="24"/>
          <w:lang w:val="en-GB"/>
        </w:rPr>
        <w:t>.</w:t>
      </w:r>
      <w:bookmarkEnd w:id="40"/>
    </w:p>
    <w:p w14:paraId="7CAA5F39" w14:textId="402A43E7" w:rsidR="00926520" w:rsidRPr="00BC1ABD" w:rsidRDefault="00B271E6" w:rsidP="00C83503">
      <w:pPr>
        <w:pStyle w:val="Heading2"/>
        <w:numPr>
          <w:ilvl w:val="1"/>
          <w:numId w:val="88"/>
        </w:numPr>
        <w:spacing w:after="240"/>
        <w:rPr>
          <w:lang w:val="en-GB"/>
        </w:rPr>
      </w:pPr>
      <w:bookmarkStart w:id="87" w:name="_Toc169258913"/>
      <w:r w:rsidRPr="00BC1ABD">
        <w:rPr>
          <w:lang w:val="en-GB"/>
        </w:rPr>
        <w:t>Current situation on the retail fixed broadband access services in Georgia</w:t>
      </w:r>
      <w:bookmarkEnd w:id="87"/>
    </w:p>
    <w:p w14:paraId="6DC04CFC" w14:textId="72BB196C"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In this section a preliminary analysis of the current situation on the retail broadband access market in Georgia will be made before conducting a substitutability analysis as part of the market definition process. At this stage of the preliminary analysis, all the services that provide speeds higher than 2 Mbps (according to the </w:t>
      </w:r>
      <w:r w:rsidRPr="00E517D9">
        <w:rPr>
          <w:lang w:val="en-US"/>
        </w:rPr>
        <w:t>ITU definition</w:t>
      </w:r>
      <w:r w:rsidRPr="00BC1ABD">
        <w:rPr>
          <w:rFonts w:eastAsia="Times New Roman" w:cs="Arial"/>
          <w:sz w:val="24"/>
          <w:szCs w:val="24"/>
          <w:vertAlign w:val="superscript"/>
          <w:lang w:val="en-GB"/>
        </w:rPr>
        <w:footnoteReference w:id="46"/>
      </w:r>
      <w:r w:rsidRPr="00BC1ABD">
        <w:rPr>
          <w:rFonts w:eastAsia="Times New Roman" w:cs="Arial"/>
          <w:sz w:val="24"/>
          <w:szCs w:val="24"/>
          <w:lang w:val="en-GB"/>
        </w:rPr>
        <w:t>) are considered as broadband services. This does not prejudge the conclusions that will be made in the substitutability analysis.</w:t>
      </w:r>
    </w:p>
    <w:p w14:paraId="05564527"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This preliminary analysis is based on the data collected by ComCom on a regular basis. Where clarification has been found necessary, ComCom have collected additional data from operators for this specific market analysis.</w:t>
      </w:r>
    </w:p>
    <w:p w14:paraId="59A7A855" w14:textId="7903FD6F" w:rsidR="000E5E4F" w:rsidRPr="005A7482" w:rsidRDefault="000E5E4F" w:rsidP="005A7482">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88" w:name="_Toc146107803"/>
      <w:bookmarkStart w:id="89" w:name="_Toc169258914"/>
      <w:r w:rsidRPr="005A7482">
        <w:rPr>
          <w:rFonts w:asciiTheme="minorHAnsi" w:hAnsiTheme="minorHAnsi" w:cstheme="minorHAnsi"/>
          <w:b w:val="0"/>
          <w:bCs w:val="0"/>
          <w:sz w:val="24"/>
          <w:szCs w:val="24"/>
          <w:lang w:val="en-GB"/>
        </w:rPr>
        <w:t>Relationships between fixed broadband access services provided to different customer groups</w:t>
      </w:r>
      <w:bookmarkEnd w:id="88"/>
      <w:bookmarkEnd w:id="89"/>
    </w:p>
    <w:p w14:paraId="0FF1A371" w14:textId="39C94D3B"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As a starting point, the retail mass market of standardised offers must be distinguished from tailored offers of customised, high-quality broadband services. The mass-market offers are targeted at all types of consumers plus small to medium businesses. Customised services are provided for those businesses with more complex telecommunications needs, for example large, multi-site businesses and firms within complex supply chains. The</w:t>
      </w:r>
      <w:r w:rsidR="00A53851">
        <w:rPr>
          <w:rFonts w:eastAsia="Times New Roman" w:cs="Arial"/>
          <w:sz w:val="24"/>
          <w:szCs w:val="24"/>
          <w:lang w:val="en-GB"/>
        </w:rPr>
        <w:t>se</w:t>
      </w:r>
      <w:r w:rsidRPr="00BC1ABD">
        <w:rPr>
          <w:rFonts w:eastAsia="Times New Roman" w:cs="Arial"/>
          <w:sz w:val="24"/>
          <w:szCs w:val="24"/>
          <w:lang w:val="en-GB"/>
        </w:rPr>
        <w:t xml:space="preserve"> more customised offers usually integrate fixed broadband access with mobile connectivity and other related IT services, ensuring a managed and secure operation for their internal company networks and to ensure reliable connectivity with essential suppliers. An important need for these more complex businesses is to have a single point of contact with their telecommunications operator, responsible for all elements of the service from initial selection of services and purchase through to after-sales service, problem resolution and billing.</w:t>
      </w:r>
    </w:p>
    <w:p w14:paraId="4417E25E" w14:textId="5000CB6D"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These tailored high-quality business services are typically based on the provision of dedicated capacity (for example using leased lines with symmetric upload and download speeds) that are used to link different business locations. The following inputs can </w:t>
      </w:r>
      <w:r w:rsidR="00A53851">
        <w:rPr>
          <w:rFonts w:eastAsia="Times New Roman" w:cs="Arial"/>
          <w:sz w:val="24"/>
          <w:szCs w:val="24"/>
          <w:lang w:val="en-GB"/>
        </w:rPr>
        <w:t xml:space="preserve">typically </w:t>
      </w:r>
      <w:r w:rsidRPr="00BC1ABD">
        <w:rPr>
          <w:rFonts w:eastAsia="Times New Roman" w:cs="Arial"/>
          <w:sz w:val="24"/>
          <w:szCs w:val="24"/>
          <w:lang w:val="en-GB"/>
        </w:rPr>
        <w:t>be used for the provision of such high-quality access services:</w:t>
      </w:r>
    </w:p>
    <w:p w14:paraId="63541274" w14:textId="5035E248" w:rsidR="000E5E4F" w:rsidRPr="00BC1ABD" w:rsidRDefault="000E5E4F" w:rsidP="000E5E4F">
      <w:pPr>
        <w:numPr>
          <w:ilvl w:val="0"/>
          <w:numId w:val="61"/>
        </w:numPr>
        <w:contextualSpacing/>
        <w:jc w:val="both"/>
        <w:rPr>
          <w:rFonts w:eastAsia="Times New Roman" w:cs="Arial"/>
          <w:sz w:val="24"/>
          <w:szCs w:val="24"/>
          <w:lang w:val="en-GB"/>
        </w:rPr>
      </w:pPr>
      <w:r w:rsidRPr="00BC1ABD">
        <w:rPr>
          <w:rFonts w:eastAsia="Times New Roman" w:cs="Arial"/>
          <w:sz w:val="24"/>
          <w:szCs w:val="24"/>
          <w:lang w:val="en-GB"/>
        </w:rPr>
        <w:t>Traditional digital leased lines (</w:t>
      </w:r>
      <w:r w:rsidRPr="00E517D9">
        <w:rPr>
          <w:lang w:val="en-US"/>
        </w:rPr>
        <w:t>SDH</w:t>
      </w:r>
      <w:r w:rsidRPr="00BC1ABD">
        <w:rPr>
          <w:rFonts w:eastAsia="Times New Roman" w:cs="Arial"/>
          <w:sz w:val="24"/>
          <w:szCs w:val="24"/>
          <w:vertAlign w:val="superscript"/>
          <w:lang w:val="en-GB"/>
        </w:rPr>
        <w:footnoteReference w:id="47"/>
      </w:r>
      <w:r w:rsidRPr="00BC1ABD">
        <w:rPr>
          <w:rFonts w:eastAsia="Times New Roman" w:cs="Arial"/>
          <w:sz w:val="24"/>
          <w:szCs w:val="24"/>
          <w:lang w:val="en-GB"/>
        </w:rPr>
        <w:t xml:space="preserve">, </w:t>
      </w:r>
      <w:r w:rsidRPr="00E517D9">
        <w:rPr>
          <w:lang w:val="en-US"/>
        </w:rPr>
        <w:t>PDH</w:t>
      </w:r>
      <w:r w:rsidRPr="00BC1ABD">
        <w:rPr>
          <w:rFonts w:eastAsia="Times New Roman" w:cs="Arial"/>
          <w:sz w:val="24"/>
          <w:szCs w:val="24"/>
          <w:vertAlign w:val="superscript"/>
          <w:lang w:val="en-GB"/>
        </w:rPr>
        <w:footnoteReference w:id="48"/>
      </w:r>
      <w:r w:rsidRPr="00BC1ABD">
        <w:rPr>
          <w:rFonts w:eastAsia="Times New Roman" w:cs="Arial"/>
          <w:sz w:val="24"/>
          <w:szCs w:val="24"/>
          <w:lang w:val="en-GB"/>
        </w:rPr>
        <w:t>)</w:t>
      </w:r>
      <w:r w:rsidR="00A53851">
        <w:rPr>
          <w:rFonts w:eastAsia="Times New Roman" w:cs="Arial"/>
          <w:sz w:val="24"/>
          <w:szCs w:val="24"/>
          <w:lang w:val="en-GB"/>
        </w:rPr>
        <w:t>;</w:t>
      </w:r>
    </w:p>
    <w:p w14:paraId="2B54D1F8" w14:textId="62B2DA4E" w:rsidR="000E5E4F" w:rsidRPr="00BC1ABD" w:rsidRDefault="000E5E4F" w:rsidP="000E5E4F">
      <w:pPr>
        <w:numPr>
          <w:ilvl w:val="0"/>
          <w:numId w:val="61"/>
        </w:numPr>
        <w:contextualSpacing/>
        <w:jc w:val="both"/>
        <w:rPr>
          <w:rFonts w:eastAsia="Times New Roman" w:cs="Arial"/>
          <w:sz w:val="24"/>
          <w:szCs w:val="24"/>
          <w:lang w:val="en-GB"/>
        </w:rPr>
      </w:pPr>
      <w:r w:rsidRPr="00E82B0B">
        <w:t>Ethernet</w:t>
      </w:r>
      <w:r w:rsidRPr="00BC1ABD">
        <w:rPr>
          <w:rFonts w:eastAsia="Times New Roman" w:cs="Arial"/>
          <w:sz w:val="24"/>
          <w:szCs w:val="24"/>
          <w:vertAlign w:val="superscript"/>
          <w:lang w:val="en-GB"/>
        </w:rPr>
        <w:footnoteReference w:id="49"/>
      </w:r>
      <w:r w:rsidRPr="00BC1ABD">
        <w:rPr>
          <w:rFonts w:eastAsia="Times New Roman" w:cs="Arial"/>
          <w:sz w:val="24"/>
          <w:szCs w:val="24"/>
          <w:lang w:val="en-GB"/>
        </w:rPr>
        <w:t xml:space="preserve"> lines</w:t>
      </w:r>
      <w:r w:rsidR="00A53851">
        <w:rPr>
          <w:rFonts w:eastAsia="Times New Roman" w:cs="Arial"/>
          <w:sz w:val="24"/>
          <w:szCs w:val="24"/>
          <w:lang w:val="en-GB"/>
        </w:rPr>
        <w:t>;</w:t>
      </w:r>
      <w:r w:rsidRPr="00BC1ABD">
        <w:rPr>
          <w:rFonts w:eastAsia="Times New Roman" w:cs="Arial"/>
          <w:sz w:val="24"/>
          <w:szCs w:val="24"/>
          <w:lang w:val="en-GB"/>
        </w:rPr>
        <w:t xml:space="preserve"> </w:t>
      </w:r>
    </w:p>
    <w:p w14:paraId="7007EB29" w14:textId="06F30ED8" w:rsidR="000E5E4F" w:rsidRPr="00BC1ABD" w:rsidRDefault="000E5E4F" w:rsidP="000E5E4F">
      <w:pPr>
        <w:numPr>
          <w:ilvl w:val="0"/>
          <w:numId w:val="61"/>
        </w:numPr>
        <w:contextualSpacing/>
        <w:jc w:val="both"/>
        <w:rPr>
          <w:rFonts w:eastAsia="Times New Roman" w:cs="Arial"/>
          <w:sz w:val="24"/>
          <w:szCs w:val="24"/>
          <w:lang w:val="en-GB"/>
        </w:rPr>
      </w:pPr>
      <w:r w:rsidRPr="00BC1ABD">
        <w:rPr>
          <w:rFonts w:eastAsia="Times New Roman" w:cs="Arial"/>
          <w:sz w:val="24"/>
          <w:szCs w:val="24"/>
          <w:lang w:val="en-GB"/>
        </w:rPr>
        <w:t>Wavelength access (</w:t>
      </w:r>
      <w:r w:rsidRPr="00E82B0B">
        <w:t>xWDM</w:t>
      </w:r>
      <w:r w:rsidRPr="00BC1ABD">
        <w:rPr>
          <w:rFonts w:eastAsia="Times New Roman" w:cs="Arial"/>
          <w:sz w:val="24"/>
          <w:szCs w:val="24"/>
          <w:vertAlign w:val="superscript"/>
          <w:lang w:val="en-GB"/>
        </w:rPr>
        <w:footnoteReference w:id="50"/>
      </w:r>
      <w:r w:rsidRPr="00BC1ABD">
        <w:rPr>
          <w:rFonts w:eastAsia="Times New Roman" w:cs="Arial"/>
          <w:sz w:val="24"/>
          <w:szCs w:val="24"/>
          <w:lang w:val="en-GB"/>
        </w:rPr>
        <w:t>)</w:t>
      </w:r>
      <w:r w:rsidR="00A53851">
        <w:rPr>
          <w:rFonts w:eastAsia="Times New Roman" w:cs="Arial"/>
          <w:sz w:val="24"/>
          <w:szCs w:val="24"/>
          <w:lang w:val="en-GB"/>
        </w:rPr>
        <w:t>;</w:t>
      </w:r>
    </w:p>
    <w:p w14:paraId="7AD57C73" w14:textId="218ED29B" w:rsidR="000E5E4F" w:rsidRPr="00BC1ABD" w:rsidRDefault="000E5E4F" w:rsidP="000E5E4F">
      <w:pPr>
        <w:numPr>
          <w:ilvl w:val="0"/>
          <w:numId w:val="61"/>
        </w:numPr>
        <w:contextualSpacing/>
        <w:jc w:val="both"/>
        <w:rPr>
          <w:rFonts w:eastAsia="Times New Roman" w:cs="Arial"/>
          <w:sz w:val="24"/>
          <w:szCs w:val="24"/>
          <w:lang w:val="en-GB"/>
        </w:rPr>
      </w:pPr>
      <w:r w:rsidRPr="00E82B0B">
        <w:t>Dark fibre access</w:t>
      </w:r>
      <w:r w:rsidRPr="00BC1ABD">
        <w:rPr>
          <w:rFonts w:eastAsia="Times New Roman" w:cs="Arial"/>
          <w:sz w:val="24"/>
          <w:szCs w:val="24"/>
          <w:vertAlign w:val="superscript"/>
          <w:lang w:val="en-GB"/>
        </w:rPr>
        <w:footnoteReference w:id="51"/>
      </w:r>
      <w:r w:rsidRPr="00BC1ABD">
        <w:rPr>
          <w:rFonts w:eastAsia="Times New Roman" w:cs="Arial"/>
          <w:sz w:val="24"/>
          <w:szCs w:val="24"/>
          <w:lang w:val="en-GB"/>
        </w:rPr>
        <w:t xml:space="preserve">). </w:t>
      </w:r>
    </w:p>
    <w:p w14:paraId="6B145205" w14:textId="77777777" w:rsidR="000E5E4F" w:rsidRPr="00BC1ABD" w:rsidRDefault="000E5E4F" w:rsidP="000E5E4F">
      <w:pPr>
        <w:spacing w:before="240"/>
        <w:jc w:val="both"/>
        <w:rPr>
          <w:rFonts w:eastAsia="Times New Roman" w:cs="Arial"/>
          <w:sz w:val="24"/>
          <w:szCs w:val="24"/>
          <w:lang w:val="en-GB"/>
        </w:rPr>
      </w:pPr>
      <w:r w:rsidRPr="00BC1ABD">
        <w:rPr>
          <w:rFonts w:eastAsia="Times New Roman" w:cs="Arial"/>
          <w:sz w:val="24"/>
          <w:szCs w:val="24"/>
          <w:lang w:val="en-GB"/>
        </w:rPr>
        <w:t>The need for more complex and customised inputs, generally requires more specialist staff trained to deliver such complex business solutions. It is therefore considered that there is no supply-side substitution between customised fixed broadband business services and mass-market fixed broadband access services.</w:t>
      </w:r>
    </w:p>
    <w:p w14:paraId="059B689B"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The market for fixed broadband access services for this relatively small number of larger, more complex users is therefore separated from the mass market for fixed broadband access services. The mass market includes all residential users plus those business users that generally use the same generic mass-market fixed broadband services as residential users.</w:t>
      </w:r>
    </w:p>
    <w:p w14:paraId="3608AD3E"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In some EU cases, NRAs (for example the Romanian NRA</w:t>
      </w:r>
      <w:r w:rsidRPr="00BC1ABD">
        <w:rPr>
          <w:rFonts w:eastAsia="Times New Roman" w:cs="Arial"/>
          <w:sz w:val="24"/>
          <w:szCs w:val="24"/>
          <w:vertAlign w:val="superscript"/>
          <w:lang w:val="en-GB"/>
        </w:rPr>
        <w:footnoteReference w:id="52"/>
      </w:r>
      <w:r w:rsidRPr="00BC1ABD">
        <w:rPr>
          <w:rFonts w:eastAsia="Times New Roman" w:cs="Arial"/>
          <w:sz w:val="24"/>
          <w:szCs w:val="24"/>
          <w:lang w:val="en-GB"/>
        </w:rPr>
        <w:t>, do not consider that mass market fixed broadband access services (available to both residential and business end-users) constitute separate markets. Within the mass market, there are sometimes options for better service response (for example faster delivery times and fault restoration). These options are available (generally with increased tariffs) to both businesses and residential users. The main problem faced in separating these markets is to define a borderline between different businesses.</w:t>
      </w:r>
    </w:p>
    <w:p w14:paraId="05EB0070"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In any case, there will usually be the possibility of supply-side substitution, given that the operator inputs for the customised business, mass market business and mass market residential fixed broadband access services are overlapping and an operator could relatively easily redirect resources from the provision of services from one segment to address the other segment.</w:t>
      </w:r>
    </w:p>
    <w:p w14:paraId="237C8528"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This reasoning does however not apply fully in Georgia. Operators do not typically allow business users to contract residential packages. If a businessperson takes out a residential fixed broadband access subscription (that is without declaring that the subscription will be used by their business) then the operator could cancel the subscription and replace it with a business fixed broadband subscription. There are advantages for businesses to use business subscriptions because there are features that can be included that are useful to businesses (for example multi-user capabilities within the business). Residential customers do not purchase business subscriptions. This means that although (technically and operationally) supply-side substitution between the mass market services provided to residential clients and business users is perfectly possible, in reality such supply-side substitution would not generally occur. For this reason, it should be concluded that the retail mass-markets for residential broadband access and business broadband access are separate but adjacent markets, due to lack of demand substitutability.</w:t>
      </w:r>
    </w:p>
    <w:p w14:paraId="7B0D1968"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In the forthcoming chapters, the retail mass-market for fixed broadband access services provided to the residential customers will be analysed. This market will be referred to as the ‘retail residential broadband access market’.</w:t>
      </w:r>
    </w:p>
    <w:p w14:paraId="4094AEBB" w14:textId="4D9B432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The conclusions of this analysis of this retail mass-market broadband access market will nevertheless normally also apply to the business mass-market, given that the inputs required by the operators to supply the services for both residential users and businesses are the same. For the same reason, the subdivision of the retail mass market services into two adjacent markets will not require the identification of additional or different corresponding, upstream wholesale markets than </w:t>
      </w:r>
      <w:r w:rsidR="004E472E" w:rsidRPr="00BC1ABD">
        <w:rPr>
          <w:rFonts w:eastAsia="Times New Roman" w:cs="Arial"/>
          <w:sz w:val="24"/>
          <w:szCs w:val="24"/>
          <w:lang w:val="en-GB"/>
        </w:rPr>
        <w:t>th</w:t>
      </w:r>
      <w:r w:rsidR="004E472E">
        <w:rPr>
          <w:rFonts w:eastAsia="Times New Roman" w:cs="Arial"/>
          <w:sz w:val="24"/>
          <w:szCs w:val="24"/>
          <w:lang w:val="en-GB"/>
        </w:rPr>
        <w:t>e</w:t>
      </w:r>
      <w:r w:rsidR="004E472E" w:rsidRPr="00BC1ABD">
        <w:rPr>
          <w:rFonts w:eastAsia="Times New Roman" w:cs="Arial"/>
          <w:sz w:val="24"/>
          <w:szCs w:val="24"/>
          <w:lang w:val="en-GB"/>
        </w:rPr>
        <w:t xml:space="preserve"> </w:t>
      </w:r>
      <w:r w:rsidR="004E472E">
        <w:rPr>
          <w:rFonts w:eastAsia="Times New Roman" w:cs="Arial"/>
          <w:sz w:val="24"/>
          <w:szCs w:val="24"/>
          <w:lang w:val="en-GB"/>
        </w:rPr>
        <w:t xml:space="preserve">one </w:t>
      </w:r>
      <w:r w:rsidRPr="00BC1ABD">
        <w:rPr>
          <w:rFonts w:eastAsia="Times New Roman" w:cs="Arial"/>
          <w:sz w:val="24"/>
          <w:szCs w:val="24"/>
          <w:lang w:val="en-GB"/>
        </w:rPr>
        <w:t xml:space="preserve">analysed </w:t>
      </w:r>
      <w:r w:rsidR="004E472E">
        <w:rPr>
          <w:rFonts w:eastAsia="Times New Roman" w:cs="Arial"/>
          <w:sz w:val="24"/>
          <w:szCs w:val="24"/>
          <w:lang w:val="en-GB"/>
        </w:rPr>
        <w:t xml:space="preserve">in </w:t>
      </w:r>
      <w:r w:rsidR="00AA2383">
        <w:rPr>
          <w:rFonts w:eastAsia="Times New Roman" w:cs="Arial"/>
          <w:sz w:val="24"/>
          <w:szCs w:val="24"/>
          <w:lang w:val="en-GB"/>
        </w:rPr>
        <w:t>C</w:t>
      </w:r>
      <w:r w:rsidR="004E472E">
        <w:rPr>
          <w:rFonts w:eastAsia="Times New Roman" w:cs="Arial"/>
          <w:sz w:val="24"/>
          <w:szCs w:val="24"/>
          <w:lang w:val="en-GB"/>
        </w:rPr>
        <w:t>hapter</w:t>
      </w:r>
      <w:r w:rsidR="00AA2383">
        <w:rPr>
          <w:rFonts w:eastAsia="Times New Roman" w:cs="Arial"/>
          <w:sz w:val="24"/>
          <w:szCs w:val="24"/>
          <w:lang w:val="en-GB"/>
        </w:rPr>
        <w:t xml:space="preserve"> 4</w:t>
      </w:r>
      <w:r w:rsidRPr="00BC1ABD">
        <w:rPr>
          <w:rFonts w:eastAsia="Times New Roman" w:cs="Arial"/>
          <w:sz w:val="24"/>
          <w:szCs w:val="24"/>
          <w:lang w:val="en-GB"/>
        </w:rPr>
        <w:t>.</w:t>
      </w:r>
    </w:p>
    <w:p w14:paraId="230010D4" w14:textId="77777777" w:rsidR="000E5E4F" w:rsidRPr="00C83503" w:rsidRDefault="000E5E4F" w:rsidP="00C83503">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90" w:name="_Toc146107804"/>
      <w:bookmarkStart w:id="91" w:name="_Toc169258915"/>
      <w:r w:rsidRPr="00C83503">
        <w:rPr>
          <w:rFonts w:asciiTheme="minorHAnsi" w:hAnsiTheme="minorHAnsi" w:cstheme="minorHAnsi"/>
          <w:b w:val="0"/>
          <w:bCs w:val="0"/>
          <w:sz w:val="24"/>
          <w:szCs w:val="24"/>
          <w:lang w:val="en-GB"/>
        </w:rPr>
        <w:t>Bundled services</w:t>
      </w:r>
      <w:bookmarkEnd w:id="90"/>
      <w:bookmarkEnd w:id="91"/>
    </w:p>
    <w:p w14:paraId="54926723" w14:textId="586C051C" w:rsidR="000E5E4F" w:rsidRPr="00BC1ABD" w:rsidRDefault="00AA2383" w:rsidP="000E5E4F">
      <w:pPr>
        <w:spacing w:after="160" w:line="259" w:lineRule="auto"/>
        <w:jc w:val="both"/>
        <w:rPr>
          <w:rFonts w:eastAsia="Times New Roman" w:cs="Arial"/>
          <w:sz w:val="24"/>
          <w:szCs w:val="24"/>
          <w:lang w:val="en-GB"/>
        </w:rPr>
      </w:pPr>
      <w:r>
        <w:rPr>
          <w:rFonts w:eastAsia="Times New Roman" w:cs="Arial"/>
          <w:sz w:val="24"/>
          <w:szCs w:val="24"/>
          <w:lang w:val="en-GB"/>
        </w:rPr>
        <w:t>U</w:t>
      </w:r>
      <w:r w:rsidR="000E5E4F" w:rsidRPr="00BC1ABD">
        <w:rPr>
          <w:rFonts w:eastAsia="Times New Roman" w:cs="Arial"/>
          <w:sz w:val="24"/>
          <w:szCs w:val="24"/>
          <w:lang w:val="en-GB"/>
        </w:rPr>
        <w:t>sers tend to purchase fixed broadband services in bundles, combining different telecommunications services (for example voice, data and IPTV) into one subscription package. In most countries, there has been a general trend towards providing bundled services to the end users</w:t>
      </w:r>
      <w:r w:rsidR="000E5E4F" w:rsidRPr="00BC1ABD">
        <w:rPr>
          <w:rFonts w:eastAsia="Times New Roman" w:cs="Arial"/>
          <w:sz w:val="24"/>
          <w:szCs w:val="24"/>
          <w:vertAlign w:val="superscript"/>
          <w:lang w:val="en-GB"/>
        </w:rPr>
        <w:footnoteReference w:id="53"/>
      </w:r>
      <w:r w:rsidR="000E5E4F" w:rsidRPr="00BC1ABD">
        <w:rPr>
          <w:rFonts w:eastAsia="Times New Roman" w:cs="Arial"/>
          <w:sz w:val="24"/>
          <w:szCs w:val="24"/>
          <w:lang w:val="en-GB"/>
        </w:rPr>
        <w:t>. The services usually bundled together are public telephone service (fixed telephony), fixed broadband internet access, pay TV services (IPTV or cable TV) and public telephone service in mobile networks (mobile telephony).</w:t>
      </w:r>
    </w:p>
    <w:p w14:paraId="0F8B868E" w14:textId="77777777" w:rsidR="000E5E4F" w:rsidRPr="00BC1ABD" w:rsidRDefault="000E5E4F" w:rsidP="000E5E4F">
      <w:pPr>
        <w:spacing w:after="160" w:line="259" w:lineRule="auto"/>
        <w:jc w:val="both"/>
        <w:rPr>
          <w:rFonts w:eastAsia="Times New Roman" w:cs="Arial"/>
          <w:sz w:val="24"/>
          <w:szCs w:val="24"/>
          <w:lang w:val="en-GB"/>
        </w:rPr>
      </w:pPr>
      <w:r w:rsidRPr="00BC1ABD">
        <w:rPr>
          <w:rFonts w:eastAsia="Times New Roman" w:cs="Arial"/>
          <w:sz w:val="24"/>
          <w:szCs w:val="24"/>
          <w:lang w:val="en-GB"/>
        </w:rPr>
        <w:t>All of the different combinations of bundled services offered to fixed broadband users in Georgia now include broadband internet access (reflecting its importance to users). The most popular (49% of subscriptions) is a ‘dual play’ bundle with internet and TV. ‘Triple play’ services are used by around 10% of fixed network subscribers. A small percentage of users take all four services in a single bundled fixed broadband subscription.</w:t>
      </w:r>
    </w:p>
    <w:p w14:paraId="76B5AB15" w14:textId="0BF18903" w:rsidR="000E5E4F" w:rsidRPr="00BC1ABD" w:rsidRDefault="000E5E4F" w:rsidP="000E5E4F">
      <w:pPr>
        <w:spacing w:line="240" w:lineRule="auto"/>
        <w:jc w:val="center"/>
        <w:rPr>
          <w:rFonts w:asciiTheme="minorHAnsi" w:eastAsia="Times New Roman" w:hAnsiTheme="minorHAnsi"/>
          <w:i/>
          <w:iCs/>
          <w:color w:val="44546A" w:themeColor="text2"/>
          <w:sz w:val="20"/>
          <w:szCs w:val="20"/>
          <w:lang w:val="en-GB"/>
        </w:rPr>
      </w:pPr>
      <w:bookmarkStart w:id="92" w:name="_Toc152931364"/>
      <w:bookmarkStart w:id="93" w:name="_Toc141200253"/>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13</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Bundled services vs Standalone services (2022)</w:t>
      </w:r>
      <w:bookmarkEnd w:id="92"/>
      <w:r w:rsidRPr="00BC1ABD">
        <w:rPr>
          <w:rFonts w:asciiTheme="minorHAnsi" w:eastAsia="Times New Roman" w:hAnsiTheme="minorHAnsi"/>
          <w:i/>
          <w:iCs/>
          <w:color w:val="44546A" w:themeColor="text2"/>
          <w:sz w:val="20"/>
          <w:szCs w:val="20"/>
          <w:lang w:val="en-GB"/>
        </w:rPr>
        <w:t xml:space="preserve"> </w:t>
      </w:r>
      <w:bookmarkEnd w:id="93"/>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673"/>
        <w:gridCol w:w="2835"/>
        <w:gridCol w:w="1577"/>
      </w:tblGrid>
      <w:tr w:rsidR="000E5E4F" w:rsidRPr="00BC1ABD" w14:paraId="6CE5E59D" w14:textId="77777777" w:rsidTr="00E95C58">
        <w:trPr>
          <w:trHeight w:val="276"/>
        </w:trPr>
        <w:tc>
          <w:tcPr>
            <w:tcW w:w="4673" w:type="dxa"/>
            <w:shd w:val="clear" w:color="auto" w:fill="BFBFBF"/>
            <w:tcMar>
              <w:top w:w="12" w:type="dxa"/>
              <w:left w:w="12" w:type="dxa"/>
              <w:bottom w:w="0" w:type="dxa"/>
              <w:right w:w="12" w:type="dxa"/>
            </w:tcMar>
            <w:vAlign w:val="bottom"/>
            <w:hideMark/>
          </w:tcPr>
          <w:p w14:paraId="327138FE"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b/>
                <w:bCs/>
                <w:color w:val="000000" w:themeColor="dark1"/>
                <w:kern w:val="24"/>
                <w:sz w:val="20"/>
                <w:szCs w:val="20"/>
                <w:lang w:val="en-GB" w:eastAsia="hr-HR"/>
              </w:rPr>
              <w:t>Content of subscription</w:t>
            </w:r>
          </w:p>
        </w:tc>
        <w:tc>
          <w:tcPr>
            <w:tcW w:w="2835" w:type="dxa"/>
            <w:shd w:val="clear" w:color="auto" w:fill="BFBFBF"/>
            <w:tcMar>
              <w:top w:w="12" w:type="dxa"/>
              <w:left w:w="12" w:type="dxa"/>
              <w:bottom w:w="0" w:type="dxa"/>
              <w:right w:w="12" w:type="dxa"/>
            </w:tcMar>
            <w:vAlign w:val="bottom"/>
            <w:hideMark/>
          </w:tcPr>
          <w:p w14:paraId="3CA4458F"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b/>
                <w:bCs/>
                <w:color w:val="000000" w:themeColor="dark1"/>
                <w:kern w:val="24"/>
                <w:sz w:val="20"/>
                <w:szCs w:val="20"/>
                <w:lang w:val="en-GB" w:eastAsia="hr-HR"/>
              </w:rPr>
              <w:t xml:space="preserve"> Number of subscriptions* </w:t>
            </w:r>
          </w:p>
        </w:tc>
        <w:tc>
          <w:tcPr>
            <w:tcW w:w="1577" w:type="dxa"/>
            <w:shd w:val="clear" w:color="auto" w:fill="BFBFBF"/>
            <w:tcMar>
              <w:top w:w="12" w:type="dxa"/>
              <w:left w:w="12" w:type="dxa"/>
              <w:bottom w:w="0" w:type="dxa"/>
              <w:right w:w="12" w:type="dxa"/>
            </w:tcMar>
            <w:vAlign w:val="bottom"/>
            <w:hideMark/>
          </w:tcPr>
          <w:p w14:paraId="050D5E43"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b/>
                <w:bCs/>
                <w:color w:val="000000" w:themeColor="dark1"/>
                <w:kern w:val="24"/>
                <w:sz w:val="20"/>
                <w:szCs w:val="20"/>
                <w:lang w:val="en-GB" w:eastAsia="hr-HR"/>
              </w:rPr>
              <w:t xml:space="preserve"> % of total subscriptions</w:t>
            </w:r>
          </w:p>
        </w:tc>
      </w:tr>
      <w:tr w:rsidR="000E5E4F" w:rsidRPr="00BC1ABD" w14:paraId="7CED681C" w14:textId="77777777" w:rsidTr="00E95C58">
        <w:trPr>
          <w:trHeight w:val="276"/>
        </w:trPr>
        <w:tc>
          <w:tcPr>
            <w:tcW w:w="4673" w:type="dxa"/>
            <w:tcMar>
              <w:top w:w="12" w:type="dxa"/>
              <w:left w:w="12" w:type="dxa"/>
              <w:bottom w:w="0" w:type="dxa"/>
              <w:right w:w="12" w:type="dxa"/>
            </w:tcMar>
            <w:vAlign w:val="bottom"/>
            <w:hideMark/>
          </w:tcPr>
          <w:p w14:paraId="4AA6977E"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 TV</w:t>
            </w:r>
          </w:p>
        </w:tc>
        <w:tc>
          <w:tcPr>
            <w:tcW w:w="2835" w:type="dxa"/>
            <w:tcMar>
              <w:top w:w="12" w:type="dxa"/>
              <w:left w:w="12" w:type="dxa"/>
              <w:bottom w:w="0" w:type="dxa"/>
              <w:right w:w="12" w:type="dxa"/>
            </w:tcMar>
            <w:vAlign w:val="bottom"/>
            <w:hideMark/>
          </w:tcPr>
          <w:p w14:paraId="740EA67F"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489,596</w:t>
            </w:r>
          </w:p>
        </w:tc>
        <w:tc>
          <w:tcPr>
            <w:tcW w:w="1577" w:type="dxa"/>
            <w:tcMar>
              <w:top w:w="12" w:type="dxa"/>
              <w:left w:w="12" w:type="dxa"/>
              <w:bottom w:w="0" w:type="dxa"/>
              <w:right w:w="12" w:type="dxa"/>
            </w:tcMar>
            <w:vAlign w:val="bottom"/>
            <w:hideMark/>
          </w:tcPr>
          <w:p w14:paraId="71163B4A"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49%</w:t>
            </w:r>
          </w:p>
        </w:tc>
      </w:tr>
      <w:tr w:rsidR="000E5E4F" w:rsidRPr="00BC1ABD" w14:paraId="2333D74E" w14:textId="77777777" w:rsidTr="00E95C58">
        <w:trPr>
          <w:trHeight w:val="276"/>
        </w:trPr>
        <w:tc>
          <w:tcPr>
            <w:tcW w:w="4673" w:type="dxa"/>
            <w:tcMar>
              <w:top w:w="12" w:type="dxa"/>
              <w:left w:w="12" w:type="dxa"/>
              <w:bottom w:w="0" w:type="dxa"/>
              <w:right w:w="12" w:type="dxa"/>
            </w:tcMar>
            <w:vAlign w:val="bottom"/>
            <w:hideMark/>
          </w:tcPr>
          <w:p w14:paraId="3ABFFF78"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(Standalone)</w:t>
            </w:r>
          </w:p>
        </w:tc>
        <w:tc>
          <w:tcPr>
            <w:tcW w:w="2835" w:type="dxa"/>
            <w:tcMar>
              <w:top w:w="12" w:type="dxa"/>
              <w:left w:w="12" w:type="dxa"/>
              <w:bottom w:w="0" w:type="dxa"/>
              <w:right w:w="12" w:type="dxa"/>
            </w:tcMar>
            <w:vAlign w:val="bottom"/>
            <w:hideMark/>
          </w:tcPr>
          <w:p w14:paraId="72B87DD3"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391,458</w:t>
            </w:r>
          </w:p>
        </w:tc>
        <w:tc>
          <w:tcPr>
            <w:tcW w:w="1577" w:type="dxa"/>
            <w:tcMar>
              <w:top w:w="12" w:type="dxa"/>
              <w:left w:w="12" w:type="dxa"/>
              <w:bottom w:w="0" w:type="dxa"/>
              <w:right w:w="12" w:type="dxa"/>
            </w:tcMar>
            <w:vAlign w:val="bottom"/>
            <w:hideMark/>
          </w:tcPr>
          <w:p w14:paraId="2AC002B0"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39%</w:t>
            </w:r>
          </w:p>
        </w:tc>
      </w:tr>
      <w:tr w:rsidR="000E5E4F" w:rsidRPr="00BC1ABD" w14:paraId="7273B4F1" w14:textId="77777777" w:rsidTr="00E95C58">
        <w:trPr>
          <w:trHeight w:val="276"/>
        </w:trPr>
        <w:tc>
          <w:tcPr>
            <w:tcW w:w="4673" w:type="dxa"/>
            <w:tcMar>
              <w:top w:w="12" w:type="dxa"/>
              <w:left w:w="12" w:type="dxa"/>
              <w:bottom w:w="0" w:type="dxa"/>
              <w:right w:w="12" w:type="dxa"/>
            </w:tcMar>
            <w:vAlign w:val="bottom"/>
            <w:hideMark/>
          </w:tcPr>
          <w:p w14:paraId="16D79C1D"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 TV + Mobile</w:t>
            </w:r>
          </w:p>
        </w:tc>
        <w:tc>
          <w:tcPr>
            <w:tcW w:w="2835" w:type="dxa"/>
            <w:tcMar>
              <w:top w:w="12" w:type="dxa"/>
              <w:left w:w="12" w:type="dxa"/>
              <w:bottom w:w="0" w:type="dxa"/>
              <w:right w:w="12" w:type="dxa"/>
            </w:tcMar>
            <w:vAlign w:val="bottom"/>
            <w:hideMark/>
          </w:tcPr>
          <w:p w14:paraId="688CB0AA"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71,558</w:t>
            </w:r>
          </w:p>
        </w:tc>
        <w:tc>
          <w:tcPr>
            <w:tcW w:w="1577" w:type="dxa"/>
            <w:tcMar>
              <w:top w:w="12" w:type="dxa"/>
              <w:left w:w="12" w:type="dxa"/>
              <w:bottom w:w="0" w:type="dxa"/>
              <w:right w:w="12" w:type="dxa"/>
            </w:tcMar>
            <w:vAlign w:val="bottom"/>
            <w:hideMark/>
          </w:tcPr>
          <w:p w14:paraId="7862696F"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7.1%</w:t>
            </w:r>
          </w:p>
        </w:tc>
      </w:tr>
      <w:tr w:rsidR="000E5E4F" w:rsidRPr="00BC1ABD" w14:paraId="08439B80" w14:textId="77777777" w:rsidTr="00E95C58">
        <w:trPr>
          <w:trHeight w:val="276"/>
        </w:trPr>
        <w:tc>
          <w:tcPr>
            <w:tcW w:w="4673" w:type="dxa"/>
            <w:tcMar>
              <w:top w:w="12" w:type="dxa"/>
              <w:left w:w="12" w:type="dxa"/>
              <w:bottom w:w="0" w:type="dxa"/>
              <w:right w:w="12" w:type="dxa"/>
            </w:tcMar>
            <w:vAlign w:val="bottom"/>
            <w:hideMark/>
          </w:tcPr>
          <w:p w14:paraId="5BF177DC"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 TV + Telephony</w:t>
            </w:r>
          </w:p>
        </w:tc>
        <w:tc>
          <w:tcPr>
            <w:tcW w:w="2835" w:type="dxa"/>
            <w:tcMar>
              <w:top w:w="12" w:type="dxa"/>
              <w:left w:w="12" w:type="dxa"/>
              <w:bottom w:w="0" w:type="dxa"/>
              <w:right w:w="12" w:type="dxa"/>
            </w:tcMar>
            <w:vAlign w:val="bottom"/>
            <w:hideMark/>
          </w:tcPr>
          <w:p w14:paraId="59902BEE"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22,263</w:t>
            </w:r>
          </w:p>
        </w:tc>
        <w:tc>
          <w:tcPr>
            <w:tcW w:w="1577" w:type="dxa"/>
            <w:tcMar>
              <w:top w:w="12" w:type="dxa"/>
              <w:left w:w="12" w:type="dxa"/>
              <w:bottom w:w="0" w:type="dxa"/>
              <w:right w:w="12" w:type="dxa"/>
            </w:tcMar>
            <w:vAlign w:val="bottom"/>
            <w:hideMark/>
          </w:tcPr>
          <w:p w14:paraId="0AF230B7"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2.2%</w:t>
            </w:r>
          </w:p>
        </w:tc>
      </w:tr>
      <w:tr w:rsidR="000E5E4F" w:rsidRPr="00BC1ABD" w14:paraId="7C49F78A" w14:textId="77777777" w:rsidTr="00E95C58">
        <w:trPr>
          <w:trHeight w:val="276"/>
        </w:trPr>
        <w:tc>
          <w:tcPr>
            <w:tcW w:w="4673" w:type="dxa"/>
            <w:tcMar>
              <w:top w:w="12" w:type="dxa"/>
              <w:left w:w="12" w:type="dxa"/>
              <w:bottom w:w="0" w:type="dxa"/>
              <w:right w:w="12" w:type="dxa"/>
            </w:tcMar>
            <w:vAlign w:val="bottom"/>
            <w:hideMark/>
          </w:tcPr>
          <w:p w14:paraId="24B127C3"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 Mobile</w:t>
            </w:r>
          </w:p>
        </w:tc>
        <w:tc>
          <w:tcPr>
            <w:tcW w:w="2835" w:type="dxa"/>
            <w:tcMar>
              <w:top w:w="12" w:type="dxa"/>
              <w:left w:w="12" w:type="dxa"/>
              <w:bottom w:w="0" w:type="dxa"/>
              <w:right w:w="12" w:type="dxa"/>
            </w:tcMar>
            <w:vAlign w:val="bottom"/>
            <w:hideMark/>
          </w:tcPr>
          <w:p w14:paraId="3B4F2866"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17,377</w:t>
            </w:r>
          </w:p>
        </w:tc>
        <w:tc>
          <w:tcPr>
            <w:tcW w:w="1577" w:type="dxa"/>
            <w:tcMar>
              <w:top w:w="12" w:type="dxa"/>
              <w:left w:w="12" w:type="dxa"/>
              <w:bottom w:w="0" w:type="dxa"/>
              <w:right w:w="12" w:type="dxa"/>
            </w:tcMar>
            <w:vAlign w:val="bottom"/>
            <w:hideMark/>
          </w:tcPr>
          <w:p w14:paraId="66CDB29C"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1.7%</w:t>
            </w:r>
          </w:p>
        </w:tc>
      </w:tr>
      <w:tr w:rsidR="000E5E4F" w:rsidRPr="00BC1ABD" w14:paraId="010E4287" w14:textId="77777777" w:rsidTr="00E95C58">
        <w:trPr>
          <w:trHeight w:val="276"/>
        </w:trPr>
        <w:tc>
          <w:tcPr>
            <w:tcW w:w="4673" w:type="dxa"/>
            <w:tcMar>
              <w:top w:w="12" w:type="dxa"/>
              <w:left w:w="12" w:type="dxa"/>
              <w:bottom w:w="0" w:type="dxa"/>
              <w:right w:w="12" w:type="dxa"/>
            </w:tcMar>
            <w:vAlign w:val="bottom"/>
            <w:hideMark/>
          </w:tcPr>
          <w:p w14:paraId="3CAA666A"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 Telephony (VoIP, PSTN)</w:t>
            </w:r>
          </w:p>
        </w:tc>
        <w:tc>
          <w:tcPr>
            <w:tcW w:w="2835" w:type="dxa"/>
            <w:tcMar>
              <w:top w:w="12" w:type="dxa"/>
              <w:left w:w="12" w:type="dxa"/>
              <w:bottom w:w="0" w:type="dxa"/>
              <w:right w:w="12" w:type="dxa"/>
            </w:tcMar>
            <w:vAlign w:val="bottom"/>
            <w:hideMark/>
          </w:tcPr>
          <w:p w14:paraId="7027BEF5"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12,790</w:t>
            </w:r>
          </w:p>
        </w:tc>
        <w:tc>
          <w:tcPr>
            <w:tcW w:w="1577" w:type="dxa"/>
            <w:tcMar>
              <w:top w:w="12" w:type="dxa"/>
              <w:left w:w="12" w:type="dxa"/>
              <w:bottom w:w="0" w:type="dxa"/>
              <w:right w:w="12" w:type="dxa"/>
            </w:tcMar>
            <w:vAlign w:val="bottom"/>
            <w:hideMark/>
          </w:tcPr>
          <w:p w14:paraId="3FD59DA9"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1.3%</w:t>
            </w:r>
          </w:p>
        </w:tc>
      </w:tr>
      <w:tr w:rsidR="000E5E4F" w:rsidRPr="00BC1ABD" w14:paraId="7B03EE61" w14:textId="77777777" w:rsidTr="00E95C58">
        <w:trPr>
          <w:trHeight w:val="276"/>
        </w:trPr>
        <w:tc>
          <w:tcPr>
            <w:tcW w:w="4673" w:type="dxa"/>
            <w:tcMar>
              <w:top w:w="12" w:type="dxa"/>
              <w:left w:w="12" w:type="dxa"/>
              <w:bottom w:w="0" w:type="dxa"/>
              <w:right w:w="12" w:type="dxa"/>
            </w:tcMar>
            <w:vAlign w:val="bottom"/>
            <w:hideMark/>
          </w:tcPr>
          <w:p w14:paraId="1B1AD843"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Broadband + TV+ Telephony + Mobile</w:t>
            </w:r>
          </w:p>
        </w:tc>
        <w:tc>
          <w:tcPr>
            <w:tcW w:w="2835" w:type="dxa"/>
            <w:tcMar>
              <w:top w:w="12" w:type="dxa"/>
              <w:left w:w="12" w:type="dxa"/>
              <w:bottom w:w="0" w:type="dxa"/>
              <w:right w:w="12" w:type="dxa"/>
            </w:tcMar>
            <w:vAlign w:val="bottom"/>
            <w:hideMark/>
          </w:tcPr>
          <w:p w14:paraId="6FE7440D"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1,408</w:t>
            </w:r>
          </w:p>
        </w:tc>
        <w:tc>
          <w:tcPr>
            <w:tcW w:w="1577" w:type="dxa"/>
            <w:tcMar>
              <w:top w:w="12" w:type="dxa"/>
              <w:left w:w="12" w:type="dxa"/>
              <w:bottom w:w="0" w:type="dxa"/>
              <w:right w:w="12" w:type="dxa"/>
            </w:tcMar>
            <w:vAlign w:val="bottom"/>
            <w:hideMark/>
          </w:tcPr>
          <w:p w14:paraId="162A9788"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text1"/>
                <w:kern w:val="24"/>
                <w:sz w:val="20"/>
                <w:szCs w:val="20"/>
                <w:lang w:val="en-GB" w:eastAsia="hr-HR"/>
              </w:rPr>
              <w:t>0.1%</w:t>
            </w:r>
          </w:p>
        </w:tc>
      </w:tr>
      <w:tr w:rsidR="000E5E4F" w:rsidRPr="00BC1ABD" w14:paraId="194B149C" w14:textId="77777777" w:rsidTr="00E95C58">
        <w:trPr>
          <w:trHeight w:val="276"/>
        </w:trPr>
        <w:tc>
          <w:tcPr>
            <w:tcW w:w="4673" w:type="dxa"/>
            <w:shd w:val="clear" w:color="auto" w:fill="BFBFBF"/>
            <w:tcMar>
              <w:top w:w="12" w:type="dxa"/>
              <w:left w:w="12" w:type="dxa"/>
              <w:bottom w:w="0" w:type="dxa"/>
              <w:right w:w="12" w:type="dxa"/>
            </w:tcMar>
            <w:vAlign w:val="bottom"/>
            <w:hideMark/>
          </w:tcPr>
          <w:p w14:paraId="60DD055C"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b/>
                <w:bCs/>
                <w:color w:val="000000" w:themeColor="dark1"/>
                <w:kern w:val="24"/>
                <w:sz w:val="20"/>
                <w:szCs w:val="20"/>
                <w:lang w:val="en-GB" w:eastAsia="hr-HR"/>
              </w:rPr>
              <w:t>Total</w:t>
            </w:r>
          </w:p>
        </w:tc>
        <w:tc>
          <w:tcPr>
            <w:tcW w:w="2835" w:type="dxa"/>
            <w:shd w:val="clear" w:color="auto" w:fill="BFBFBF"/>
            <w:tcMar>
              <w:top w:w="12" w:type="dxa"/>
              <w:left w:w="12" w:type="dxa"/>
              <w:bottom w:w="0" w:type="dxa"/>
              <w:right w:w="12" w:type="dxa"/>
            </w:tcMar>
            <w:vAlign w:val="bottom"/>
            <w:hideMark/>
          </w:tcPr>
          <w:p w14:paraId="1A2379A9"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b/>
                <w:bCs/>
                <w:color w:val="000000" w:themeColor="dark1"/>
                <w:kern w:val="24"/>
                <w:sz w:val="20"/>
                <w:szCs w:val="20"/>
                <w:lang w:val="en-GB" w:eastAsia="hr-HR"/>
              </w:rPr>
              <w:t>1,006,450</w:t>
            </w:r>
          </w:p>
        </w:tc>
        <w:tc>
          <w:tcPr>
            <w:tcW w:w="1577" w:type="dxa"/>
            <w:shd w:val="clear" w:color="auto" w:fill="BFBFBF"/>
            <w:tcMar>
              <w:top w:w="12" w:type="dxa"/>
              <w:left w:w="12" w:type="dxa"/>
              <w:bottom w:w="0" w:type="dxa"/>
              <w:right w:w="12" w:type="dxa"/>
            </w:tcMar>
            <w:vAlign w:val="bottom"/>
            <w:hideMark/>
          </w:tcPr>
          <w:p w14:paraId="5DFEF6B3" w14:textId="77777777" w:rsidR="000E5E4F" w:rsidRPr="00BC1ABD" w:rsidRDefault="000E5E4F" w:rsidP="000E5E4F">
            <w:pPr>
              <w:spacing w:after="0" w:line="240" w:lineRule="auto"/>
              <w:jc w:val="center"/>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b/>
                <w:bCs/>
                <w:color w:val="000000" w:themeColor="dark1"/>
                <w:kern w:val="24"/>
                <w:sz w:val="20"/>
                <w:szCs w:val="20"/>
                <w:lang w:val="en-GB" w:eastAsia="hr-HR"/>
              </w:rPr>
              <w:t>100%</w:t>
            </w:r>
          </w:p>
        </w:tc>
      </w:tr>
      <w:tr w:rsidR="000E5E4F" w:rsidRPr="00BC1ABD" w14:paraId="7067BDC7" w14:textId="77777777" w:rsidTr="00E95C58">
        <w:trPr>
          <w:trHeight w:val="99"/>
        </w:trPr>
        <w:tc>
          <w:tcPr>
            <w:tcW w:w="4673" w:type="dxa"/>
            <w:tcMar>
              <w:top w:w="12" w:type="dxa"/>
              <w:left w:w="12" w:type="dxa"/>
              <w:bottom w:w="0" w:type="dxa"/>
              <w:right w:w="12" w:type="dxa"/>
            </w:tcMar>
            <w:vAlign w:val="bottom"/>
            <w:hideMark/>
          </w:tcPr>
          <w:p w14:paraId="70626781" w14:textId="77777777" w:rsidR="000E5E4F" w:rsidRPr="00BC1ABD" w:rsidRDefault="000E5E4F" w:rsidP="000E5E4F">
            <w:pPr>
              <w:spacing w:after="0" w:line="240" w:lineRule="auto"/>
              <w:textAlignment w:val="bottom"/>
              <w:rPr>
                <w:rFonts w:asciiTheme="minorHAnsi" w:eastAsia="Times New Roman" w:hAnsiTheme="minorHAnsi" w:cs="Calibri"/>
                <w:sz w:val="36"/>
                <w:szCs w:val="36"/>
                <w:lang w:val="en-GB" w:eastAsia="hr-HR"/>
              </w:rPr>
            </w:pPr>
            <w:r w:rsidRPr="00BC1ABD">
              <w:rPr>
                <w:rFonts w:asciiTheme="minorHAnsi" w:eastAsia="Times New Roman" w:hAnsiTheme="minorHAnsi" w:cs="Calibri"/>
                <w:color w:val="000000" w:themeColor="dark1"/>
                <w:kern w:val="24"/>
                <w:sz w:val="16"/>
                <w:szCs w:val="16"/>
                <w:lang w:val="en-GB" w:eastAsia="hr-HR"/>
              </w:rPr>
              <w:t>*Based on December of 2022</w:t>
            </w:r>
          </w:p>
        </w:tc>
        <w:tc>
          <w:tcPr>
            <w:tcW w:w="2835" w:type="dxa"/>
            <w:tcMar>
              <w:top w:w="12" w:type="dxa"/>
              <w:left w:w="12" w:type="dxa"/>
              <w:bottom w:w="0" w:type="dxa"/>
              <w:right w:w="12" w:type="dxa"/>
            </w:tcMar>
            <w:vAlign w:val="bottom"/>
            <w:hideMark/>
          </w:tcPr>
          <w:p w14:paraId="0A29C0F8" w14:textId="77777777" w:rsidR="000E5E4F" w:rsidRPr="00BC1ABD" w:rsidRDefault="000E5E4F" w:rsidP="000E5E4F">
            <w:pPr>
              <w:spacing w:after="0" w:line="240" w:lineRule="auto"/>
              <w:rPr>
                <w:rFonts w:asciiTheme="minorHAnsi" w:eastAsia="Times New Roman" w:hAnsiTheme="minorHAnsi" w:cs="Calibri"/>
                <w:sz w:val="16"/>
                <w:szCs w:val="36"/>
                <w:lang w:val="en-GB" w:eastAsia="hr-HR"/>
              </w:rPr>
            </w:pPr>
          </w:p>
        </w:tc>
        <w:tc>
          <w:tcPr>
            <w:tcW w:w="1577" w:type="dxa"/>
            <w:tcMar>
              <w:top w:w="12" w:type="dxa"/>
              <w:left w:w="12" w:type="dxa"/>
              <w:bottom w:w="0" w:type="dxa"/>
              <w:right w:w="12" w:type="dxa"/>
            </w:tcMar>
            <w:vAlign w:val="bottom"/>
            <w:hideMark/>
          </w:tcPr>
          <w:p w14:paraId="7EDC9C5E" w14:textId="77777777" w:rsidR="000E5E4F" w:rsidRPr="00BC1ABD" w:rsidRDefault="000E5E4F" w:rsidP="000E5E4F">
            <w:pPr>
              <w:spacing w:after="0" w:line="240" w:lineRule="auto"/>
              <w:rPr>
                <w:rFonts w:asciiTheme="minorHAnsi" w:eastAsia="Times New Roman" w:hAnsiTheme="minorHAnsi" w:cs="Calibri"/>
                <w:sz w:val="20"/>
                <w:szCs w:val="20"/>
                <w:lang w:val="en-GB" w:eastAsia="hr-HR"/>
              </w:rPr>
            </w:pPr>
          </w:p>
        </w:tc>
      </w:tr>
    </w:tbl>
    <w:p w14:paraId="56E87068" w14:textId="77777777" w:rsidR="000E5E4F" w:rsidRPr="00BC1ABD" w:rsidRDefault="000E5E4F" w:rsidP="000E5E4F">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2E2D1C06" w14:textId="7C0A451D" w:rsidR="000E5E4F" w:rsidRPr="00BC1ABD" w:rsidRDefault="000E5E4F" w:rsidP="000E5E4F">
      <w:pPr>
        <w:spacing w:after="160" w:line="259" w:lineRule="auto"/>
        <w:jc w:val="both"/>
        <w:rPr>
          <w:rFonts w:eastAsia="Times New Roman" w:cs="Arial"/>
          <w:sz w:val="24"/>
          <w:szCs w:val="24"/>
          <w:lang w:val="en-GB"/>
        </w:rPr>
      </w:pPr>
      <w:r w:rsidRPr="00BC1ABD">
        <w:rPr>
          <w:rFonts w:eastAsia="Times New Roman" w:cs="Arial"/>
          <w:sz w:val="24"/>
          <w:szCs w:val="24"/>
          <w:lang w:val="en-GB"/>
        </w:rPr>
        <w:t xml:space="preserve">39% of fixed broadband subscriptions are offered as a standalone broadband internet service. The impact of having TV in a user’s bundle appears to be very strong and mainly influenced by the attractive premium TV content offered by </w:t>
      </w:r>
      <w:r w:rsidR="00DF7611">
        <w:rPr>
          <w:rFonts w:eastAsia="Times New Roman" w:cs="Arial"/>
          <w:sz w:val="24"/>
          <w:szCs w:val="24"/>
          <w:lang w:val="en-GB"/>
        </w:rPr>
        <w:t>the</w:t>
      </w:r>
      <w:r w:rsidRPr="00BC1ABD">
        <w:rPr>
          <w:rFonts w:eastAsia="Times New Roman" w:cs="Arial"/>
          <w:sz w:val="24"/>
          <w:szCs w:val="24"/>
          <w:lang w:val="en-GB"/>
        </w:rPr>
        <w:t xml:space="preserve"> fixed network operators. The main factor for all bundles is that they include internet access, although the decision of an end-user could be based on the presence of other services within the bundle. The different services cannot be seen as ones that are part of different markets as they are mutually interchangeable and competitive between each other. The key question is whether a separate market exists for bundles, as distinct from the same services purchased separately.</w:t>
      </w:r>
    </w:p>
    <w:p w14:paraId="1398EEA5" w14:textId="1BC57A80" w:rsidR="000E5E4F" w:rsidRPr="00BC1ABD" w:rsidRDefault="000E5E4F" w:rsidP="000E5E4F">
      <w:pPr>
        <w:spacing w:after="160" w:line="259" w:lineRule="auto"/>
        <w:jc w:val="both"/>
        <w:rPr>
          <w:rFonts w:eastAsia="Times New Roman" w:cs="Arial"/>
          <w:sz w:val="24"/>
          <w:szCs w:val="24"/>
          <w:lang w:val="en-GB"/>
        </w:rPr>
      </w:pPr>
      <w:r w:rsidRPr="00BC1ABD">
        <w:rPr>
          <w:rFonts w:eastAsia="Times New Roman" w:cs="Arial"/>
          <w:sz w:val="24"/>
          <w:szCs w:val="24"/>
          <w:lang w:val="en-GB"/>
        </w:rPr>
        <w:t>In this context and with reference to the impact of over-the-top (</w:t>
      </w:r>
      <w:r w:rsidRPr="00E517D9">
        <w:rPr>
          <w:lang w:val="en-US"/>
        </w:rPr>
        <w:t>OTT</w:t>
      </w:r>
      <w:r w:rsidRPr="00BC1ABD">
        <w:rPr>
          <w:rFonts w:eastAsia="Times New Roman" w:cs="Arial"/>
          <w:sz w:val="24"/>
          <w:szCs w:val="24"/>
          <w:vertAlign w:val="superscript"/>
          <w:lang w:val="en-GB"/>
        </w:rPr>
        <w:footnoteReference w:id="54"/>
      </w:r>
      <w:r w:rsidRPr="00BC1ABD">
        <w:rPr>
          <w:rFonts w:eastAsia="Times New Roman" w:cs="Arial"/>
          <w:sz w:val="24"/>
          <w:szCs w:val="24"/>
          <w:lang w:val="en-GB"/>
        </w:rPr>
        <w:t xml:space="preserve">) services, it should be highlighted that in the in Explanatory note to the EU Recommendation on relevant markets from </w:t>
      </w:r>
      <w:r w:rsidRPr="00E517D9">
        <w:rPr>
          <w:lang w:val="en-US"/>
        </w:rPr>
        <w:t>2020</w:t>
      </w:r>
      <w:r w:rsidRPr="00BC1ABD">
        <w:rPr>
          <w:rFonts w:eastAsia="Times New Roman" w:cs="Arial"/>
          <w:sz w:val="24"/>
          <w:szCs w:val="24"/>
          <w:vertAlign w:val="superscript"/>
          <w:lang w:val="en-GB"/>
        </w:rPr>
        <w:footnoteReference w:id="55"/>
      </w:r>
      <w:r w:rsidRPr="00BC1ABD">
        <w:rPr>
          <w:rFonts w:eastAsia="Times New Roman" w:cs="Arial"/>
          <w:sz w:val="24"/>
          <w:szCs w:val="24"/>
          <w:lang w:val="en-GB"/>
        </w:rPr>
        <w:t xml:space="preserve"> the following is stated: “</w:t>
      </w:r>
      <w:r w:rsidRPr="00BC1ABD">
        <w:rPr>
          <w:rFonts w:eastAsia="Times New Roman" w:cs="Arial"/>
          <w:i/>
          <w:iCs/>
          <w:sz w:val="24"/>
          <w:szCs w:val="24"/>
          <w:lang w:val="en-GB"/>
        </w:rPr>
        <w:t>Another important factor when assessing whether a retail market for bundles exists is the increased use of services offered by OTT providers, which break the link between network access and service provision, and users relying on OTT services would usually have no real incentive to subscribe to a bundled plan as broadband access alone may suffice for the delivery of the required service bouquet</w:t>
      </w:r>
      <w:r w:rsidRPr="00BC1ABD">
        <w:rPr>
          <w:rFonts w:eastAsia="Times New Roman" w:cs="Arial"/>
          <w:sz w:val="24"/>
          <w:szCs w:val="24"/>
          <w:lang w:val="en-GB"/>
        </w:rPr>
        <w:t>.” Additionally,</w:t>
      </w:r>
      <w:r w:rsidRPr="00BC1ABD">
        <w:rPr>
          <w:rFonts w:eastAsia="Times New Roman"/>
          <w:lang w:val="en-GB"/>
        </w:rPr>
        <w:t xml:space="preserve"> </w:t>
      </w:r>
      <w:r w:rsidRPr="00BC1ABD">
        <w:rPr>
          <w:rFonts w:eastAsia="Times New Roman" w:cs="Arial"/>
          <w:sz w:val="24"/>
          <w:szCs w:val="24"/>
          <w:lang w:val="en-GB"/>
        </w:rPr>
        <w:t xml:space="preserve">in the Explanatory note to the </w:t>
      </w:r>
      <w:r w:rsidRPr="00E517D9">
        <w:rPr>
          <w:lang w:val="en-US"/>
        </w:rPr>
        <w:t>EU Recommendation</w:t>
      </w:r>
      <w:r w:rsidRPr="00BC1ABD">
        <w:rPr>
          <w:rFonts w:eastAsia="Times New Roman" w:cs="Arial"/>
          <w:sz w:val="24"/>
          <w:szCs w:val="24"/>
          <w:lang w:val="en-GB"/>
        </w:rPr>
        <w:t xml:space="preserve"> on relevant markets from 2014</w:t>
      </w:r>
      <w:r w:rsidRPr="00BC1ABD">
        <w:rPr>
          <w:rFonts w:eastAsia="Times New Roman" w:cs="Arial"/>
          <w:sz w:val="24"/>
          <w:szCs w:val="24"/>
          <w:vertAlign w:val="superscript"/>
          <w:lang w:val="en-GB"/>
        </w:rPr>
        <w:footnoteReference w:id="56"/>
      </w:r>
      <w:r w:rsidRPr="00BC1ABD">
        <w:rPr>
          <w:rFonts w:eastAsia="Times New Roman" w:cs="Arial"/>
          <w:sz w:val="24"/>
          <w:szCs w:val="24"/>
          <w:lang w:val="en-GB"/>
        </w:rPr>
        <w:t>, it is stated: “</w:t>
      </w:r>
      <w:r w:rsidRPr="00BC1ABD">
        <w:rPr>
          <w:rFonts w:eastAsia="Times New Roman" w:cs="Arial"/>
          <w:i/>
          <w:iCs/>
          <w:sz w:val="24"/>
          <w:szCs w:val="24"/>
          <w:lang w:val="en-GB"/>
        </w:rPr>
        <w:t>However, despite the fact that bundling is one of the dominant trends observed at the retail level, this Recommendation does not propose to define a separate retail market for bundles because evidence to date has not indicated that there is a need for ex</w:t>
      </w:r>
      <w:r w:rsidR="00DF7611">
        <w:rPr>
          <w:rFonts w:eastAsia="Times New Roman" w:cs="Arial"/>
          <w:i/>
          <w:iCs/>
          <w:sz w:val="24"/>
          <w:szCs w:val="24"/>
          <w:lang w:val="en-GB"/>
        </w:rPr>
        <w:t>-</w:t>
      </w:r>
      <w:r w:rsidRPr="00BC1ABD">
        <w:rPr>
          <w:rFonts w:eastAsia="Times New Roman" w:cs="Arial"/>
          <w:i/>
          <w:iCs/>
          <w:sz w:val="24"/>
          <w:szCs w:val="24"/>
          <w:lang w:val="en-GB"/>
        </w:rPr>
        <w:t>ante regulation of bundles, which may contain a previously regulated input</w:t>
      </w:r>
      <w:r w:rsidRPr="00BC1ABD">
        <w:rPr>
          <w:rFonts w:eastAsia="Times New Roman" w:cs="Arial"/>
          <w:sz w:val="24"/>
          <w:szCs w:val="24"/>
          <w:lang w:val="en-GB"/>
        </w:rPr>
        <w:t>.”</w:t>
      </w:r>
    </w:p>
    <w:p w14:paraId="6D07E8F6" w14:textId="73EB22F2" w:rsidR="000E5E4F" w:rsidRPr="00BC1ABD" w:rsidRDefault="000E5E4F" w:rsidP="000E5E4F">
      <w:pPr>
        <w:spacing w:after="160" w:line="259" w:lineRule="auto"/>
        <w:jc w:val="both"/>
        <w:rPr>
          <w:rFonts w:eastAsia="Times New Roman" w:cs="Arial"/>
          <w:sz w:val="24"/>
          <w:szCs w:val="24"/>
          <w:lang w:val="en-GB"/>
        </w:rPr>
      </w:pPr>
      <w:r w:rsidRPr="00BC1ABD">
        <w:rPr>
          <w:rFonts w:eastAsia="Times New Roman" w:cs="Arial"/>
          <w:sz w:val="24"/>
          <w:szCs w:val="24"/>
          <w:lang w:val="en-GB"/>
        </w:rPr>
        <w:t xml:space="preserve">Taking account of these EU recommendations and taking a forward-looking perspective, it is considered that, although there are </w:t>
      </w:r>
      <w:r w:rsidR="00DF7611">
        <w:rPr>
          <w:rFonts w:eastAsia="Times New Roman" w:cs="Arial"/>
          <w:sz w:val="24"/>
          <w:szCs w:val="24"/>
          <w:lang w:val="en-GB"/>
        </w:rPr>
        <w:t xml:space="preserve">a </w:t>
      </w:r>
      <w:r w:rsidRPr="00BC1ABD">
        <w:rPr>
          <w:rFonts w:eastAsia="Times New Roman" w:cs="Arial"/>
          <w:sz w:val="24"/>
          <w:szCs w:val="24"/>
          <w:lang w:val="en-GB"/>
        </w:rPr>
        <w:t xml:space="preserve">number of bundles, all of them include broadband access as part of the bundle which means that broadband access is the most important service </w:t>
      </w:r>
      <w:r w:rsidR="00DF7611">
        <w:rPr>
          <w:rFonts w:eastAsia="Times New Roman" w:cs="Arial"/>
          <w:sz w:val="24"/>
          <w:szCs w:val="24"/>
          <w:lang w:val="en-GB"/>
        </w:rPr>
        <w:t>because with broadband</w:t>
      </w:r>
      <w:r w:rsidRPr="00BC1ABD">
        <w:rPr>
          <w:rFonts w:eastAsia="Times New Roman" w:cs="Arial"/>
          <w:sz w:val="24"/>
          <w:szCs w:val="24"/>
          <w:lang w:val="en-GB"/>
        </w:rPr>
        <w:t xml:space="preserve"> the end user can access all other services (e.g. IPTV, telephony) using OTT apps and </w:t>
      </w:r>
      <w:r w:rsidR="00DF7611">
        <w:rPr>
          <w:rFonts w:eastAsia="Times New Roman" w:cs="Arial"/>
          <w:sz w:val="24"/>
          <w:szCs w:val="24"/>
          <w:lang w:val="en-GB"/>
        </w:rPr>
        <w:t xml:space="preserve">in </w:t>
      </w:r>
      <w:r w:rsidRPr="00BC1ABD">
        <w:rPr>
          <w:rFonts w:eastAsia="Times New Roman" w:cs="Arial"/>
          <w:sz w:val="24"/>
          <w:szCs w:val="24"/>
          <w:lang w:val="en-GB"/>
        </w:rPr>
        <w:t xml:space="preserve">that way breaking the link between the network access and </w:t>
      </w:r>
      <w:r w:rsidR="00DF7611">
        <w:rPr>
          <w:rFonts w:eastAsia="Times New Roman" w:cs="Arial"/>
          <w:sz w:val="24"/>
          <w:szCs w:val="24"/>
          <w:lang w:val="en-GB"/>
        </w:rPr>
        <w:t xml:space="preserve">the </w:t>
      </w:r>
      <w:r w:rsidRPr="00BC1ABD">
        <w:rPr>
          <w:rFonts w:eastAsia="Times New Roman" w:cs="Arial"/>
          <w:sz w:val="24"/>
          <w:szCs w:val="24"/>
          <w:lang w:val="en-GB"/>
        </w:rPr>
        <w:t xml:space="preserve">service provision. This means that </w:t>
      </w:r>
      <w:r w:rsidR="00DF7611">
        <w:rPr>
          <w:rFonts w:eastAsia="Times New Roman" w:cs="Arial"/>
          <w:sz w:val="24"/>
          <w:szCs w:val="24"/>
          <w:lang w:val="en-GB"/>
        </w:rPr>
        <w:t xml:space="preserve">the </w:t>
      </w:r>
      <w:r w:rsidRPr="00BC1ABD">
        <w:rPr>
          <w:rFonts w:eastAsia="Times New Roman" w:cs="Arial"/>
          <w:sz w:val="24"/>
          <w:szCs w:val="24"/>
          <w:lang w:val="en-GB"/>
        </w:rPr>
        <w:t>relevant market(s) related to fixed broadband access should consist of all broadband access services no matter whether they are provided on a standalone basis or as part of a bundle.</w:t>
      </w:r>
    </w:p>
    <w:p w14:paraId="638107F9" w14:textId="1EA88F5C" w:rsidR="000E5E4F" w:rsidRPr="00C83503" w:rsidRDefault="000E5E4F" w:rsidP="00C83503">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94" w:name="_Toc97535470"/>
      <w:bookmarkStart w:id="95" w:name="_Toc146107805"/>
      <w:bookmarkStart w:id="96" w:name="_Toc169258916"/>
      <w:r w:rsidRPr="00C83503">
        <w:rPr>
          <w:rFonts w:asciiTheme="minorHAnsi" w:hAnsiTheme="minorHAnsi" w:cstheme="minorHAnsi"/>
          <w:b w:val="0"/>
          <w:bCs w:val="0"/>
          <w:sz w:val="24"/>
          <w:szCs w:val="24"/>
          <w:lang w:val="en-GB"/>
        </w:rPr>
        <w:t>Fixed broadband access take-up</w:t>
      </w:r>
      <w:bookmarkEnd w:id="94"/>
      <w:bookmarkEnd w:id="95"/>
      <w:bookmarkEnd w:id="96"/>
    </w:p>
    <w:p w14:paraId="681BB6CB" w14:textId="0DA03D72" w:rsidR="000E5E4F" w:rsidRPr="00BC1ABD" w:rsidRDefault="000E5E4F" w:rsidP="000E5E4F">
      <w:pPr>
        <w:jc w:val="both"/>
        <w:rPr>
          <w:rFonts w:eastAsia="Times New Roman" w:cs="Arial"/>
          <w:sz w:val="24"/>
          <w:szCs w:val="24"/>
          <w:lang w:val="en-GB"/>
        </w:rPr>
      </w:pPr>
      <w:bookmarkStart w:id="97" w:name="_Hlk34822400"/>
      <w:r w:rsidRPr="00BC1ABD">
        <w:rPr>
          <w:rFonts w:eastAsia="Times New Roman" w:cs="Arial"/>
          <w:sz w:val="24"/>
          <w:szCs w:val="24"/>
          <w:lang w:val="en-GB"/>
        </w:rPr>
        <w:t>At the end of 2022, there were 1,029,481 residential end</w:t>
      </w:r>
      <w:r w:rsidR="00DF7611">
        <w:rPr>
          <w:rFonts w:eastAsia="Times New Roman" w:cs="Arial"/>
          <w:sz w:val="24"/>
          <w:szCs w:val="24"/>
          <w:lang w:val="en-GB"/>
        </w:rPr>
        <w:t>-</w:t>
      </w:r>
      <w:r w:rsidRPr="00BC1ABD">
        <w:rPr>
          <w:rFonts w:eastAsia="Times New Roman" w:cs="Arial"/>
          <w:sz w:val="24"/>
          <w:szCs w:val="24"/>
          <w:lang w:val="en-GB"/>
        </w:rPr>
        <w:t>users of fixed broadband access in Georgia, which gives a take-up rate of 82% of households.</w:t>
      </w:r>
    </w:p>
    <w:p w14:paraId="0A4073B3" w14:textId="77777777" w:rsidR="000E5E4F" w:rsidRDefault="000E5E4F" w:rsidP="000E5E4F">
      <w:pPr>
        <w:jc w:val="both"/>
        <w:rPr>
          <w:rFonts w:eastAsia="Times New Roman" w:cs="Arial"/>
          <w:sz w:val="24"/>
          <w:szCs w:val="24"/>
          <w:lang w:val="en-GB"/>
        </w:rPr>
      </w:pPr>
      <w:r w:rsidRPr="00BC1ABD">
        <w:rPr>
          <w:rFonts w:eastAsia="Times New Roman" w:cs="Arial"/>
          <w:sz w:val="24"/>
          <w:szCs w:val="24"/>
          <w:lang w:val="en-GB"/>
        </w:rPr>
        <w:t>There has been a steady increase in the take-up rate of fixed broadband access over the last 4 years.</w:t>
      </w:r>
    </w:p>
    <w:p w14:paraId="1B0482F0"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bookmarkStart w:id="98" w:name="_Toc141200254"/>
    </w:p>
    <w:p w14:paraId="4A43F38D"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p>
    <w:p w14:paraId="0445C7F5"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p>
    <w:p w14:paraId="2F156004"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p>
    <w:p w14:paraId="672512F1"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p>
    <w:p w14:paraId="602D99B4"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p>
    <w:p w14:paraId="65A3475B" w14:textId="091AB20F"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99" w:name="_Toc152931365"/>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14</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Fixed broadband take-up in relation to the number of households</w:t>
      </w:r>
      <w:bookmarkEnd w:id="98"/>
      <w:bookmarkEnd w:id="99"/>
    </w:p>
    <w:p w14:paraId="43F56A24" w14:textId="6CBEA0CB" w:rsidR="000E5E4F" w:rsidRPr="00BC1ABD" w:rsidRDefault="000E5E4F" w:rsidP="000E5E4F">
      <w:pPr>
        <w:jc w:val="center"/>
        <w:rPr>
          <w:rFonts w:eastAsia="Times New Roman" w:cs="Arial"/>
          <w:sz w:val="20"/>
          <w:szCs w:val="20"/>
          <w:lang w:val="en-GB"/>
        </w:rPr>
      </w:pPr>
      <w:r w:rsidRPr="00BC1ABD">
        <w:rPr>
          <w:rFonts w:eastAsia="Times New Roman" w:cs="Arial"/>
          <w:noProof/>
          <w:sz w:val="20"/>
          <w:szCs w:val="20"/>
          <w:lang w:val="sl-SI" w:eastAsia="sl-SI"/>
        </w:rPr>
        <w:drawing>
          <wp:inline distT="0" distB="0" distL="0" distR="0" wp14:anchorId="4E7A9985" wp14:editId="59B4145E">
            <wp:extent cx="5562600" cy="1733550"/>
            <wp:effectExtent l="0" t="0" r="0" b="0"/>
            <wp:docPr id="241669608" name="Slika 20" descr="Slika na kojoj se prikazuje tekst, snimka zaslona, dijagram,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69608" name="Slika 20" descr="Slika na kojoj se prikazuje tekst, snimka zaslona, dijagram, dizajn&#10;&#10;Opis je automatski generir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2600" cy="1733550"/>
                    </a:xfrm>
                    <a:prstGeom prst="rect">
                      <a:avLst/>
                    </a:prstGeom>
                    <a:noFill/>
                    <a:ln>
                      <a:noFill/>
                    </a:ln>
                  </pic:spPr>
                </pic:pic>
              </a:graphicData>
            </a:graphic>
          </wp:inline>
        </w:drawing>
      </w:r>
    </w:p>
    <w:p w14:paraId="38F5B920" w14:textId="77777777" w:rsidR="000E5E4F" w:rsidRPr="00BC1ABD" w:rsidRDefault="000E5E4F" w:rsidP="000E5E4F">
      <w:pPr>
        <w:jc w:val="center"/>
        <w:rPr>
          <w:rFonts w:eastAsia="Times New Roman" w:cs="Arial"/>
          <w:sz w:val="20"/>
          <w:szCs w:val="20"/>
          <w:lang w:val="en-GB"/>
        </w:rPr>
      </w:pPr>
      <w:r w:rsidRPr="00BC1ABD">
        <w:rPr>
          <w:rFonts w:eastAsia="Times New Roman" w:cs="Arial"/>
          <w:sz w:val="20"/>
          <w:szCs w:val="20"/>
          <w:lang w:val="en-GB"/>
        </w:rPr>
        <w:t>Source: ComCom</w:t>
      </w:r>
    </w:p>
    <w:p w14:paraId="37F07FC2" w14:textId="7D7086A8" w:rsidR="000E5E4F" w:rsidRPr="00723DBC" w:rsidRDefault="000E5E4F" w:rsidP="00723DBC">
      <w:pPr>
        <w:jc w:val="both"/>
        <w:rPr>
          <w:rFonts w:eastAsia="Times New Roman" w:cs="Arial"/>
          <w:sz w:val="24"/>
          <w:szCs w:val="24"/>
          <w:lang w:val="en-GB"/>
        </w:rPr>
      </w:pPr>
      <w:r w:rsidRPr="00BC1ABD">
        <w:rPr>
          <w:rFonts w:eastAsia="Times New Roman" w:cs="Arial"/>
          <w:sz w:val="24"/>
          <w:szCs w:val="24"/>
          <w:lang w:val="en-GB"/>
        </w:rPr>
        <w:t xml:space="preserve">In this section we compare some of the main Georgian indicators with EU country data, using the latest </w:t>
      </w:r>
      <w:r w:rsidR="00076F7E">
        <w:rPr>
          <w:rFonts w:eastAsia="Times New Roman" w:cs="Arial"/>
          <w:sz w:val="24"/>
          <w:szCs w:val="24"/>
          <w:lang w:val="en-GB"/>
        </w:rPr>
        <w:t xml:space="preserve">available </w:t>
      </w:r>
      <w:r w:rsidRPr="00BC1ABD">
        <w:rPr>
          <w:rFonts w:eastAsia="Times New Roman" w:cs="Arial"/>
          <w:sz w:val="24"/>
          <w:szCs w:val="24"/>
          <w:lang w:val="en-GB"/>
        </w:rPr>
        <w:t xml:space="preserve">DESI connectivity </w:t>
      </w:r>
      <w:r w:rsidR="00076F7E">
        <w:rPr>
          <w:rFonts w:eastAsia="Times New Roman" w:cs="Arial"/>
          <w:sz w:val="24"/>
          <w:szCs w:val="24"/>
          <w:lang w:val="en-GB"/>
        </w:rPr>
        <w:t>figures, depending on each indicator</w:t>
      </w:r>
      <w:r w:rsidR="0022528A">
        <w:rPr>
          <w:rFonts w:eastAsia="Times New Roman" w:cs="Arial"/>
          <w:sz w:val="24"/>
          <w:szCs w:val="24"/>
          <w:lang w:val="en-GB"/>
        </w:rPr>
        <w:t>.</w:t>
      </w:r>
      <w:r w:rsidR="00076F7E" w:rsidRPr="00BC1ABD">
        <w:rPr>
          <w:rFonts w:eastAsia="Times New Roman" w:cs="Arial"/>
          <w:sz w:val="24"/>
          <w:szCs w:val="24"/>
          <w:lang w:val="en-GB"/>
        </w:rPr>
        <w:t xml:space="preserve"> </w:t>
      </w:r>
      <w:r w:rsidRPr="00BC1ABD">
        <w:rPr>
          <w:rFonts w:eastAsia="Times New Roman" w:cs="Arial"/>
          <w:sz w:val="24"/>
          <w:szCs w:val="24"/>
          <w:vertAlign w:val="superscript"/>
          <w:lang w:val="en-GB"/>
        </w:rPr>
        <w:footnoteReference w:id="57"/>
      </w:r>
      <w:r w:rsidRPr="00BC1ABD">
        <w:rPr>
          <w:rFonts w:eastAsia="Times New Roman" w:cs="Arial"/>
          <w:sz w:val="24"/>
          <w:szCs w:val="24"/>
          <w:lang w:val="en-GB"/>
        </w:rPr>
        <w:t xml:space="preserve"> According to the published DESI report on Digital infrastructures</w:t>
      </w:r>
      <w:r w:rsidR="00367F39">
        <w:rPr>
          <w:rFonts w:eastAsia="Times New Roman" w:cs="Arial"/>
          <w:sz w:val="24"/>
          <w:szCs w:val="24"/>
          <w:lang w:val="en-GB"/>
        </w:rPr>
        <w:t xml:space="preserve"> (2022)</w:t>
      </w:r>
      <w:r w:rsidRPr="00BC1ABD">
        <w:rPr>
          <w:rFonts w:eastAsia="Times New Roman" w:cs="Arial"/>
          <w:sz w:val="24"/>
          <w:szCs w:val="24"/>
          <w:lang w:val="en-GB"/>
        </w:rPr>
        <w:t>, the average fixed broadband take-up rate (in terms of households) in the EU was 78%, as shown below.</w:t>
      </w:r>
    </w:p>
    <w:p w14:paraId="2062031B" w14:textId="51CB639D"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01" w:name="_Toc141200255"/>
      <w:bookmarkStart w:id="102" w:name="_Toc152931366"/>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15</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Households with a fixed broadband subscription in the EU (% of households), 2012-2021</w:t>
      </w:r>
      <w:bookmarkEnd w:id="101"/>
      <w:bookmarkEnd w:id="102"/>
    </w:p>
    <w:p w14:paraId="6B1DDD2D" w14:textId="54ADE9E4" w:rsidR="000E5E4F" w:rsidRPr="00BC1ABD" w:rsidRDefault="000E5E4F" w:rsidP="000E5E4F">
      <w:pPr>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50605523" wp14:editId="4BECC0D1">
            <wp:extent cx="4514850" cy="2076450"/>
            <wp:effectExtent l="0" t="0" r="0" b="0"/>
            <wp:docPr id="1637124714" name="Slika 19" descr="Chart, line char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t, line chart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14850" cy="2076450"/>
                    </a:xfrm>
                    <a:prstGeom prst="rect">
                      <a:avLst/>
                    </a:prstGeom>
                    <a:noFill/>
                    <a:ln>
                      <a:noFill/>
                    </a:ln>
                  </pic:spPr>
                </pic:pic>
              </a:graphicData>
            </a:graphic>
          </wp:inline>
        </w:drawing>
      </w:r>
    </w:p>
    <w:p w14:paraId="73BAF44A" w14:textId="77777777" w:rsidR="000E5E4F" w:rsidRPr="00BC1ABD" w:rsidRDefault="000E5E4F" w:rsidP="000E5E4F">
      <w:pPr>
        <w:jc w:val="center"/>
        <w:rPr>
          <w:rFonts w:eastAsia="Times New Roman" w:cs="Arial"/>
          <w:sz w:val="20"/>
          <w:szCs w:val="20"/>
          <w:lang w:val="en-GB"/>
        </w:rPr>
      </w:pPr>
      <w:r w:rsidRPr="00BC1ABD">
        <w:rPr>
          <w:rFonts w:eastAsia="Times New Roman" w:cs="Arial"/>
          <w:sz w:val="20"/>
          <w:szCs w:val="20"/>
          <w:lang w:val="en-GB"/>
        </w:rPr>
        <w:t>Source: DESI 2022 – Digital infrastructures report</w:t>
      </w:r>
    </w:p>
    <w:p w14:paraId="663ABF47" w14:textId="5761F2F0" w:rsidR="000E5E4F" w:rsidRPr="00BC1ABD" w:rsidRDefault="000E5E4F" w:rsidP="000E5E4F">
      <w:pPr>
        <w:jc w:val="both"/>
        <w:rPr>
          <w:rFonts w:eastAsia="Times New Roman" w:cs="Arial"/>
          <w:i/>
          <w:iCs/>
          <w:sz w:val="24"/>
          <w:szCs w:val="24"/>
          <w:lang w:val="en-GB"/>
        </w:rPr>
      </w:pPr>
      <w:r w:rsidRPr="00BC1ABD">
        <w:rPr>
          <w:rFonts w:eastAsia="Times New Roman" w:cs="Arial"/>
          <w:sz w:val="24"/>
          <w:szCs w:val="24"/>
          <w:lang w:val="en-GB"/>
        </w:rPr>
        <w:t xml:space="preserve">When it comes to specific countries, fixed broadband access take-up rate in Georgia is on </w:t>
      </w:r>
      <w:r w:rsidR="00DF7611">
        <w:rPr>
          <w:rFonts w:eastAsia="Times New Roman" w:cs="Arial"/>
          <w:sz w:val="24"/>
          <w:szCs w:val="24"/>
          <w:lang w:val="en-GB"/>
        </w:rPr>
        <w:t xml:space="preserve">a </w:t>
      </w:r>
      <w:r w:rsidRPr="00BC1ABD">
        <w:rPr>
          <w:rFonts w:eastAsia="Times New Roman" w:cs="Arial"/>
          <w:sz w:val="24"/>
          <w:szCs w:val="24"/>
          <w:lang w:val="en-GB"/>
        </w:rPr>
        <w:t xml:space="preserve">similar level </w:t>
      </w:r>
      <w:r w:rsidR="00DF7611">
        <w:rPr>
          <w:rFonts w:eastAsia="Times New Roman" w:cs="Arial"/>
          <w:sz w:val="24"/>
          <w:szCs w:val="24"/>
          <w:lang w:val="en-GB"/>
        </w:rPr>
        <w:t>to around</w:t>
      </w:r>
      <w:r w:rsidRPr="00BC1ABD">
        <w:rPr>
          <w:rFonts w:eastAsia="Times New Roman" w:cs="Arial"/>
          <w:sz w:val="24"/>
          <w:szCs w:val="24"/>
          <w:lang w:val="en-GB"/>
        </w:rPr>
        <w:t xml:space="preserve"> half </w:t>
      </w:r>
      <w:r w:rsidR="00DF7611">
        <w:rPr>
          <w:rFonts w:eastAsia="Times New Roman" w:cs="Arial"/>
          <w:sz w:val="24"/>
          <w:szCs w:val="24"/>
          <w:lang w:val="en-GB"/>
        </w:rPr>
        <w:t xml:space="preserve">of the </w:t>
      </w:r>
      <w:r w:rsidRPr="00BC1ABD">
        <w:rPr>
          <w:rFonts w:eastAsia="Times New Roman" w:cs="Arial"/>
          <w:sz w:val="24"/>
          <w:szCs w:val="24"/>
          <w:lang w:val="en-GB"/>
        </w:rPr>
        <w:t>EU countries.</w:t>
      </w:r>
    </w:p>
    <w:p w14:paraId="76C9057E" w14:textId="2093E99D" w:rsidR="000E5E4F" w:rsidRPr="00BC1ABD" w:rsidRDefault="000E5E4F" w:rsidP="000E5E4F">
      <w:pPr>
        <w:spacing w:line="240" w:lineRule="auto"/>
        <w:jc w:val="center"/>
        <w:rPr>
          <w:rFonts w:asciiTheme="minorHAnsi" w:eastAsia="Times New Roman" w:hAnsiTheme="minorHAnsi"/>
          <w:i/>
          <w:iCs/>
          <w:color w:val="44546A" w:themeColor="text2"/>
          <w:sz w:val="18"/>
          <w:szCs w:val="18"/>
          <w:lang w:val="en-GB"/>
        </w:rPr>
      </w:pPr>
      <w:bookmarkStart w:id="103" w:name="_Toc141200256"/>
      <w:bookmarkStart w:id="104" w:name="_Toc15293136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16</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Households with a fixed broadband subscription (% of households), per country, 2021</w:t>
      </w:r>
      <w:r w:rsidRPr="00BC1ABD">
        <w:rPr>
          <w:rFonts w:asciiTheme="minorHAnsi" w:eastAsia="Times New Roman" w:hAnsiTheme="minorHAnsi"/>
          <w:i/>
          <w:iCs/>
          <w:noProof/>
          <w:color w:val="44546A" w:themeColor="text2"/>
          <w:sz w:val="18"/>
          <w:szCs w:val="18"/>
          <w:lang w:val="sl-SI" w:eastAsia="sl-SI"/>
        </w:rPr>
        <w:drawing>
          <wp:inline distT="0" distB="0" distL="0" distR="0" wp14:anchorId="1AAF070B" wp14:editId="5026D1E3">
            <wp:extent cx="5760720" cy="2666365"/>
            <wp:effectExtent l="0" t="0" r="0" b="635"/>
            <wp:docPr id="394571331" name="Slika 18" descr="Slika na kojoj se prikazuje snimka zaslona, crta, paralelno, Troku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71331" name="Slika 18" descr="Slika na kojoj se prikazuje snimka zaslona, crta, paralelno, Trokut&#10;&#10;Opis je automatski generir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666365"/>
                    </a:xfrm>
                    <a:prstGeom prst="rect">
                      <a:avLst/>
                    </a:prstGeom>
                    <a:noFill/>
                    <a:ln>
                      <a:noFill/>
                    </a:ln>
                  </pic:spPr>
                </pic:pic>
              </a:graphicData>
            </a:graphic>
          </wp:inline>
        </w:drawing>
      </w:r>
      <w:bookmarkEnd w:id="103"/>
      <w:bookmarkEnd w:id="104"/>
    </w:p>
    <w:p w14:paraId="1996086E" w14:textId="0DFCD3C4" w:rsidR="000E5E4F" w:rsidRPr="002167F6" w:rsidRDefault="000E5E4F" w:rsidP="0091288D">
      <w:pPr>
        <w:jc w:val="center"/>
        <w:rPr>
          <w:rFonts w:eastAsia="Times New Roman" w:cs="Arial"/>
          <w:sz w:val="20"/>
          <w:szCs w:val="20"/>
          <w:lang w:val="fr-BE"/>
        </w:rPr>
      </w:pPr>
      <w:r w:rsidRPr="002167F6">
        <w:rPr>
          <w:rFonts w:eastAsia="Times New Roman" w:cs="Arial"/>
          <w:sz w:val="20"/>
          <w:szCs w:val="20"/>
          <w:lang w:val="fr-BE"/>
        </w:rPr>
        <w:t>Source: DESI 2022 – Digital infrastructures report</w:t>
      </w:r>
      <w:r w:rsidR="00104FD5" w:rsidRPr="002167F6">
        <w:rPr>
          <w:rFonts w:eastAsia="Times New Roman" w:cs="Arial"/>
          <w:sz w:val="20"/>
          <w:szCs w:val="20"/>
          <w:lang w:val="fr-BE"/>
        </w:rPr>
        <w:t>/ComCom</w:t>
      </w:r>
    </w:p>
    <w:p w14:paraId="785A78E0" w14:textId="77777777" w:rsidR="0091288D" w:rsidRPr="002167F6" w:rsidRDefault="0091288D" w:rsidP="0091288D">
      <w:pPr>
        <w:jc w:val="center"/>
        <w:rPr>
          <w:rFonts w:eastAsia="Times New Roman" w:cs="Arial"/>
          <w:sz w:val="20"/>
          <w:szCs w:val="20"/>
          <w:lang w:val="fr-BE"/>
        </w:rPr>
      </w:pPr>
    </w:p>
    <w:p w14:paraId="2BCE1245" w14:textId="63B1C7B0" w:rsidR="000E5E4F" w:rsidRPr="00575CD0" w:rsidRDefault="000E5E4F" w:rsidP="00575CD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05" w:name="_Toc146107806"/>
      <w:bookmarkStart w:id="106" w:name="_Toc169258917"/>
      <w:r w:rsidRPr="00575CD0">
        <w:rPr>
          <w:rFonts w:asciiTheme="minorHAnsi" w:hAnsiTheme="minorHAnsi" w:cstheme="minorHAnsi"/>
          <w:b w:val="0"/>
          <w:bCs w:val="0"/>
          <w:sz w:val="24"/>
          <w:szCs w:val="24"/>
          <w:lang w:val="en-GB"/>
        </w:rPr>
        <w:t>Mobile broadband access take-up</w:t>
      </w:r>
      <w:bookmarkEnd w:id="105"/>
      <w:bookmarkEnd w:id="106"/>
    </w:p>
    <w:bookmarkEnd w:id="97"/>
    <w:p w14:paraId="374819CC" w14:textId="1E190133" w:rsidR="005E16B9" w:rsidRPr="00723DBC" w:rsidRDefault="000E5E4F" w:rsidP="00723DBC">
      <w:pPr>
        <w:jc w:val="both"/>
        <w:rPr>
          <w:rFonts w:eastAsia="Times New Roman" w:cs="Arial"/>
          <w:sz w:val="24"/>
          <w:szCs w:val="24"/>
          <w:lang w:val="en-GB"/>
        </w:rPr>
      </w:pPr>
      <w:r w:rsidRPr="00BC1ABD">
        <w:rPr>
          <w:rFonts w:eastAsia="Times New Roman" w:cs="Arial"/>
          <w:sz w:val="24"/>
          <w:szCs w:val="24"/>
          <w:lang w:val="en-GB"/>
        </w:rPr>
        <w:t>The data related to the mobile broadband access and take-up rates should be considered here in order to be able to understand fully the trends related to fixed broadband access. In Georgia, the mobile broadband access take-up in relation to the number of inhabitants, at the end of 2022 was 115%. This means that some users are taking out multiple mobile broadband subscriptions from more than one mobile broadband provider.</w:t>
      </w:r>
      <w:bookmarkStart w:id="107" w:name="_Toc141200257"/>
    </w:p>
    <w:p w14:paraId="2BA974AD" w14:textId="71F74CBE"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08" w:name="_Toc152931368"/>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17</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Mobile broadband take-up in relation to the number of inhabitants (population)</w:t>
      </w:r>
      <w:bookmarkEnd w:id="107"/>
      <w:bookmarkEnd w:id="108"/>
    </w:p>
    <w:p w14:paraId="1EEDDF26" w14:textId="64524B51" w:rsidR="000E5E4F" w:rsidRPr="00BC1ABD" w:rsidRDefault="000E5E4F" w:rsidP="000E5E4F">
      <w:pPr>
        <w:jc w:val="both"/>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47ADF6FB" wp14:editId="716FAD25">
            <wp:extent cx="5743575" cy="1676400"/>
            <wp:effectExtent l="0" t="0" r="9525" b="0"/>
            <wp:docPr id="1039553335" name="Slika 17" descr="Slika na kojoj se prikazuje tekst, snimka zaslona, dijagram, radnj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53335" name="Slika 17" descr="Slika na kojoj se prikazuje tekst, snimka zaslona, dijagram, radnja&#10;&#10;Opis je automatski generira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3575" cy="1676400"/>
                    </a:xfrm>
                    <a:prstGeom prst="rect">
                      <a:avLst/>
                    </a:prstGeom>
                    <a:noFill/>
                    <a:ln>
                      <a:noFill/>
                    </a:ln>
                  </pic:spPr>
                </pic:pic>
              </a:graphicData>
            </a:graphic>
          </wp:inline>
        </w:drawing>
      </w:r>
    </w:p>
    <w:p w14:paraId="26968787" w14:textId="77777777" w:rsidR="000E5E4F" w:rsidRPr="00BC1ABD" w:rsidRDefault="000E5E4F" w:rsidP="000E5E4F">
      <w:pPr>
        <w:jc w:val="center"/>
        <w:rPr>
          <w:rFonts w:eastAsia="Times New Roman" w:cs="Arial"/>
          <w:sz w:val="20"/>
          <w:szCs w:val="20"/>
          <w:lang w:val="en-GB"/>
        </w:rPr>
      </w:pPr>
      <w:r w:rsidRPr="00BC1ABD">
        <w:rPr>
          <w:rFonts w:eastAsia="Times New Roman" w:cs="Arial"/>
          <w:sz w:val="20"/>
          <w:szCs w:val="20"/>
          <w:lang w:val="en-GB"/>
        </w:rPr>
        <w:t>Source: ComCom</w:t>
      </w:r>
    </w:p>
    <w:p w14:paraId="77DA0DE5" w14:textId="2412486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The take-up rate for mobile broadband access has steadily increased over the last 4 years, showing a similar trend as fixed broadband (see Figure </w:t>
      </w:r>
      <w:r w:rsidR="0020792C">
        <w:rPr>
          <w:rFonts w:eastAsia="Times New Roman" w:cs="Arial"/>
          <w:sz w:val="24"/>
          <w:szCs w:val="24"/>
          <w:lang w:val="en-GB"/>
        </w:rPr>
        <w:t>17</w:t>
      </w:r>
      <w:r w:rsidRPr="00BC1ABD">
        <w:rPr>
          <w:rFonts w:eastAsia="Times New Roman" w:cs="Arial"/>
          <w:sz w:val="24"/>
          <w:szCs w:val="24"/>
          <w:lang w:val="en-GB"/>
        </w:rPr>
        <w:t>).</w:t>
      </w:r>
    </w:p>
    <w:p w14:paraId="631BD8FB" w14:textId="0CDEE525" w:rsidR="003B52FC"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In comparison with the EU, </w:t>
      </w:r>
      <w:r w:rsidR="00A65794">
        <w:rPr>
          <w:rFonts w:eastAsia="Times New Roman" w:cs="Arial"/>
          <w:sz w:val="24"/>
          <w:szCs w:val="24"/>
          <w:lang w:val="en-GB"/>
        </w:rPr>
        <w:t xml:space="preserve">at first glance, </w:t>
      </w:r>
      <w:r w:rsidRPr="00BC1ABD">
        <w:rPr>
          <w:rFonts w:eastAsia="Times New Roman" w:cs="Arial"/>
          <w:sz w:val="24"/>
          <w:szCs w:val="24"/>
          <w:lang w:val="en-GB"/>
        </w:rPr>
        <w:t>Georgia has a higher mobile broadband take-up rate than any EU country. The EU average for the mobile broadband take-up rate is 87%.</w:t>
      </w:r>
      <w:r w:rsidR="00A65794">
        <w:rPr>
          <w:rFonts w:eastAsia="Times New Roman" w:cs="Arial"/>
          <w:sz w:val="24"/>
          <w:szCs w:val="24"/>
          <w:lang w:val="en-GB"/>
        </w:rPr>
        <w:t xml:space="preserve"> However, there are definitional differences between the way that Georgia and the EU calculate mobile broadband penetration which have to be taken into account to make a fair comparison, as shown in Figure 19.</w:t>
      </w:r>
    </w:p>
    <w:p w14:paraId="4B3C29B6" w14:textId="15B69B31"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09" w:name="_Toc152931369"/>
      <w:bookmarkStart w:id="110" w:name="_Toc141200258"/>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18</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Mobile broadband penetration in the EU (% of individuals), 201</w:t>
      </w:r>
      <w:r w:rsidR="007B22D1">
        <w:rPr>
          <w:rFonts w:asciiTheme="minorHAnsi" w:eastAsia="Times New Roman" w:hAnsiTheme="minorHAnsi" w:cs="Arial"/>
          <w:i/>
          <w:iCs/>
          <w:color w:val="44546A" w:themeColor="text2"/>
          <w:sz w:val="20"/>
          <w:szCs w:val="20"/>
          <w:lang w:val="en-GB"/>
        </w:rPr>
        <w:t>9</w:t>
      </w:r>
      <w:r w:rsidRPr="00BC1ABD">
        <w:rPr>
          <w:rFonts w:asciiTheme="minorHAnsi" w:eastAsia="Times New Roman" w:hAnsiTheme="minorHAnsi" w:cs="Arial"/>
          <w:i/>
          <w:iCs/>
          <w:color w:val="44546A" w:themeColor="text2"/>
          <w:sz w:val="20"/>
          <w:szCs w:val="20"/>
          <w:lang w:val="en-GB"/>
        </w:rPr>
        <w:t>-202</w:t>
      </w:r>
      <w:r w:rsidR="00545167">
        <w:rPr>
          <w:rFonts w:asciiTheme="minorHAnsi" w:eastAsia="Times New Roman" w:hAnsiTheme="minorHAnsi" w:cs="Arial"/>
          <w:i/>
          <w:iCs/>
          <w:color w:val="44546A" w:themeColor="text2"/>
          <w:sz w:val="20"/>
          <w:szCs w:val="20"/>
          <w:lang w:val="en-GB"/>
        </w:rPr>
        <w:t>3</w:t>
      </w:r>
      <w:bookmarkEnd w:id="109"/>
      <w:bookmarkEnd w:id="110"/>
    </w:p>
    <w:p w14:paraId="5E18FA18" w14:textId="75F8D832" w:rsidR="000E5E4F" w:rsidRPr="00BC1ABD" w:rsidRDefault="007B22D1" w:rsidP="000E5E4F">
      <w:pPr>
        <w:jc w:val="center"/>
        <w:rPr>
          <w:rFonts w:eastAsia="Times New Roman" w:cs="Arial"/>
          <w:sz w:val="24"/>
          <w:szCs w:val="24"/>
          <w:lang w:val="en-GB"/>
        </w:rPr>
      </w:pPr>
      <w:r>
        <w:rPr>
          <w:rFonts w:eastAsia="Times New Roman" w:cs="Arial"/>
          <w:noProof/>
          <w:sz w:val="24"/>
          <w:szCs w:val="24"/>
          <w:lang w:val="sl-SI" w:eastAsia="sl-SI"/>
        </w:rPr>
        <w:drawing>
          <wp:inline distT="0" distB="0" distL="0" distR="0" wp14:anchorId="0DEAA302" wp14:editId="52BE9F79">
            <wp:extent cx="5730875" cy="2981325"/>
            <wp:effectExtent l="0" t="0" r="3175" b="9525"/>
            <wp:docPr id="758695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875" cy="2981325"/>
                    </a:xfrm>
                    <a:prstGeom prst="rect">
                      <a:avLst/>
                    </a:prstGeom>
                    <a:noFill/>
                  </pic:spPr>
                </pic:pic>
              </a:graphicData>
            </a:graphic>
          </wp:inline>
        </w:drawing>
      </w:r>
    </w:p>
    <w:p w14:paraId="7F3F466D" w14:textId="1B319773" w:rsidR="000E5E4F" w:rsidRPr="00BC1ABD" w:rsidRDefault="000E5E4F" w:rsidP="000E5E4F">
      <w:pPr>
        <w:jc w:val="center"/>
        <w:rPr>
          <w:rFonts w:eastAsia="Times New Roman" w:cs="Arial"/>
          <w:sz w:val="20"/>
          <w:szCs w:val="20"/>
          <w:lang w:val="en-GB"/>
        </w:rPr>
      </w:pPr>
      <w:r w:rsidRPr="00BC1ABD">
        <w:rPr>
          <w:rFonts w:eastAsia="Times New Roman" w:cs="Arial"/>
          <w:sz w:val="20"/>
          <w:szCs w:val="20"/>
          <w:lang w:val="en-GB"/>
        </w:rPr>
        <w:t>Source: DESI 202</w:t>
      </w:r>
      <w:r w:rsidR="007B22D1">
        <w:rPr>
          <w:rFonts w:eastAsia="Times New Roman" w:cs="Arial"/>
          <w:sz w:val="20"/>
          <w:szCs w:val="20"/>
          <w:lang w:val="en-GB"/>
        </w:rPr>
        <w:t>3</w:t>
      </w:r>
      <w:r w:rsidRPr="00BC1ABD">
        <w:rPr>
          <w:rFonts w:eastAsia="Times New Roman" w:cs="Arial"/>
          <w:sz w:val="20"/>
          <w:szCs w:val="20"/>
          <w:lang w:val="en-GB"/>
        </w:rPr>
        <w:t xml:space="preserve"> </w:t>
      </w:r>
    </w:p>
    <w:p w14:paraId="397DD063" w14:textId="26F9C571" w:rsidR="000E5E4F" w:rsidRPr="00BC1ABD" w:rsidRDefault="00A65794" w:rsidP="005E0CC5">
      <w:pPr>
        <w:jc w:val="both"/>
        <w:rPr>
          <w:rFonts w:eastAsia="Times New Roman" w:cs="Arial"/>
          <w:sz w:val="20"/>
          <w:szCs w:val="20"/>
          <w:lang w:val="en-GB"/>
        </w:rPr>
      </w:pPr>
      <w:r>
        <w:rPr>
          <w:rFonts w:eastAsia="Times New Roman" w:cs="Arial"/>
          <w:sz w:val="24"/>
          <w:szCs w:val="24"/>
          <w:lang w:val="en-GB"/>
        </w:rPr>
        <w:t>When taking into account the differences in the methods of calculation of mobile broadband penetration (explained in the note below), a fair comparison between Georgia and the EU is shown in Figure 19.</w:t>
      </w:r>
    </w:p>
    <w:p w14:paraId="2AB04B7F" w14:textId="00330779"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11" w:name="_Toc141200259"/>
      <w:bookmarkStart w:id="112" w:name="_Toc152931370"/>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19</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Mobile broadband penetration (% of individuals), 2021</w:t>
      </w:r>
      <w:bookmarkEnd w:id="111"/>
      <w:bookmarkEnd w:id="112"/>
    </w:p>
    <w:p w14:paraId="58DDA77C" w14:textId="36481E3C" w:rsidR="008A65D0" w:rsidRDefault="008A65D0" w:rsidP="000E5E4F">
      <w:pPr>
        <w:jc w:val="center"/>
        <w:rPr>
          <w:rFonts w:eastAsia="Times New Roman" w:cs="Arial"/>
          <w:sz w:val="20"/>
          <w:szCs w:val="20"/>
          <w:lang w:val="en-GB"/>
        </w:rPr>
      </w:pPr>
      <w:r>
        <w:rPr>
          <w:noProof/>
          <w:lang w:val="sl-SI" w:eastAsia="sl-SI"/>
        </w:rPr>
        <w:drawing>
          <wp:inline distT="0" distB="0" distL="0" distR="0" wp14:anchorId="07BCBAF1" wp14:editId="05DA6574">
            <wp:extent cx="5760720" cy="3136265"/>
            <wp:effectExtent l="0" t="0" r="0" b="6985"/>
            <wp:docPr id="1039469428" name="Picture 1039469428" descr="A graph of blue and whit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69428" name="Picture 1039469428" descr="A graph of blue and white lines&#10;&#10;Description automatically generated with medium confidence"/>
                    <pic:cNvPicPr>
                      <a:picLocks noChangeAspect="1"/>
                    </pic:cNvPicPr>
                  </pic:nvPicPr>
                  <pic:blipFill>
                    <a:blip r:embed="rId25"/>
                    <a:stretch>
                      <a:fillRect/>
                    </a:stretch>
                  </pic:blipFill>
                  <pic:spPr>
                    <a:xfrm>
                      <a:off x="0" y="0"/>
                      <a:ext cx="5760720" cy="3136265"/>
                    </a:xfrm>
                    <a:prstGeom prst="rect">
                      <a:avLst/>
                    </a:prstGeom>
                  </pic:spPr>
                </pic:pic>
              </a:graphicData>
            </a:graphic>
          </wp:inline>
        </w:drawing>
      </w:r>
    </w:p>
    <w:p w14:paraId="484CFF55" w14:textId="0802D875" w:rsidR="000E5E4F" w:rsidRPr="00BC1ABD" w:rsidRDefault="000E5E4F" w:rsidP="000E5E4F">
      <w:pPr>
        <w:jc w:val="center"/>
        <w:rPr>
          <w:rFonts w:eastAsia="Times New Roman" w:cs="Arial"/>
          <w:sz w:val="20"/>
          <w:szCs w:val="20"/>
          <w:lang w:val="en-GB"/>
        </w:rPr>
      </w:pPr>
      <w:r w:rsidRPr="00BC1ABD">
        <w:rPr>
          <w:rFonts w:eastAsia="Times New Roman" w:cs="Arial"/>
          <w:sz w:val="20"/>
          <w:szCs w:val="20"/>
          <w:lang w:val="en-GB"/>
        </w:rPr>
        <w:t>Source: DESI 202</w:t>
      </w:r>
      <w:r w:rsidR="00042E56">
        <w:rPr>
          <w:rFonts w:eastAsia="Times New Roman" w:cs="Arial"/>
          <w:sz w:val="20"/>
          <w:szCs w:val="20"/>
          <w:lang w:val="en-GB"/>
        </w:rPr>
        <w:t>3</w:t>
      </w:r>
      <w:r w:rsidR="00104FD5">
        <w:rPr>
          <w:rFonts w:eastAsia="Times New Roman" w:cs="Arial"/>
          <w:sz w:val="20"/>
          <w:szCs w:val="20"/>
          <w:lang w:val="en-GB"/>
        </w:rPr>
        <w:t>/ComCom</w:t>
      </w:r>
      <w:r w:rsidRPr="00BC1ABD">
        <w:rPr>
          <w:rFonts w:eastAsia="Times New Roman" w:cs="Arial"/>
          <w:sz w:val="20"/>
          <w:szCs w:val="20"/>
          <w:lang w:val="en-GB"/>
        </w:rPr>
        <w:t xml:space="preserve"> </w:t>
      </w:r>
    </w:p>
    <w:p w14:paraId="4CEC428F" w14:textId="339AAF12" w:rsidR="000E5E4F" w:rsidRPr="00BC1ABD" w:rsidRDefault="000E5E4F" w:rsidP="000E5E4F">
      <w:pPr>
        <w:jc w:val="both"/>
        <w:rPr>
          <w:rFonts w:eastAsia="Times New Roman" w:cs="Arial"/>
          <w:i/>
          <w:iCs/>
          <w:sz w:val="20"/>
          <w:szCs w:val="20"/>
          <w:lang w:val="en-GB"/>
        </w:rPr>
      </w:pPr>
      <w:r w:rsidRPr="00BC1ABD">
        <w:rPr>
          <w:rFonts w:eastAsia="Times New Roman" w:cs="Arial"/>
          <w:i/>
          <w:iCs/>
          <w:sz w:val="20"/>
          <w:szCs w:val="20"/>
          <w:lang w:val="en-GB"/>
        </w:rPr>
        <w:t xml:space="preserve">Note: The comparison between the mobile broadband penetration rates of Georgia with EU countries is complicated by definitional differences in the recording of the respective mobile broadband subscriptions and population figures. For example, in Georgia where an individual has multiple mobile broadband subscriptions, each subscription is included in the count. In the EU, an individual with multiple mobile broadband subscriptions is only counted once. Also, in Georgia, the figure used as the denominator (population figure) excludes children aged under 10, whereas in the EU, the denominator for the penetration calculation includes the whole population. These definitional differences tend to overstate the Georgian mobile broadband penetration figure when comparing it to the data for EU countries. The figure quoted for Georgia is taken from monthly counting data for December 2021 rather than the yearly-counted December 2021 figure. There is a difference in the yearly counted figure and the monthly counted figure resulting from the way in which an active mobile subscriber is defined (by usage during the counting period). The figures calculated by monthly counted subscribers are lower than those using the yearly counting period (by around 10%). The figure used to compare Georgia with the EU in Figure </w:t>
      </w:r>
      <w:r w:rsidR="00103F9C">
        <w:rPr>
          <w:rFonts w:eastAsia="Times New Roman" w:cs="Arial"/>
          <w:i/>
          <w:iCs/>
          <w:sz w:val="20"/>
          <w:szCs w:val="20"/>
          <w:lang w:val="en-GB"/>
        </w:rPr>
        <w:t>19</w:t>
      </w:r>
      <w:r w:rsidRPr="00BC1ABD">
        <w:rPr>
          <w:rFonts w:eastAsia="Times New Roman" w:cs="Arial"/>
          <w:i/>
          <w:iCs/>
          <w:sz w:val="20"/>
          <w:szCs w:val="20"/>
          <w:lang w:val="en-GB"/>
        </w:rPr>
        <w:t xml:space="preserve"> represents the one most comparable to the DESI definition of mobile subscribers.</w:t>
      </w:r>
    </w:p>
    <w:p w14:paraId="1EC24A42"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These results for take-up rates of fixed and mobile broadband access lead to the following initial conclusions: </w:t>
      </w:r>
    </w:p>
    <w:p w14:paraId="1EA78571" w14:textId="03399F83" w:rsidR="000E5E4F" w:rsidRPr="00BC1ABD" w:rsidRDefault="000E5E4F" w:rsidP="000E5E4F">
      <w:pPr>
        <w:numPr>
          <w:ilvl w:val="0"/>
          <w:numId w:val="62"/>
        </w:numPr>
        <w:spacing w:before="240"/>
        <w:contextualSpacing/>
        <w:jc w:val="both"/>
        <w:rPr>
          <w:rFonts w:eastAsia="Times New Roman" w:cs="Arial"/>
          <w:sz w:val="24"/>
          <w:szCs w:val="24"/>
          <w:lang w:val="en-GB"/>
        </w:rPr>
      </w:pPr>
      <w:r w:rsidRPr="00BC1ABD">
        <w:rPr>
          <w:rFonts w:eastAsia="Times New Roman" w:cs="Arial"/>
          <w:sz w:val="24"/>
          <w:szCs w:val="24"/>
          <w:lang w:val="en-GB"/>
        </w:rPr>
        <w:t>There is a constant and stable demand for all (fixed and mobile) broadband services in Georgia</w:t>
      </w:r>
      <w:r w:rsidR="00A65794">
        <w:rPr>
          <w:rFonts w:eastAsia="Times New Roman" w:cs="Arial"/>
          <w:sz w:val="24"/>
          <w:szCs w:val="24"/>
          <w:lang w:val="en-GB"/>
        </w:rPr>
        <w:t>;</w:t>
      </w:r>
    </w:p>
    <w:p w14:paraId="1BB7141F" w14:textId="1D57C482" w:rsidR="000E5E4F" w:rsidRPr="00BC1ABD" w:rsidRDefault="000E5E4F" w:rsidP="000E5E4F">
      <w:pPr>
        <w:numPr>
          <w:ilvl w:val="0"/>
          <w:numId w:val="62"/>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Although there are some variations in take-up rates, the fixed broadband and mobile broadband services have characteristics of complementary services as an increase in the usage of one service does not lead to a decrease in usage of the other. This statement will have to be </w:t>
      </w:r>
      <w:r w:rsidR="00A65794">
        <w:rPr>
          <w:rFonts w:eastAsia="Times New Roman" w:cs="Arial"/>
          <w:sz w:val="24"/>
          <w:szCs w:val="24"/>
          <w:lang w:val="en-GB"/>
        </w:rPr>
        <w:t>further verified</w:t>
      </w:r>
      <w:r w:rsidRPr="00BC1ABD">
        <w:rPr>
          <w:rFonts w:eastAsia="Times New Roman" w:cs="Arial"/>
          <w:sz w:val="24"/>
          <w:szCs w:val="24"/>
          <w:lang w:val="en-GB"/>
        </w:rPr>
        <w:t xml:space="preserve"> with </w:t>
      </w:r>
      <w:r w:rsidR="00A65794">
        <w:rPr>
          <w:rFonts w:eastAsia="Times New Roman" w:cs="Arial"/>
          <w:sz w:val="24"/>
          <w:szCs w:val="24"/>
          <w:lang w:val="en-GB"/>
        </w:rPr>
        <w:t xml:space="preserve">the </w:t>
      </w:r>
      <w:r w:rsidRPr="00BC1ABD">
        <w:rPr>
          <w:rFonts w:eastAsia="Times New Roman" w:cs="Arial"/>
          <w:sz w:val="24"/>
          <w:szCs w:val="24"/>
          <w:lang w:val="en-GB"/>
        </w:rPr>
        <w:t>detailed substitutability analysis which will be made in forthcoming chapters</w:t>
      </w:r>
      <w:r w:rsidR="00A65794">
        <w:rPr>
          <w:rFonts w:eastAsia="Times New Roman" w:cs="Arial"/>
          <w:sz w:val="24"/>
          <w:szCs w:val="24"/>
          <w:lang w:val="en-GB"/>
        </w:rPr>
        <w:t>;</w:t>
      </w:r>
    </w:p>
    <w:p w14:paraId="598BBB75" w14:textId="3D24F6DF" w:rsidR="000E5E4F" w:rsidRPr="00BC1ABD" w:rsidRDefault="000E5E4F" w:rsidP="000E5E4F">
      <w:pPr>
        <w:numPr>
          <w:ilvl w:val="0"/>
          <w:numId w:val="62"/>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Comparisons between the Georgian fixed broadband market and the fixed broadband markets in EU member states as well as the EU averages (figures </w:t>
      </w:r>
      <w:r w:rsidR="00C124A7">
        <w:rPr>
          <w:rFonts w:eastAsia="Times New Roman" w:cs="Arial"/>
          <w:sz w:val="24"/>
          <w:szCs w:val="24"/>
          <w:lang w:val="en-GB"/>
        </w:rPr>
        <w:t>15</w:t>
      </w:r>
      <w:r w:rsidRPr="00BC1ABD">
        <w:rPr>
          <w:rFonts w:eastAsia="Times New Roman" w:cs="Arial"/>
          <w:sz w:val="24"/>
          <w:szCs w:val="24"/>
          <w:lang w:val="en-GB"/>
        </w:rPr>
        <w:t xml:space="preserve"> to </w:t>
      </w:r>
      <w:r w:rsidR="00C124A7">
        <w:rPr>
          <w:rFonts w:eastAsia="Times New Roman" w:cs="Arial"/>
          <w:sz w:val="24"/>
          <w:szCs w:val="24"/>
          <w:lang w:val="en-GB"/>
        </w:rPr>
        <w:t>19</w:t>
      </w:r>
      <w:r w:rsidRPr="00BC1ABD">
        <w:rPr>
          <w:rFonts w:eastAsia="Times New Roman" w:cs="Arial"/>
          <w:sz w:val="24"/>
          <w:szCs w:val="24"/>
          <w:lang w:val="en-GB"/>
        </w:rPr>
        <w:t>) and related findings should be taken into account in the process of this market analysis.</w:t>
      </w:r>
    </w:p>
    <w:p w14:paraId="60A35B4F" w14:textId="77777777" w:rsidR="000E5E4F" w:rsidRPr="00575CD0" w:rsidRDefault="000E5E4F" w:rsidP="00575CD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13" w:name="_Toc146107807"/>
      <w:bookmarkStart w:id="114" w:name="_Toc169258918"/>
      <w:r w:rsidRPr="00575CD0">
        <w:rPr>
          <w:rFonts w:asciiTheme="minorHAnsi" w:hAnsiTheme="minorHAnsi" w:cstheme="minorHAnsi"/>
          <w:b w:val="0"/>
          <w:bCs w:val="0"/>
          <w:sz w:val="24"/>
          <w:szCs w:val="24"/>
          <w:lang w:val="en-GB"/>
        </w:rPr>
        <w:t>Fixed broadband access technology mix</w:t>
      </w:r>
      <w:bookmarkEnd w:id="113"/>
      <w:bookmarkEnd w:id="114"/>
    </w:p>
    <w:p w14:paraId="75F2BD70" w14:textId="24E2DBE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An overview of the technologies by which broadband services are delivered to end</w:t>
      </w:r>
      <w:r w:rsidR="00A65794">
        <w:rPr>
          <w:rFonts w:eastAsia="Times New Roman" w:cs="Arial"/>
          <w:sz w:val="24"/>
          <w:szCs w:val="24"/>
          <w:lang w:val="en-GB"/>
        </w:rPr>
        <w:t>-</w:t>
      </w:r>
      <w:r w:rsidRPr="00BC1ABD">
        <w:rPr>
          <w:rFonts w:eastAsia="Times New Roman" w:cs="Arial"/>
          <w:sz w:val="24"/>
          <w:szCs w:val="24"/>
          <w:lang w:val="en-GB"/>
        </w:rPr>
        <w:t>users gives a broad background to the market structure, product substitutability and competition. The following is the current fixed broadband access technology mix in Georgia:</w:t>
      </w:r>
    </w:p>
    <w:p w14:paraId="7C5A666C" w14:textId="2E1AE3FE" w:rsidR="000E5E4F" w:rsidRPr="00BC1ABD" w:rsidRDefault="00592449" w:rsidP="000E5E4F">
      <w:pPr>
        <w:numPr>
          <w:ilvl w:val="0"/>
          <w:numId w:val="63"/>
        </w:numPr>
        <w:spacing w:before="240"/>
        <w:contextualSpacing/>
        <w:jc w:val="both"/>
        <w:rPr>
          <w:rFonts w:eastAsia="Times New Roman" w:cs="Arial"/>
          <w:sz w:val="24"/>
          <w:szCs w:val="24"/>
          <w:lang w:val="en-GB"/>
        </w:rPr>
      </w:pPr>
      <w:r>
        <w:rPr>
          <w:rFonts w:eastAsia="Times New Roman" w:cs="Arial"/>
          <w:sz w:val="24"/>
          <w:szCs w:val="24"/>
          <w:lang w:val="en-GB"/>
        </w:rPr>
        <w:t>FTTx</w:t>
      </w:r>
      <w:r w:rsidR="000E5E4F" w:rsidRPr="00BC1ABD">
        <w:rPr>
          <w:rFonts w:eastAsia="Times New Roman" w:cs="Arial"/>
          <w:sz w:val="24"/>
          <w:szCs w:val="24"/>
          <w:lang w:val="en-GB"/>
        </w:rPr>
        <w:t xml:space="preserve"> (Point-to-point, GPON and FTTB with UTP Ethernet at home)</w:t>
      </w:r>
      <w:r w:rsidR="00A65794">
        <w:rPr>
          <w:rFonts w:eastAsia="Times New Roman" w:cs="Arial"/>
          <w:sz w:val="24"/>
          <w:szCs w:val="24"/>
          <w:lang w:val="en-GB"/>
        </w:rPr>
        <w:t>;</w:t>
      </w:r>
    </w:p>
    <w:p w14:paraId="33183D70" w14:textId="58A94E28" w:rsidR="000E5E4F" w:rsidRPr="00BC1ABD" w:rsidRDefault="000E5E4F" w:rsidP="000E5E4F">
      <w:pPr>
        <w:numPr>
          <w:ilvl w:val="0"/>
          <w:numId w:val="63"/>
        </w:numPr>
        <w:spacing w:before="240"/>
        <w:contextualSpacing/>
        <w:jc w:val="both"/>
        <w:rPr>
          <w:rFonts w:eastAsia="Times New Roman" w:cs="Arial"/>
          <w:sz w:val="24"/>
          <w:szCs w:val="24"/>
          <w:lang w:val="en-GB"/>
        </w:rPr>
      </w:pPr>
      <w:r w:rsidRPr="00BC1ABD">
        <w:rPr>
          <w:rFonts w:eastAsia="Times New Roman" w:cs="Arial"/>
          <w:sz w:val="24"/>
          <w:szCs w:val="24"/>
          <w:lang w:val="en-GB"/>
        </w:rPr>
        <w:t>FWA</w:t>
      </w:r>
      <w:r w:rsidRPr="00BC1ABD">
        <w:rPr>
          <w:rFonts w:eastAsia="Times New Roman" w:cs="Arial"/>
          <w:sz w:val="24"/>
          <w:szCs w:val="24"/>
          <w:vertAlign w:val="superscript"/>
          <w:lang w:val="en-GB"/>
        </w:rPr>
        <w:footnoteReference w:id="58"/>
      </w:r>
      <w:r w:rsidR="00A65794">
        <w:rPr>
          <w:rFonts w:eastAsia="Times New Roman" w:cs="Arial"/>
          <w:sz w:val="24"/>
          <w:szCs w:val="24"/>
          <w:lang w:val="en-GB"/>
        </w:rPr>
        <w:t>;</w:t>
      </w:r>
    </w:p>
    <w:p w14:paraId="43F9C36F" w14:textId="5D08E100" w:rsidR="000E5E4F" w:rsidRPr="00BC1ABD" w:rsidRDefault="000E5E4F" w:rsidP="000E5E4F">
      <w:pPr>
        <w:numPr>
          <w:ilvl w:val="0"/>
          <w:numId w:val="63"/>
        </w:numPr>
        <w:spacing w:before="240"/>
        <w:contextualSpacing/>
        <w:jc w:val="both"/>
        <w:rPr>
          <w:rFonts w:eastAsia="Times New Roman" w:cs="Arial"/>
          <w:sz w:val="24"/>
          <w:szCs w:val="24"/>
          <w:lang w:val="en-GB"/>
        </w:rPr>
      </w:pPr>
      <w:r w:rsidRPr="00BC1ABD">
        <w:rPr>
          <w:rFonts w:eastAsia="Times New Roman" w:cs="Arial"/>
          <w:sz w:val="24"/>
          <w:szCs w:val="24"/>
          <w:lang w:val="en-GB"/>
        </w:rPr>
        <w:t>xDSL access via a copper access network (ADSL, VDSL)</w:t>
      </w:r>
      <w:r w:rsidR="00A65794">
        <w:rPr>
          <w:rFonts w:eastAsia="Times New Roman" w:cs="Arial"/>
          <w:sz w:val="24"/>
          <w:szCs w:val="24"/>
          <w:lang w:val="en-GB"/>
        </w:rPr>
        <w:t>;</w:t>
      </w:r>
    </w:p>
    <w:p w14:paraId="5FCB59AE" w14:textId="5C333905" w:rsidR="000E5E4F" w:rsidRPr="00BC1ABD" w:rsidRDefault="000E5E4F" w:rsidP="000E5E4F">
      <w:pPr>
        <w:numPr>
          <w:ilvl w:val="0"/>
          <w:numId w:val="63"/>
        </w:numPr>
        <w:spacing w:before="240"/>
        <w:contextualSpacing/>
        <w:jc w:val="both"/>
        <w:rPr>
          <w:rFonts w:eastAsia="Times New Roman" w:cs="Arial"/>
          <w:sz w:val="24"/>
          <w:szCs w:val="24"/>
          <w:lang w:val="en-GB"/>
        </w:rPr>
      </w:pPr>
      <w:r w:rsidRPr="00E517D9">
        <w:rPr>
          <w:sz w:val="24"/>
          <w:szCs w:val="24"/>
        </w:rPr>
        <w:t>Fixed LTE</w:t>
      </w:r>
      <w:r w:rsidRPr="00BC1ABD">
        <w:rPr>
          <w:rFonts w:eastAsia="Times New Roman" w:cs="Arial"/>
          <w:sz w:val="24"/>
          <w:szCs w:val="24"/>
          <w:vertAlign w:val="superscript"/>
          <w:lang w:val="en-GB"/>
        </w:rPr>
        <w:footnoteReference w:id="59"/>
      </w:r>
      <w:r w:rsidR="00A65794">
        <w:rPr>
          <w:rFonts w:eastAsia="Times New Roman" w:cs="Arial"/>
          <w:sz w:val="24"/>
          <w:szCs w:val="24"/>
          <w:lang w:val="en-GB"/>
        </w:rPr>
        <w:t>.</w:t>
      </w:r>
    </w:p>
    <w:p w14:paraId="173C58AE" w14:textId="77777777" w:rsidR="000E5E4F" w:rsidRPr="00BC1ABD" w:rsidRDefault="000E5E4F" w:rsidP="000E5E4F">
      <w:pPr>
        <w:spacing w:before="240"/>
        <w:contextualSpacing/>
        <w:jc w:val="both"/>
        <w:rPr>
          <w:rFonts w:eastAsia="Times New Roman" w:cs="Arial"/>
          <w:sz w:val="24"/>
          <w:szCs w:val="24"/>
          <w:lang w:val="en-GB"/>
        </w:rPr>
      </w:pPr>
    </w:p>
    <w:p w14:paraId="464FE429" w14:textId="701617FC" w:rsidR="003B52FC" w:rsidRDefault="000E5E4F" w:rsidP="000E5E4F">
      <w:pPr>
        <w:spacing w:before="240"/>
        <w:contextualSpacing/>
        <w:jc w:val="both"/>
        <w:rPr>
          <w:rFonts w:eastAsia="Times New Roman" w:cs="Arial"/>
          <w:sz w:val="24"/>
          <w:szCs w:val="24"/>
          <w:lang w:val="en-GB"/>
        </w:rPr>
      </w:pPr>
      <w:r w:rsidRPr="00BC1ABD">
        <w:rPr>
          <w:rFonts w:eastAsia="Times New Roman" w:cs="Arial"/>
          <w:sz w:val="24"/>
          <w:szCs w:val="24"/>
          <w:lang w:val="en-GB"/>
        </w:rPr>
        <w:t>It should be noted that coaxial cable networks (</w:t>
      </w:r>
      <w:r w:rsidRPr="00E517D9">
        <w:rPr>
          <w:lang w:val="en-US"/>
        </w:rPr>
        <w:t>DOCSIS</w:t>
      </w:r>
      <w:r w:rsidRPr="00BC1ABD">
        <w:rPr>
          <w:rFonts w:eastAsia="Times New Roman" w:cs="Arial"/>
          <w:sz w:val="24"/>
          <w:szCs w:val="24"/>
          <w:vertAlign w:val="superscript"/>
          <w:lang w:val="en-GB"/>
        </w:rPr>
        <w:footnoteReference w:id="60"/>
      </w:r>
      <w:r w:rsidRPr="00BC1ABD">
        <w:rPr>
          <w:rFonts w:eastAsia="Times New Roman" w:cs="Arial"/>
          <w:sz w:val="24"/>
          <w:szCs w:val="24"/>
          <w:lang w:val="en-GB"/>
        </w:rPr>
        <w:t>-based technologies) are not present in Georgia, which means that fixed broadband access services are currently not provided to end users through cable access networks.</w:t>
      </w:r>
      <w:r w:rsidR="004B68D7">
        <w:rPr>
          <w:rFonts w:eastAsia="Times New Roman" w:cs="Arial"/>
          <w:sz w:val="24"/>
          <w:szCs w:val="24"/>
          <w:lang w:val="en-GB"/>
        </w:rPr>
        <w:t xml:space="preserve"> </w:t>
      </w:r>
      <w:r w:rsidR="004B68D7" w:rsidRPr="004B68D7">
        <w:rPr>
          <w:rFonts w:eastAsia="Times New Roman" w:cs="Arial"/>
          <w:sz w:val="24"/>
          <w:szCs w:val="24"/>
          <w:lang w:val="en-GB"/>
        </w:rPr>
        <w:t>No 5G network is deployed yet in Georgia and there is no possibility to offer fixed 5G wireless broadband services. Such services may be launched in the coming years, but, if this would be the case, are likely to remain marginal</w:t>
      </w:r>
      <w:r w:rsidR="001443C9">
        <w:rPr>
          <w:rStyle w:val="FootnoteReference"/>
          <w:rFonts w:eastAsia="Times New Roman" w:cs="Arial"/>
          <w:sz w:val="24"/>
          <w:szCs w:val="24"/>
          <w:lang w:val="en-GB"/>
        </w:rPr>
        <w:footnoteReference w:id="61"/>
      </w:r>
      <w:r w:rsidR="004B68D7" w:rsidRPr="004B68D7">
        <w:rPr>
          <w:rFonts w:eastAsia="Times New Roman" w:cs="Arial"/>
          <w:sz w:val="24"/>
          <w:szCs w:val="24"/>
          <w:lang w:val="en-GB"/>
        </w:rPr>
        <w:t>.</w:t>
      </w:r>
      <w:r w:rsidR="001443C9">
        <w:rPr>
          <w:rFonts w:eastAsia="Times New Roman" w:cs="Arial"/>
          <w:sz w:val="24"/>
          <w:szCs w:val="24"/>
          <w:lang w:val="en-GB"/>
        </w:rPr>
        <w:t xml:space="preserve"> </w:t>
      </w:r>
      <w:r w:rsidR="004B68D7" w:rsidRPr="004B68D7">
        <w:rPr>
          <w:rFonts w:eastAsia="Times New Roman" w:cs="Arial"/>
          <w:sz w:val="24"/>
          <w:szCs w:val="24"/>
          <w:lang w:val="en-GB"/>
        </w:rPr>
        <w:t>However, the fixed 5G wireless broadband will have to be considered in the next market review.</w:t>
      </w:r>
    </w:p>
    <w:p w14:paraId="55467A29" w14:textId="77777777" w:rsidR="003B52FC" w:rsidRPr="00BC1ABD" w:rsidRDefault="003B52FC" w:rsidP="000E5E4F">
      <w:pPr>
        <w:spacing w:before="240"/>
        <w:contextualSpacing/>
        <w:jc w:val="both"/>
        <w:rPr>
          <w:rFonts w:eastAsia="Times New Roman" w:cs="Arial"/>
          <w:sz w:val="24"/>
          <w:szCs w:val="24"/>
          <w:lang w:val="en-GB"/>
        </w:rPr>
      </w:pPr>
    </w:p>
    <w:p w14:paraId="30ABED10" w14:textId="525D846E"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15" w:name="_Toc141200260"/>
      <w:bookmarkStart w:id="116" w:name="_Toc152931371"/>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20</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Share of the fixed Broadband access by technology (trend)</w:t>
      </w:r>
      <w:bookmarkEnd w:id="115"/>
      <w:bookmarkEnd w:id="116"/>
    </w:p>
    <w:p w14:paraId="4EB24B17" w14:textId="2BB2404B" w:rsidR="000E5E4F" w:rsidRPr="00BC1ABD" w:rsidRDefault="000E5E4F" w:rsidP="000E5E4F">
      <w:pPr>
        <w:spacing w:before="240"/>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416D9C0C" wp14:editId="1296511B">
            <wp:extent cx="5743575" cy="1790700"/>
            <wp:effectExtent l="0" t="0" r="9525" b="0"/>
            <wp:docPr id="1405229012" name="Slika 14" descr="Slika na kojoj se prikazuje tekst, snimka zaslona, dijagram,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29012" name="Slika 14" descr="Slika na kojoj se prikazuje tekst, snimka zaslona, dijagram, softver&#10;&#10;Opis je automatski generira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3575" cy="1790700"/>
                    </a:xfrm>
                    <a:prstGeom prst="rect">
                      <a:avLst/>
                    </a:prstGeom>
                    <a:noFill/>
                    <a:ln>
                      <a:noFill/>
                    </a:ln>
                  </pic:spPr>
                </pic:pic>
              </a:graphicData>
            </a:graphic>
          </wp:inline>
        </w:drawing>
      </w:r>
    </w:p>
    <w:p w14:paraId="28F79340" w14:textId="77777777" w:rsidR="000E5E4F" w:rsidRPr="00BC1ABD" w:rsidRDefault="000E5E4F" w:rsidP="000E5E4F">
      <w:pPr>
        <w:spacing w:before="240"/>
        <w:jc w:val="center"/>
        <w:rPr>
          <w:rFonts w:eastAsia="Times New Roman" w:cs="Arial"/>
          <w:sz w:val="20"/>
          <w:szCs w:val="20"/>
          <w:lang w:val="en-GB"/>
        </w:rPr>
      </w:pPr>
      <w:r w:rsidRPr="00BC1ABD">
        <w:rPr>
          <w:rFonts w:eastAsia="Times New Roman" w:cs="Arial"/>
          <w:sz w:val="20"/>
          <w:szCs w:val="20"/>
          <w:lang w:val="en-GB"/>
        </w:rPr>
        <w:t>Source: ComCom</w:t>
      </w:r>
    </w:p>
    <w:p w14:paraId="033E0533" w14:textId="4E3CEA6F" w:rsidR="00A65794" w:rsidRDefault="000E5E4F" w:rsidP="003B52FC">
      <w:pPr>
        <w:spacing w:before="240"/>
        <w:jc w:val="both"/>
        <w:rPr>
          <w:rFonts w:eastAsia="Times New Roman" w:cs="Arial"/>
          <w:sz w:val="24"/>
          <w:szCs w:val="24"/>
          <w:lang w:val="en-GB"/>
        </w:rPr>
      </w:pPr>
      <w:r w:rsidRPr="00BC1ABD">
        <w:rPr>
          <w:rFonts w:eastAsia="Times New Roman" w:cs="Arial"/>
          <w:sz w:val="24"/>
          <w:szCs w:val="24"/>
          <w:lang w:val="en-GB"/>
        </w:rPr>
        <w:t xml:space="preserve">The distribution of shares between different fixed broadband access technologies </w:t>
      </w:r>
      <w:r w:rsidR="00A65794">
        <w:rPr>
          <w:rFonts w:eastAsia="Times New Roman" w:cs="Arial"/>
          <w:sz w:val="24"/>
          <w:szCs w:val="24"/>
          <w:lang w:val="en-GB"/>
        </w:rPr>
        <w:t>is shown in</w:t>
      </w:r>
      <w:r w:rsidRPr="00BC1ABD">
        <w:rPr>
          <w:rFonts w:eastAsia="Times New Roman" w:cs="Arial"/>
          <w:sz w:val="24"/>
          <w:szCs w:val="24"/>
          <w:lang w:val="en-GB"/>
        </w:rPr>
        <w:t xml:space="preserve"> Figure </w:t>
      </w:r>
      <w:r w:rsidR="00BD2272">
        <w:rPr>
          <w:rFonts w:eastAsia="Times New Roman" w:cs="Arial"/>
          <w:sz w:val="24"/>
          <w:szCs w:val="24"/>
          <w:lang w:val="en-GB"/>
        </w:rPr>
        <w:t>20</w:t>
      </w:r>
      <w:r w:rsidRPr="00BC1ABD">
        <w:rPr>
          <w:rFonts w:eastAsia="Times New Roman" w:cs="Arial"/>
          <w:sz w:val="24"/>
          <w:szCs w:val="24"/>
          <w:lang w:val="en-GB"/>
        </w:rPr>
        <w:t xml:space="preserve">. The most used technology in Georgia is </w:t>
      </w:r>
      <w:r w:rsidR="00592449">
        <w:rPr>
          <w:rFonts w:eastAsia="Times New Roman" w:cs="Arial"/>
          <w:sz w:val="24"/>
          <w:szCs w:val="24"/>
          <w:lang w:val="en-GB"/>
        </w:rPr>
        <w:t>FTTx</w:t>
      </w:r>
      <w:r w:rsidRPr="00BC1ABD">
        <w:rPr>
          <w:rFonts w:eastAsia="Times New Roman" w:cs="Arial"/>
          <w:sz w:val="24"/>
          <w:szCs w:val="24"/>
          <w:lang w:val="en-GB"/>
        </w:rPr>
        <w:t xml:space="preserve"> which, according to the latest data (end of 2022) account</w:t>
      </w:r>
      <w:r w:rsidR="00A65794">
        <w:rPr>
          <w:rFonts w:eastAsia="Times New Roman" w:cs="Arial"/>
          <w:sz w:val="24"/>
          <w:szCs w:val="24"/>
          <w:lang w:val="en-GB"/>
        </w:rPr>
        <w:t>s</w:t>
      </w:r>
      <w:r w:rsidRPr="00BC1ABD">
        <w:rPr>
          <w:rFonts w:eastAsia="Times New Roman" w:cs="Arial"/>
          <w:sz w:val="24"/>
          <w:szCs w:val="24"/>
          <w:lang w:val="en-GB"/>
        </w:rPr>
        <w:t xml:space="preserve"> for 88% of all active fixed broadband lines. </w:t>
      </w:r>
      <w:r w:rsidR="00592449">
        <w:rPr>
          <w:rFonts w:eastAsia="Times New Roman" w:cs="Arial"/>
          <w:sz w:val="24"/>
          <w:szCs w:val="24"/>
          <w:lang w:val="en-GB"/>
        </w:rPr>
        <w:t>FTTx</w:t>
      </w:r>
      <w:r w:rsidRPr="00BC1ABD">
        <w:rPr>
          <w:rFonts w:eastAsia="Times New Roman" w:cs="Arial"/>
          <w:sz w:val="24"/>
          <w:szCs w:val="24"/>
          <w:lang w:val="en-GB"/>
        </w:rPr>
        <w:t xml:space="preserve"> is followed by FWA which accounts for 10% of</w:t>
      </w:r>
      <w:r w:rsidR="00A65794">
        <w:rPr>
          <w:rFonts w:eastAsia="Times New Roman" w:cs="Arial"/>
          <w:sz w:val="24"/>
          <w:szCs w:val="24"/>
          <w:lang w:val="en-GB"/>
        </w:rPr>
        <w:t xml:space="preserve"> the</w:t>
      </w:r>
      <w:r w:rsidRPr="00BC1ABD">
        <w:rPr>
          <w:rFonts w:eastAsia="Times New Roman" w:cs="Arial"/>
          <w:sz w:val="24"/>
          <w:szCs w:val="24"/>
          <w:lang w:val="en-GB"/>
        </w:rPr>
        <w:t xml:space="preserve"> total number of active broadband connections, while xDSL and fixed LTE holding together only 2% of the total number of fixed broadband access connections. </w:t>
      </w:r>
    </w:p>
    <w:p w14:paraId="45F19237" w14:textId="0E552F7D" w:rsidR="005E16B9" w:rsidRPr="00723DBC" w:rsidRDefault="000E5E4F" w:rsidP="00723DBC">
      <w:pPr>
        <w:spacing w:before="240"/>
        <w:jc w:val="both"/>
        <w:rPr>
          <w:rFonts w:eastAsia="Times New Roman" w:cs="Arial"/>
          <w:sz w:val="24"/>
          <w:szCs w:val="24"/>
          <w:lang w:val="en-GB"/>
        </w:rPr>
      </w:pPr>
      <w:r w:rsidRPr="00BC1ABD">
        <w:rPr>
          <w:rFonts w:eastAsia="Times New Roman" w:cs="Arial"/>
          <w:sz w:val="24"/>
          <w:szCs w:val="24"/>
          <w:lang w:val="en-GB"/>
        </w:rPr>
        <w:t xml:space="preserve">In forthcoming chapters, the emphasis will be put on understanding the level of substitutability of FWA, xDSL and fixed LTE with </w:t>
      </w:r>
      <w:r w:rsidR="00592449">
        <w:rPr>
          <w:rFonts w:eastAsia="Times New Roman" w:cs="Arial"/>
          <w:sz w:val="24"/>
          <w:szCs w:val="24"/>
          <w:lang w:val="en-GB"/>
        </w:rPr>
        <w:t>FTTx</w:t>
      </w:r>
      <w:r w:rsidRPr="00BC1ABD">
        <w:rPr>
          <w:rFonts w:eastAsia="Times New Roman" w:cs="Arial"/>
          <w:sz w:val="24"/>
          <w:szCs w:val="24"/>
          <w:lang w:val="en-GB"/>
        </w:rPr>
        <w:t xml:space="preserve"> as the leading technology. </w:t>
      </w:r>
      <w:bookmarkStart w:id="117" w:name="_Toc141200261"/>
    </w:p>
    <w:p w14:paraId="73A6E651" w14:textId="1F6A23F1"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18" w:name="_Toc152931372"/>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21</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Number of the fixed Broadband Internet access per technology, per year</w:t>
      </w:r>
      <w:bookmarkEnd w:id="117"/>
      <w:bookmarkEnd w:id="118"/>
    </w:p>
    <w:p w14:paraId="64DEA8C9" w14:textId="427EFA64" w:rsidR="000E5E4F" w:rsidRPr="00BC1ABD" w:rsidRDefault="000E5E4F" w:rsidP="000E5E4F">
      <w:pPr>
        <w:spacing w:before="240"/>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250850A0" wp14:editId="3AE01B2A">
            <wp:extent cx="5743575" cy="1933575"/>
            <wp:effectExtent l="0" t="0" r="9525" b="9525"/>
            <wp:docPr id="2031668931" name="Slika 13" descr="Slika na kojoj se prikazuje tekst, snimka zaslona, dijagram,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68931" name="Slika 13" descr="Slika na kojoj se prikazuje tekst, snimka zaslona, dijagram, dizajn&#10;&#10;Opis je automatski generira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3575" cy="1933575"/>
                    </a:xfrm>
                    <a:prstGeom prst="rect">
                      <a:avLst/>
                    </a:prstGeom>
                    <a:noFill/>
                    <a:ln>
                      <a:noFill/>
                    </a:ln>
                  </pic:spPr>
                </pic:pic>
              </a:graphicData>
            </a:graphic>
          </wp:inline>
        </w:drawing>
      </w:r>
    </w:p>
    <w:p w14:paraId="4CFE0E7F" w14:textId="77777777" w:rsidR="000E5E4F" w:rsidRPr="00BC1ABD" w:rsidRDefault="000E5E4F" w:rsidP="000E5E4F">
      <w:pPr>
        <w:spacing w:before="240"/>
        <w:jc w:val="center"/>
        <w:rPr>
          <w:rFonts w:eastAsia="Times New Roman" w:cs="Arial"/>
          <w:sz w:val="20"/>
          <w:szCs w:val="20"/>
          <w:lang w:val="en-GB"/>
        </w:rPr>
      </w:pPr>
      <w:r w:rsidRPr="00BC1ABD">
        <w:rPr>
          <w:rFonts w:eastAsia="Times New Roman" w:cs="Arial"/>
          <w:sz w:val="20"/>
          <w:szCs w:val="20"/>
          <w:lang w:val="en-GB"/>
        </w:rPr>
        <w:t>Source: ComCom</w:t>
      </w:r>
    </w:p>
    <w:p w14:paraId="497EF20E" w14:textId="7786D07B"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It is clear that the main fixed broadband access technology in Georgia is </w:t>
      </w:r>
      <w:r w:rsidR="00592449">
        <w:rPr>
          <w:rFonts w:eastAsia="Times New Roman" w:cs="Arial"/>
          <w:sz w:val="24"/>
          <w:szCs w:val="24"/>
          <w:lang w:val="en-GB"/>
        </w:rPr>
        <w:t>FTTx</w:t>
      </w:r>
      <w:r w:rsidRPr="00BC1ABD">
        <w:rPr>
          <w:rFonts w:eastAsia="Times New Roman" w:cs="Arial"/>
          <w:sz w:val="24"/>
          <w:szCs w:val="24"/>
          <w:lang w:val="en-GB"/>
        </w:rPr>
        <w:t xml:space="preserve">. The share of </w:t>
      </w:r>
      <w:r w:rsidR="00592449">
        <w:rPr>
          <w:rFonts w:eastAsia="Times New Roman" w:cs="Arial"/>
          <w:sz w:val="24"/>
          <w:szCs w:val="24"/>
          <w:lang w:val="en-GB"/>
        </w:rPr>
        <w:t>FTTx</w:t>
      </w:r>
      <w:r w:rsidRPr="00BC1ABD">
        <w:rPr>
          <w:rFonts w:eastAsia="Times New Roman" w:cs="Arial"/>
          <w:sz w:val="24"/>
          <w:szCs w:val="24"/>
          <w:lang w:val="en-GB"/>
        </w:rPr>
        <w:t xml:space="preserve"> is steadily increasing each year. The number of FWA connections has varied during the last few years, but there is a constant decrease in xDSL and fixed LTE over the observed period and a high growth rate in </w:t>
      </w:r>
      <w:r w:rsidR="00592449">
        <w:rPr>
          <w:rFonts w:eastAsia="Times New Roman" w:cs="Arial"/>
          <w:sz w:val="24"/>
          <w:szCs w:val="24"/>
          <w:lang w:val="en-GB"/>
        </w:rPr>
        <w:t>FTTx</w:t>
      </w:r>
      <w:r w:rsidRPr="00BC1ABD">
        <w:rPr>
          <w:rFonts w:eastAsia="Times New Roman" w:cs="Arial"/>
          <w:sz w:val="24"/>
          <w:szCs w:val="24"/>
          <w:lang w:val="en-GB"/>
        </w:rPr>
        <w:t xml:space="preserve">. For example, over the period 2019 to 2022, </w:t>
      </w:r>
      <w:r w:rsidR="00592449">
        <w:rPr>
          <w:rFonts w:eastAsia="Times New Roman" w:cs="Arial"/>
          <w:sz w:val="24"/>
          <w:szCs w:val="24"/>
          <w:lang w:val="en-GB"/>
        </w:rPr>
        <w:t>FTTx</w:t>
      </w:r>
      <w:r w:rsidRPr="00BC1ABD">
        <w:rPr>
          <w:rFonts w:eastAsia="Times New Roman" w:cs="Arial"/>
          <w:sz w:val="24"/>
          <w:szCs w:val="24"/>
          <w:lang w:val="en-GB"/>
        </w:rPr>
        <w:t xml:space="preserve"> increased by 172,000 subscribers and all other technologies decreased by 41,000. The increase in </w:t>
      </w:r>
      <w:r w:rsidR="00592449">
        <w:rPr>
          <w:rFonts w:eastAsia="Times New Roman" w:cs="Arial"/>
          <w:sz w:val="24"/>
          <w:szCs w:val="24"/>
          <w:lang w:val="en-GB"/>
        </w:rPr>
        <w:t>FTTx</w:t>
      </w:r>
      <w:r w:rsidRPr="00BC1ABD">
        <w:rPr>
          <w:rFonts w:eastAsia="Times New Roman" w:cs="Arial"/>
          <w:sz w:val="24"/>
          <w:szCs w:val="24"/>
          <w:lang w:val="en-GB"/>
        </w:rPr>
        <w:t xml:space="preserve"> is mainly based on attracting new end-users, but some </w:t>
      </w:r>
      <w:r w:rsidR="00592449">
        <w:rPr>
          <w:rFonts w:eastAsia="Times New Roman" w:cs="Arial"/>
          <w:sz w:val="24"/>
          <w:szCs w:val="24"/>
          <w:lang w:val="en-GB"/>
        </w:rPr>
        <w:t>FTTx</w:t>
      </w:r>
      <w:r w:rsidR="008E7A0B">
        <w:rPr>
          <w:rFonts w:eastAsia="Times New Roman" w:cs="Arial"/>
          <w:sz w:val="24"/>
          <w:szCs w:val="24"/>
          <w:lang w:val="en-GB"/>
        </w:rPr>
        <w:t xml:space="preserve"> growth arises from users</w:t>
      </w:r>
      <w:r w:rsidRPr="00BC1ABD">
        <w:rPr>
          <w:rFonts w:eastAsia="Times New Roman" w:cs="Arial"/>
          <w:sz w:val="24"/>
          <w:szCs w:val="24"/>
          <w:lang w:val="en-GB"/>
        </w:rPr>
        <w:t xml:space="preserve"> switching from other technologies, indicating a preference for </w:t>
      </w:r>
      <w:r w:rsidR="00592449">
        <w:rPr>
          <w:rFonts w:eastAsia="Times New Roman" w:cs="Arial"/>
          <w:sz w:val="24"/>
          <w:szCs w:val="24"/>
          <w:lang w:val="en-GB"/>
        </w:rPr>
        <w:t>FTTx</w:t>
      </w:r>
      <w:r w:rsidRPr="00BC1ABD">
        <w:rPr>
          <w:rFonts w:eastAsia="Times New Roman" w:cs="Arial"/>
          <w:sz w:val="24"/>
          <w:szCs w:val="24"/>
          <w:lang w:val="en-GB"/>
        </w:rPr>
        <w:t xml:space="preserve"> against other technologies.</w:t>
      </w:r>
    </w:p>
    <w:p w14:paraId="2618EDB6" w14:textId="35E7C390" w:rsidR="000E5E4F" w:rsidRPr="00BC1ABD" w:rsidRDefault="000E5E4F" w:rsidP="000E5E4F">
      <w:pPr>
        <w:spacing w:before="240"/>
        <w:jc w:val="both"/>
        <w:rPr>
          <w:rFonts w:eastAsia="Times New Roman" w:cs="Arial"/>
          <w:sz w:val="24"/>
          <w:szCs w:val="24"/>
          <w:lang w:val="en-GB"/>
        </w:rPr>
      </w:pPr>
      <w:r w:rsidRPr="00BC1ABD">
        <w:rPr>
          <w:rFonts w:eastAsia="Times New Roman" w:cs="Arial"/>
          <w:sz w:val="24"/>
          <w:szCs w:val="24"/>
          <w:lang w:val="en-GB"/>
        </w:rPr>
        <w:t xml:space="preserve">The trend of distribution between different technologies in the EU is shown in Figure </w:t>
      </w:r>
      <w:r w:rsidR="00BD2272">
        <w:rPr>
          <w:rFonts w:eastAsia="Times New Roman" w:cs="Arial"/>
          <w:sz w:val="24"/>
          <w:szCs w:val="24"/>
          <w:lang w:val="en-GB"/>
        </w:rPr>
        <w:t>22</w:t>
      </w:r>
      <w:r w:rsidRPr="00BC1ABD">
        <w:rPr>
          <w:rFonts w:eastAsia="Times New Roman" w:cs="Arial"/>
          <w:sz w:val="24"/>
          <w:szCs w:val="24"/>
          <w:lang w:val="en-GB"/>
        </w:rPr>
        <w:t xml:space="preserve"> and the most recent distribution of different technologies in each EU country is shown in Figure </w:t>
      </w:r>
      <w:r w:rsidR="001A1215">
        <w:rPr>
          <w:rFonts w:eastAsia="Times New Roman" w:cs="Arial"/>
          <w:sz w:val="24"/>
          <w:szCs w:val="24"/>
          <w:lang w:val="en-GB"/>
        </w:rPr>
        <w:t>23</w:t>
      </w:r>
      <w:r w:rsidRPr="00BC1ABD">
        <w:rPr>
          <w:rFonts w:eastAsia="Times New Roman" w:cs="Arial"/>
          <w:sz w:val="24"/>
          <w:szCs w:val="24"/>
          <w:lang w:val="en-GB"/>
        </w:rPr>
        <w:t>.</w:t>
      </w:r>
    </w:p>
    <w:p w14:paraId="256424CD" w14:textId="208192C9"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19" w:name="_Toc141200262"/>
      <w:bookmarkStart w:id="120" w:name="_Toc152931373"/>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22</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Fixed broadband subscriptions – technology market shares in the EU (% of subscriptions), July 2006-July 2021</w:t>
      </w:r>
      <w:bookmarkEnd w:id="119"/>
      <w:bookmarkEnd w:id="120"/>
    </w:p>
    <w:p w14:paraId="0DE4A378" w14:textId="2FE107EF" w:rsidR="000E5E4F" w:rsidRPr="00BC1ABD" w:rsidRDefault="000E5E4F" w:rsidP="000E5E4F">
      <w:pPr>
        <w:spacing w:before="240"/>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4B09E2EA" wp14:editId="116D79A9">
            <wp:extent cx="5153025" cy="2457450"/>
            <wp:effectExtent l="0" t="0" r="9525" b="0"/>
            <wp:docPr id="2127133608" name="Slika 12" descr="A screenshot of a graph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reenshot of a graph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53025" cy="2457450"/>
                    </a:xfrm>
                    <a:prstGeom prst="rect">
                      <a:avLst/>
                    </a:prstGeom>
                    <a:noFill/>
                    <a:ln>
                      <a:noFill/>
                    </a:ln>
                  </pic:spPr>
                </pic:pic>
              </a:graphicData>
            </a:graphic>
          </wp:inline>
        </w:drawing>
      </w:r>
    </w:p>
    <w:p w14:paraId="142F1376" w14:textId="7E249C64" w:rsidR="000E5E4F" w:rsidRPr="00723DBC" w:rsidRDefault="000E5E4F" w:rsidP="00723DBC">
      <w:pPr>
        <w:spacing w:before="240"/>
        <w:jc w:val="center"/>
        <w:rPr>
          <w:rFonts w:eastAsia="Times New Roman" w:cs="Arial"/>
          <w:sz w:val="20"/>
          <w:szCs w:val="20"/>
          <w:lang w:val="en-GB"/>
        </w:rPr>
      </w:pPr>
      <w:r w:rsidRPr="00BC1ABD">
        <w:rPr>
          <w:rFonts w:eastAsia="Times New Roman" w:cs="Arial"/>
          <w:sz w:val="20"/>
          <w:szCs w:val="20"/>
          <w:lang w:val="en-GB"/>
        </w:rPr>
        <w:t>Source: DESI 2022 – Digital infrastructures report</w:t>
      </w:r>
    </w:p>
    <w:p w14:paraId="6D0A4DFC" w14:textId="1F60C093"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21" w:name="_Toc141200263"/>
      <w:bookmarkStart w:id="122" w:name="_Toc152931374"/>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23</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Fixed broadband subscriptions – technology market shares in the EU and Georgia (% of subscriptions), per country, July 2021 (EU)/Q32022 (Georgia)</w:t>
      </w:r>
      <w:bookmarkEnd w:id="121"/>
      <w:bookmarkEnd w:id="122"/>
    </w:p>
    <w:p w14:paraId="3F5EBE9F" w14:textId="71A319E4" w:rsidR="000E5E4F" w:rsidRPr="00BC1ABD" w:rsidRDefault="000E5E4F" w:rsidP="000E5E4F">
      <w:pPr>
        <w:spacing w:before="240"/>
        <w:jc w:val="center"/>
        <w:rPr>
          <w:rFonts w:eastAsia="Times New Roman" w:cs="Arial"/>
          <w:sz w:val="24"/>
          <w:szCs w:val="24"/>
          <w:lang w:val="en-GB"/>
        </w:rPr>
      </w:pPr>
      <w:r w:rsidRPr="00BC1ABD">
        <w:rPr>
          <w:rFonts w:eastAsia="Times New Roman"/>
          <w:noProof/>
          <w:lang w:val="sl-SI" w:eastAsia="sl-SI"/>
        </w:rPr>
        <w:drawing>
          <wp:inline distT="0" distB="0" distL="0" distR="0" wp14:anchorId="55530E36" wp14:editId="42D78422">
            <wp:extent cx="5379351" cy="2216617"/>
            <wp:effectExtent l="0" t="0" r="0" b="0"/>
            <wp:docPr id="1663489703" name="Slika 11" descr="Chart, bar char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descr="Chart, bar chart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2624" cy="2222086"/>
                    </a:xfrm>
                    <a:prstGeom prst="rect">
                      <a:avLst/>
                    </a:prstGeom>
                    <a:noFill/>
                    <a:ln>
                      <a:noFill/>
                    </a:ln>
                  </pic:spPr>
                </pic:pic>
              </a:graphicData>
            </a:graphic>
          </wp:inline>
        </w:drawing>
      </w:r>
    </w:p>
    <w:p w14:paraId="30C3C031" w14:textId="77777777" w:rsidR="000E5E4F" w:rsidRPr="0077339B" w:rsidRDefault="000E5E4F" w:rsidP="000E5E4F">
      <w:pPr>
        <w:spacing w:before="240"/>
        <w:jc w:val="center"/>
        <w:rPr>
          <w:rFonts w:eastAsia="Times New Roman" w:cs="Arial"/>
          <w:sz w:val="20"/>
          <w:szCs w:val="20"/>
          <w:lang w:val="fr-BE"/>
        </w:rPr>
      </w:pPr>
      <w:r w:rsidRPr="0077339B">
        <w:rPr>
          <w:rFonts w:eastAsia="Times New Roman" w:cs="Arial"/>
          <w:sz w:val="20"/>
          <w:szCs w:val="20"/>
          <w:lang w:val="fr-BE"/>
        </w:rPr>
        <w:t>Source: DESI 2022 – Digital infrastructures report/ComCom</w:t>
      </w:r>
    </w:p>
    <w:p w14:paraId="60B0D6E4" w14:textId="77777777" w:rsidR="000E5E4F" w:rsidRPr="00BC1ABD" w:rsidRDefault="000E5E4F" w:rsidP="000E5E4F">
      <w:pPr>
        <w:spacing w:before="240"/>
        <w:jc w:val="both"/>
        <w:rPr>
          <w:rFonts w:eastAsia="Times New Roman" w:cs="Arial"/>
          <w:sz w:val="24"/>
          <w:szCs w:val="24"/>
          <w:lang w:val="en-GB"/>
        </w:rPr>
      </w:pPr>
      <w:r w:rsidRPr="00BC1ABD">
        <w:rPr>
          <w:rFonts w:eastAsia="Times New Roman" w:cs="Arial"/>
          <w:sz w:val="24"/>
          <w:szCs w:val="24"/>
          <w:lang w:val="en-GB"/>
        </w:rPr>
        <w:t xml:space="preserve">These results lead to the following conclusions related to the share of different technologies in different countries: </w:t>
      </w:r>
    </w:p>
    <w:p w14:paraId="7B30C06A" w14:textId="33E8D5E2" w:rsidR="000E5E4F" w:rsidRPr="00BC1ABD" w:rsidRDefault="000E5E4F" w:rsidP="000E5E4F">
      <w:pPr>
        <w:numPr>
          <w:ilvl w:val="0"/>
          <w:numId w:val="64"/>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In the EU, </w:t>
      </w:r>
      <w:r w:rsidR="00592449">
        <w:rPr>
          <w:rFonts w:eastAsia="Times New Roman" w:cs="Arial"/>
          <w:sz w:val="24"/>
          <w:szCs w:val="24"/>
          <w:lang w:val="en-GB"/>
        </w:rPr>
        <w:t>FTTx</w:t>
      </w:r>
      <w:r w:rsidRPr="00BC1ABD">
        <w:rPr>
          <w:rFonts w:eastAsia="Times New Roman" w:cs="Arial"/>
          <w:sz w:val="24"/>
          <w:szCs w:val="24"/>
          <w:lang w:val="en-GB"/>
        </w:rPr>
        <w:t xml:space="preserve"> is used for a current average of around 30% of total subscriptions, while in Georgia it is at 88%</w:t>
      </w:r>
      <w:r w:rsidR="008E7A0B">
        <w:rPr>
          <w:rFonts w:eastAsia="Times New Roman" w:cs="Arial"/>
          <w:sz w:val="24"/>
          <w:szCs w:val="24"/>
          <w:lang w:val="en-GB"/>
        </w:rPr>
        <w:t>;</w:t>
      </w:r>
    </w:p>
    <w:p w14:paraId="1852AFAD" w14:textId="16E6FD93" w:rsidR="000E5E4F" w:rsidRPr="00BC1ABD" w:rsidRDefault="000E5E4F" w:rsidP="000E5E4F">
      <w:pPr>
        <w:numPr>
          <w:ilvl w:val="0"/>
          <w:numId w:val="64"/>
        </w:numPr>
        <w:spacing w:before="240"/>
        <w:contextualSpacing/>
        <w:jc w:val="both"/>
        <w:rPr>
          <w:rFonts w:eastAsia="Times New Roman" w:cs="Arial"/>
          <w:sz w:val="24"/>
          <w:szCs w:val="24"/>
          <w:lang w:val="en-GB"/>
        </w:rPr>
      </w:pPr>
      <w:r w:rsidRPr="00BC1ABD">
        <w:rPr>
          <w:rFonts w:eastAsia="Times New Roman" w:cs="Arial"/>
          <w:sz w:val="24"/>
          <w:szCs w:val="24"/>
          <w:lang w:val="en-GB"/>
        </w:rPr>
        <w:t>The dominant technology used for fixed broadband access in the EU is still xDSL, which is not the case in Georgia</w:t>
      </w:r>
      <w:r w:rsidR="008E7A0B">
        <w:rPr>
          <w:rFonts w:eastAsia="Times New Roman" w:cs="Arial"/>
          <w:sz w:val="24"/>
          <w:szCs w:val="24"/>
          <w:lang w:val="en-GB"/>
        </w:rPr>
        <w:t>;</w:t>
      </w:r>
    </w:p>
    <w:p w14:paraId="372A3B6B" w14:textId="69C46B1D" w:rsidR="000E5E4F" w:rsidRPr="00BC1ABD" w:rsidRDefault="000E5E4F" w:rsidP="000E5E4F">
      <w:pPr>
        <w:numPr>
          <w:ilvl w:val="0"/>
          <w:numId w:val="64"/>
        </w:numPr>
        <w:spacing w:before="240"/>
        <w:contextualSpacing/>
        <w:jc w:val="both"/>
        <w:rPr>
          <w:rFonts w:eastAsia="Times New Roman" w:cs="Arial"/>
          <w:sz w:val="24"/>
          <w:szCs w:val="24"/>
          <w:lang w:val="en-GB"/>
        </w:rPr>
      </w:pPr>
      <w:r w:rsidRPr="00BC1ABD">
        <w:rPr>
          <w:rFonts w:eastAsia="Times New Roman" w:cs="Arial"/>
          <w:sz w:val="24"/>
          <w:szCs w:val="24"/>
          <w:lang w:val="en-GB"/>
        </w:rPr>
        <w:t>Cable technology, widely present in the EU, is not present in Georgia as a medium to provide fixed broadband access (and only in very limited use for TV distribution)</w:t>
      </w:r>
      <w:r w:rsidR="008E7A0B">
        <w:rPr>
          <w:rFonts w:eastAsia="Times New Roman" w:cs="Arial"/>
          <w:sz w:val="24"/>
          <w:szCs w:val="24"/>
          <w:lang w:val="en-GB"/>
        </w:rPr>
        <w:t>;</w:t>
      </w:r>
    </w:p>
    <w:p w14:paraId="6A363ADB" w14:textId="79A366E7" w:rsidR="000E5E4F" w:rsidRPr="00BC1ABD" w:rsidRDefault="000E5E4F" w:rsidP="000E5E4F">
      <w:pPr>
        <w:numPr>
          <w:ilvl w:val="0"/>
          <w:numId w:val="64"/>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A dominant share of </w:t>
      </w:r>
      <w:r w:rsidR="00592449">
        <w:rPr>
          <w:rFonts w:eastAsia="Times New Roman" w:cs="Arial"/>
          <w:sz w:val="24"/>
          <w:szCs w:val="24"/>
          <w:lang w:val="en-GB"/>
        </w:rPr>
        <w:t>FTTx</w:t>
      </w:r>
      <w:r w:rsidRPr="00BC1ABD">
        <w:rPr>
          <w:rFonts w:eastAsia="Times New Roman" w:cs="Arial"/>
          <w:sz w:val="24"/>
          <w:szCs w:val="24"/>
          <w:lang w:val="en-GB"/>
        </w:rPr>
        <w:t xml:space="preserve"> technology can only be seen in a few EU member states (for example Spain, Latvia, Lithuania and Romania) but even in those countries, the penetration of </w:t>
      </w:r>
      <w:r w:rsidR="00592449">
        <w:rPr>
          <w:rFonts w:eastAsia="Times New Roman" w:cs="Arial"/>
          <w:sz w:val="24"/>
          <w:szCs w:val="24"/>
          <w:lang w:val="en-GB"/>
        </w:rPr>
        <w:t>FTTx</w:t>
      </w:r>
      <w:r w:rsidRPr="00BC1ABD">
        <w:rPr>
          <w:rFonts w:eastAsia="Times New Roman" w:cs="Arial"/>
          <w:sz w:val="24"/>
          <w:szCs w:val="24"/>
          <w:lang w:val="en-GB"/>
        </w:rPr>
        <w:t xml:space="preserve"> is not as high as in Georgia</w:t>
      </w:r>
      <w:r w:rsidR="008E7A0B">
        <w:rPr>
          <w:rFonts w:eastAsia="Times New Roman" w:cs="Arial"/>
          <w:sz w:val="24"/>
          <w:szCs w:val="24"/>
          <w:lang w:val="en-GB"/>
        </w:rPr>
        <w:t>;</w:t>
      </w:r>
    </w:p>
    <w:p w14:paraId="3D7CCC3C" w14:textId="0CAFB7E3" w:rsidR="000E5E4F" w:rsidRDefault="000E5E4F" w:rsidP="000E5E4F">
      <w:pPr>
        <w:numPr>
          <w:ilvl w:val="0"/>
          <w:numId w:val="64"/>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The high share of </w:t>
      </w:r>
      <w:r w:rsidR="00592449">
        <w:rPr>
          <w:rFonts w:eastAsia="Times New Roman" w:cs="Arial"/>
          <w:sz w:val="24"/>
          <w:szCs w:val="24"/>
          <w:lang w:val="en-GB"/>
        </w:rPr>
        <w:t>FTTx</w:t>
      </w:r>
      <w:r w:rsidRPr="00BC1ABD">
        <w:rPr>
          <w:rFonts w:eastAsia="Times New Roman" w:cs="Arial"/>
          <w:sz w:val="24"/>
          <w:szCs w:val="24"/>
          <w:lang w:val="en-GB"/>
        </w:rPr>
        <w:t xml:space="preserve"> seen in Georgia (compared to the EU) should be taken into account in the market definition process.</w:t>
      </w:r>
    </w:p>
    <w:p w14:paraId="48A4FEE8" w14:textId="77777777" w:rsidR="00575CD0" w:rsidRPr="00BC1ABD" w:rsidRDefault="00575CD0" w:rsidP="00575CD0">
      <w:pPr>
        <w:spacing w:before="240"/>
        <w:ind w:left="720"/>
        <w:contextualSpacing/>
        <w:jc w:val="both"/>
        <w:rPr>
          <w:rFonts w:eastAsia="Times New Roman" w:cs="Arial"/>
          <w:sz w:val="24"/>
          <w:szCs w:val="24"/>
          <w:lang w:val="en-GB"/>
        </w:rPr>
      </w:pPr>
    </w:p>
    <w:p w14:paraId="77B3EA1E" w14:textId="4C2E3EA1" w:rsidR="000E5E4F" w:rsidRPr="00575CD0" w:rsidRDefault="000E5E4F" w:rsidP="00575CD0">
      <w:pPr>
        <w:pStyle w:val="Heading3"/>
        <w:numPr>
          <w:ilvl w:val="2"/>
          <w:numId w:val="88"/>
        </w:numPr>
        <w:spacing w:beforeAutospacing="0" w:after="160" w:afterAutospacing="0" w:line="256" w:lineRule="auto"/>
        <w:rPr>
          <w:rFonts w:asciiTheme="minorHAnsi" w:hAnsiTheme="minorHAnsi" w:cs="Calibri"/>
          <w:b w:val="0"/>
          <w:bCs w:val="0"/>
          <w:sz w:val="24"/>
          <w:szCs w:val="24"/>
          <w:lang w:val="en-GB"/>
        </w:rPr>
      </w:pPr>
      <w:bookmarkStart w:id="123" w:name="_Toc97535472"/>
      <w:bookmarkStart w:id="124" w:name="_Toc146107808"/>
      <w:bookmarkStart w:id="125" w:name="_Toc169258919"/>
      <w:r w:rsidRPr="00575CD0">
        <w:rPr>
          <w:rFonts w:asciiTheme="minorHAnsi" w:hAnsiTheme="minorHAnsi" w:cstheme="minorHAnsi"/>
          <w:b w:val="0"/>
          <w:bCs w:val="0"/>
          <w:sz w:val="24"/>
          <w:szCs w:val="24"/>
          <w:lang w:val="en-GB"/>
        </w:rPr>
        <w:t>Fixed broadband access speeds</w:t>
      </w:r>
      <w:bookmarkEnd w:id="123"/>
      <w:bookmarkEnd w:id="124"/>
      <w:bookmarkEnd w:id="125"/>
    </w:p>
    <w:p w14:paraId="4C297650" w14:textId="360461F1"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An analysis of advertised and contracted fixed broadband access speeds is importan</w:t>
      </w:r>
      <w:r w:rsidR="008E7A0B">
        <w:rPr>
          <w:rFonts w:eastAsia="Times New Roman" w:cs="Arial"/>
          <w:sz w:val="24"/>
          <w:szCs w:val="24"/>
          <w:lang w:val="en-GB"/>
        </w:rPr>
        <w:t>t</w:t>
      </w:r>
      <w:r w:rsidRPr="00BC1ABD">
        <w:rPr>
          <w:rFonts w:eastAsia="Times New Roman" w:cs="Arial"/>
          <w:sz w:val="24"/>
          <w:szCs w:val="24"/>
          <w:lang w:val="en-GB"/>
        </w:rPr>
        <w:t xml:space="preserve"> for an understanding of the specific market characteristics and dynamics, the substitutability between different technologies as well as the level of the competition in the market.</w:t>
      </w:r>
    </w:p>
    <w:p w14:paraId="6DACA6D0" w14:textId="77777777"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In Georgia, the operators’ advertised and contracted fixed broadband access download speeds can be placed in the following four ranges:</w:t>
      </w:r>
    </w:p>
    <w:p w14:paraId="13886BE8" w14:textId="6AAA1250" w:rsidR="000E5E4F" w:rsidRPr="00BC1ABD" w:rsidRDefault="000E5E4F" w:rsidP="000E5E4F">
      <w:pPr>
        <w:numPr>
          <w:ilvl w:val="0"/>
          <w:numId w:val="65"/>
        </w:numPr>
        <w:contextualSpacing/>
        <w:jc w:val="both"/>
        <w:rPr>
          <w:rFonts w:eastAsia="Times New Roman" w:cs="Arial"/>
          <w:sz w:val="24"/>
          <w:szCs w:val="24"/>
          <w:lang w:val="en-GB"/>
        </w:rPr>
      </w:pPr>
      <w:r w:rsidRPr="00BC1ABD">
        <w:rPr>
          <w:rFonts w:eastAsia="Times New Roman" w:cs="Arial"/>
          <w:sz w:val="24"/>
          <w:szCs w:val="24"/>
          <w:lang w:val="en-GB"/>
        </w:rPr>
        <w:t>Download speed &lt; 10</w:t>
      </w:r>
      <w:r w:rsidR="00F54BCD">
        <w:rPr>
          <w:rFonts w:eastAsia="Times New Roman" w:cs="Arial"/>
          <w:sz w:val="24"/>
          <w:szCs w:val="24"/>
          <w:lang w:val="en-GB"/>
        </w:rPr>
        <w:t xml:space="preserve"> </w:t>
      </w:r>
      <w:r w:rsidRPr="00BC1ABD">
        <w:rPr>
          <w:rFonts w:eastAsia="Times New Roman" w:cs="Arial"/>
          <w:sz w:val="24"/>
          <w:szCs w:val="24"/>
          <w:lang w:val="en-GB"/>
        </w:rPr>
        <w:t>Mbps</w:t>
      </w:r>
      <w:r w:rsidR="008E7A0B">
        <w:rPr>
          <w:rFonts w:eastAsia="Times New Roman" w:cs="Arial"/>
          <w:sz w:val="24"/>
          <w:szCs w:val="24"/>
          <w:lang w:val="en-GB"/>
        </w:rPr>
        <w:t>;</w:t>
      </w:r>
    </w:p>
    <w:p w14:paraId="73A05DF3" w14:textId="6385A4A7" w:rsidR="000E5E4F" w:rsidRPr="00BC1ABD" w:rsidRDefault="000E5E4F" w:rsidP="000E5E4F">
      <w:pPr>
        <w:numPr>
          <w:ilvl w:val="0"/>
          <w:numId w:val="65"/>
        </w:numPr>
        <w:contextualSpacing/>
        <w:jc w:val="both"/>
        <w:rPr>
          <w:rFonts w:eastAsia="Times New Roman" w:cs="Arial"/>
          <w:sz w:val="24"/>
          <w:szCs w:val="24"/>
          <w:lang w:val="en-GB"/>
        </w:rPr>
      </w:pPr>
      <w:r w:rsidRPr="00BC1ABD">
        <w:rPr>
          <w:rFonts w:eastAsia="Times New Roman" w:cs="Arial"/>
          <w:sz w:val="24"/>
          <w:szCs w:val="24"/>
          <w:lang w:val="en-GB"/>
        </w:rPr>
        <w:t>10</w:t>
      </w:r>
      <w:r w:rsidR="00F54BCD">
        <w:rPr>
          <w:rFonts w:eastAsia="Times New Roman" w:cs="Arial"/>
          <w:sz w:val="24"/>
          <w:szCs w:val="24"/>
          <w:lang w:val="en-GB"/>
        </w:rPr>
        <w:t xml:space="preserve"> </w:t>
      </w:r>
      <w:r w:rsidRPr="00BC1ABD">
        <w:rPr>
          <w:rFonts w:eastAsia="Times New Roman" w:cs="Arial"/>
          <w:sz w:val="24"/>
          <w:szCs w:val="24"/>
          <w:lang w:val="en-GB"/>
        </w:rPr>
        <w:t>Mbps ≤ download speed &lt; 30</w:t>
      </w:r>
      <w:r w:rsidR="00F54BCD">
        <w:rPr>
          <w:rFonts w:eastAsia="Times New Roman" w:cs="Arial"/>
          <w:sz w:val="24"/>
          <w:szCs w:val="24"/>
          <w:lang w:val="en-GB"/>
        </w:rPr>
        <w:t xml:space="preserve"> </w:t>
      </w:r>
      <w:r w:rsidRPr="00BC1ABD">
        <w:rPr>
          <w:rFonts w:eastAsia="Times New Roman" w:cs="Arial"/>
          <w:sz w:val="24"/>
          <w:szCs w:val="24"/>
          <w:lang w:val="en-GB"/>
        </w:rPr>
        <w:t>Mbps</w:t>
      </w:r>
      <w:r w:rsidR="008E7A0B">
        <w:rPr>
          <w:rFonts w:eastAsia="Times New Roman" w:cs="Arial"/>
          <w:sz w:val="24"/>
          <w:szCs w:val="24"/>
          <w:lang w:val="en-GB"/>
        </w:rPr>
        <w:t>;</w:t>
      </w:r>
    </w:p>
    <w:p w14:paraId="6A4115BB" w14:textId="43019B6E" w:rsidR="000E5E4F" w:rsidRPr="00BC1ABD" w:rsidRDefault="000E5E4F" w:rsidP="000E5E4F">
      <w:pPr>
        <w:numPr>
          <w:ilvl w:val="0"/>
          <w:numId w:val="65"/>
        </w:numPr>
        <w:contextualSpacing/>
        <w:jc w:val="both"/>
        <w:rPr>
          <w:rFonts w:eastAsia="Times New Roman" w:cs="Arial"/>
          <w:sz w:val="24"/>
          <w:szCs w:val="24"/>
          <w:lang w:val="en-GB"/>
        </w:rPr>
      </w:pPr>
      <w:r w:rsidRPr="00BC1ABD">
        <w:rPr>
          <w:rFonts w:eastAsia="Times New Roman" w:cs="Arial"/>
          <w:sz w:val="24"/>
          <w:szCs w:val="24"/>
          <w:lang w:val="en-GB"/>
        </w:rPr>
        <w:t>30</w:t>
      </w:r>
      <w:r w:rsidR="00F54BCD">
        <w:rPr>
          <w:rFonts w:eastAsia="Times New Roman" w:cs="Arial"/>
          <w:sz w:val="24"/>
          <w:szCs w:val="24"/>
          <w:lang w:val="en-GB"/>
        </w:rPr>
        <w:t xml:space="preserve"> </w:t>
      </w:r>
      <w:r w:rsidRPr="00BC1ABD">
        <w:rPr>
          <w:rFonts w:eastAsia="Times New Roman" w:cs="Arial"/>
          <w:sz w:val="24"/>
          <w:szCs w:val="24"/>
          <w:lang w:val="en-GB"/>
        </w:rPr>
        <w:t>Mbps ≤ download speed &lt; 100</w:t>
      </w:r>
      <w:r w:rsidR="00F54BCD">
        <w:rPr>
          <w:rFonts w:eastAsia="Times New Roman" w:cs="Arial"/>
          <w:sz w:val="24"/>
          <w:szCs w:val="24"/>
          <w:lang w:val="en-GB"/>
        </w:rPr>
        <w:t xml:space="preserve"> </w:t>
      </w:r>
      <w:r w:rsidRPr="00BC1ABD">
        <w:rPr>
          <w:rFonts w:eastAsia="Times New Roman" w:cs="Arial"/>
          <w:sz w:val="24"/>
          <w:szCs w:val="24"/>
          <w:lang w:val="en-GB"/>
        </w:rPr>
        <w:t>Mbps</w:t>
      </w:r>
      <w:r w:rsidR="008E7A0B">
        <w:rPr>
          <w:rFonts w:eastAsia="Times New Roman" w:cs="Arial"/>
          <w:sz w:val="24"/>
          <w:szCs w:val="24"/>
          <w:lang w:val="en-GB"/>
        </w:rPr>
        <w:t>;</w:t>
      </w:r>
    </w:p>
    <w:p w14:paraId="5DEB9AD9" w14:textId="2FB4AACC" w:rsidR="000E5E4F" w:rsidRDefault="000E5E4F" w:rsidP="000E5E4F">
      <w:pPr>
        <w:numPr>
          <w:ilvl w:val="0"/>
          <w:numId w:val="65"/>
        </w:numPr>
        <w:contextualSpacing/>
        <w:jc w:val="both"/>
        <w:rPr>
          <w:rFonts w:eastAsia="Times New Roman" w:cs="Arial"/>
          <w:sz w:val="24"/>
          <w:szCs w:val="24"/>
          <w:lang w:val="en-GB"/>
        </w:rPr>
      </w:pPr>
      <w:r w:rsidRPr="00BC1ABD">
        <w:rPr>
          <w:rFonts w:eastAsia="Times New Roman" w:cs="Arial"/>
          <w:sz w:val="24"/>
          <w:szCs w:val="24"/>
          <w:lang w:val="en-GB"/>
        </w:rPr>
        <w:t>Download speed ≥ 100</w:t>
      </w:r>
      <w:r w:rsidR="00F54BCD">
        <w:rPr>
          <w:rFonts w:eastAsia="Times New Roman" w:cs="Arial"/>
          <w:sz w:val="24"/>
          <w:szCs w:val="24"/>
          <w:lang w:val="en-GB"/>
        </w:rPr>
        <w:t xml:space="preserve"> </w:t>
      </w:r>
      <w:r w:rsidRPr="00BC1ABD">
        <w:rPr>
          <w:rFonts w:eastAsia="Times New Roman" w:cs="Arial"/>
          <w:sz w:val="24"/>
          <w:szCs w:val="24"/>
          <w:lang w:val="en-GB"/>
        </w:rPr>
        <w:t>Mbps</w:t>
      </w:r>
    </w:p>
    <w:p w14:paraId="32A05099" w14:textId="6A659EA8"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26" w:name="_Toc141200264"/>
      <w:bookmarkStart w:id="127" w:name="_Toc152931375"/>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24</w:t>
      </w:r>
      <w:r w:rsidRPr="00BC1ABD">
        <w:rPr>
          <w:rFonts w:asciiTheme="minorHAnsi" w:eastAsia="Times New Roman" w:hAnsiTheme="minorHAnsi"/>
          <w:i/>
          <w:iCs/>
          <w:color w:val="44546A" w:themeColor="text2"/>
          <w:sz w:val="20"/>
          <w:szCs w:val="20"/>
          <w:lang w:val="en-GB"/>
        </w:rPr>
        <w:fldChar w:fldCharType="end"/>
      </w:r>
      <w:bookmarkStart w:id="128" w:name="_Hlk90574824"/>
      <w:r w:rsidRPr="00BC1ABD">
        <w:rPr>
          <w:rFonts w:asciiTheme="minorHAnsi" w:eastAsia="Times New Roman" w:hAnsiTheme="minorHAnsi" w:cs="Arial"/>
          <w:i/>
          <w:iCs/>
          <w:color w:val="44546A" w:themeColor="text2"/>
          <w:sz w:val="20"/>
          <w:szCs w:val="20"/>
          <w:lang w:val="en-GB"/>
        </w:rPr>
        <w:t xml:space="preserve"> Share of fixed broadband access per each group of speeds (2022)</w:t>
      </w:r>
      <w:bookmarkEnd w:id="126"/>
      <w:bookmarkEnd w:id="127"/>
    </w:p>
    <w:p w14:paraId="4B40C849" w14:textId="0FF490EC" w:rsidR="000E5E4F" w:rsidRPr="00BC1ABD" w:rsidRDefault="000E5E4F" w:rsidP="000E5E4F">
      <w:pPr>
        <w:jc w:val="both"/>
        <w:rPr>
          <w:rFonts w:eastAsia="Times New Roman" w:cs="Arial"/>
          <w:sz w:val="20"/>
          <w:szCs w:val="20"/>
          <w:lang w:val="en-GB"/>
        </w:rPr>
      </w:pPr>
      <w:r w:rsidRPr="00BC1ABD">
        <w:rPr>
          <w:rFonts w:eastAsia="Times New Roman" w:cs="Arial"/>
          <w:noProof/>
          <w:sz w:val="20"/>
          <w:szCs w:val="20"/>
          <w:lang w:val="sl-SI" w:eastAsia="sl-SI"/>
        </w:rPr>
        <w:drawing>
          <wp:inline distT="0" distB="0" distL="0" distR="0" wp14:anchorId="6E551A56" wp14:editId="37108614">
            <wp:extent cx="5760720" cy="1991995"/>
            <wp:effectExtent l="0" t="0" r="0" b="8255"/>
            <wp:docPr id="655493328" name="Slika 10"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93328" name="Slika 10" descr="Slika na kojoj se prikazuje tekst, snimka zaslona, dijagram, Font&#10;&#10;Opis je automatski generira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1991995"/>
                    </a:xfrm>
                    <a:prstGeom prst="rect">
                      <a:avLst/>
                    </a:prstGeom>
                    <a:noFill/>
                    <a:ln>
                      <a:noFill/>
                    </a:ln>
                  </pic:spPr>
                </pic:pic>
              </a:graphicData>
            </a:graphic>
          </wp:inline>
        </w:drawing>
      </w:r>
    </w:p>
    <w:p w14:paraId="0F507609" w14:textId="77777777" w:rsidR="000E5E4F" w:rsidRPr="00BC1ABD" w:rsidRDefault="000E5E4F" w:rsidP="000E5E4F">
      <w:pPr>
        <w:spacing w:before="240"/>
        <w:jc w:val="center"/>
        <w:rPr>
          <w:rFonts w:eastAsia="Times New Roman" w:cs="Arial"/>
          <w:sz w:val="20"/>
          <w:szCs w:val="20"/>
          <w:lang w:val="en-GB"/>
        </w:rPr>
      </w:pPr>
      <w:r w:rsidRPr="00BC1ABD">
        <w:rPr>
          <w:rFonts w:eastAsia="Times New Roman" w:cs="Arial"/>
          <w:sz w:val="20"/>
          <w:szCs w:val="20"/>
          <w:lang w:val="en-GB"/>
        </w:rPr>
        <w:t>Source: ComCom</w:t>
      </w:r>
    </w:p>
    <w:p w14:paraId="2D2385C2" w14:textId="341DC19C" w:rsidR="008E7A0B"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The prevailing speed range is 30 Mbps - 100Mbps (accounting for 59% of all fixed broadband connections) followed by the range 10 Mbps - 30 Mbps (32% of total connections). Download speeds below 10 Mbps have just 8% of total connections and speeds higher than 100</w:t>
      </w:r>
      <w:r w:rsidR="008E7A0B">
        <w:rPr>
          <w:rFonts w:eastAsia="Times New Roman" w:cs="Arial"/>
          <w:sz w:val="24"/>
          <w:szCs w:val="24"/>
          <w:lang w:val="en-GB"/>
        </w:rPr>
        <w:t xml:space="preserve"> </w:t>
      </w:r>
      <w:r w:rsidRPr="00BC1ABD">
        <w:rPr>
          <w:rFonts w:eastAsia="Times New Roman" w:cs="Arial"/>
          <w:sz w:val="24"/>
          <w:szCs w:val="24"/>
          <w:lang w:val="en-GB"/>
        </w:rPr>
        <w:t>Mbps have just 1% of total connections.</w:t>
      </w:r>
    </w:p>
    <w:p w14:paraId="7A8A87BF" w14:textId="24828A4D"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29" w:name="_Toc141200265"/>
      <w:bookmarkStart w:id="130" w:name="_Toc152931376"/>
      <w:bookmarkEnd w:id="128"/>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25</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Share of fixed broadband access per each group of speeds, per year (trend)</w:t>
      </w:r>
      <w:bookmarkEnd w:id="129"/>
      <w:bookmarkEnd w:id="130"/>
    </w:p>
    <w:p w14:paraId="2F86B155" w14:textId="617314E8" w:rsidR="000E5E4F" w:rsidRPr="00BC1ABD" w:rsidRDefault="000E5E4F" w:rsidP="000E5E4F">
      <w:pPr>
        <w:jc w:val="center"/>
        <w:rPr>
          <w:rFonts w:eastAsia="Times New Roman" w:cs="Arial"/>
          <w:sz w:val="20"/>
          <w:szCs w:val="20"/>
          <w:lang w:val="en-GB"/>
        </w:rPr>
      </w:pPr>
      <w:r w:rsidRPr="00BC1ABD">
        <w:rPr>
          <w:rFonts w:eastAsia="Times New Roman" w:cs="Arial"/>
          <w:noProof/>
          <w:sz w:val="20"/>
          <w:szCs w:val="20"/>
          <w:lang w:val="sl-SI" w:eastAsia="sl-SI"/>
        </w:rPr>
        <w:drawing>
          <wp:inline distT="0" distB="0" distL="0" distR="0" wp14:anchorId="51E04496" wp14:editId="18CBE73F">
            <wp:extent cx="5743575" cy="2343150"/>
            <wp:effectExtent l="0" t="0" r="9525" b="0"/>
            <wp:docPr id="415408783" name="Slika 9" descr="Slika na kojoj se prikazuje tekst, snimka zaslona, dijagram,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08783" name="Slika 9" descr="Slika na kojoj se prikazuje tekst, snimka zaslona, dijagram, dizajn&#10;&#10;Opis je automatski generir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3575" cy="2343150"/>
                    </a:xfrm>
                    <a:prstGeom prst="rect">
                      <a:avLst/>
                    </a:prstGeom>
                    <a:noFill/>
                    <a:ln>
                      <a:noFill/>
                    </a:ln>
                  </pic:spPr>
                </pic:pic>
              </a:graphicData>
            </a:graphic>
          </wp:inline>
        </w:drawing>
      </w:r>
    </w:p>
    <w:p w14:paraId="5D4DE8F6" w14:textId="77777777" w:rsidR="000E5E4F" w:rsidRPr="00BC1ABD" w:rsidRDefault="000E5E4F" w:rsidP="000E5E4F">
      <w:pPr>
        <w:spacing w:before="240"/>
        <w:jc w:val="center"/>
        <w:rPr>
          <w:rFonts w:eastAsia="Times New Roman" w:cs="Arial"/>
          <w:sz w:val="20"/>
          <w:szCs w:val="20"/>
          <w:lang w:val="en-GB"/>
        </w:rPr>
      </w:pPr>
      <w:r w:rsidRPr="00BC1ABD">
        <w:rPr>
          <w:rFonts w:eastAsia="Times New Roman" w:cs="Arial"/>
          <w:sz w:val="20"/>
          <w:szCs w:val="20"/>
          <w:lang w:val="en-GB"/>
        </w:rPr>
        <w:t>Source: ComCom</w:t>
      </w:r>
    </w:p>
    <w:p w14:paraId="10EF1277" w14:textId="2993E9E1"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It is clear from Figure </w:t>
      </w:r>
      <w:r w:rsidR="00454043">
        <w:rPr>
          <w:rFonts w:eastAsia="Times New Roman" w:cs="Arial"/>
          <w:sz w:val="24"/>
          <w:szCs w:val="24"/>
          <w:lang w:val="en-GB"/>
        </w:rPr>
        <w:t>25</w:t>
      </w:r>
      <w:r w:rsidRPr="00BC1ABD">
        <w:rPr>
          <w:rFonts w:eastAsia="Times New Roman" w:cs="Arial"/>
          <w:sz w:val="24"/>
          <w:szCs w:val="24"/>
          <w:lang w:val="en-GB"/>
        </w:rPr>
        <w:t xml:space="preserve"> that there is a trend towards the speed range of 30 Mbps - 100 Mbps at the expense of the lower speed ranges. The highest increase in this speed range happened in 2022. Given the very high usage of </w:t>
      </w:r>
      <w:r w:rsidR="00592449">
        <w:rPr>
          <w:rFonts w:eastAsia="Times New Roman" w:cs="Arial"/>
          <w:sz w:val="24"/>
          <w:szCs w:val="24"/>
          <w:lang w:val="en-GB"/>
        </w:rPr>
        <w:t>FTTx</w:t>
      </w:r>
      <w:r w:rsidRPr="00BC1ABD">
        <w:rPr>
          <w:rFonts w:eastAsia="Times New Roman" w:cs="Arial"/>
          <w:sz w:val="24"/>
          <w:szCs w:val="24"/>
          <w:lang w:val="en-GB"/>
        </w:rPr>
        <w:t xml:space="preserve"> for fixed broadband access in Georgia, it should be expected that the higher speed ranges should be most used, however, the highest speeds of over 100</w:t>
      </w:r>
      <w:r w:rsidR="008E7A0B">
        <w:rPr>
          <w:rFonts w:eastAsia="Times New Roman" w:cs="Arial"/>
          <w:sz w:val="24"/>
          <w:szCs w:val="24"/>
          <w:lang w:val="en-GB"/>
        </w:rPr>
        <w:t xml:space="preserve"> </w:t>
      </w:r>
      <w:r w:rsidRPr="00BC1ABD">
        <w:rPr>
          <w:rFonts w:eastAsia="Times New Roman" w:cs="Arial"/>
          <w:sz w:val="24"/>
          <w:szCs w:val="24"/>
          <w:lang w:val="en-GB"/>
        </w:rPr>
        <w:t>Mbps are not currently growing above 1% of the total fixed broadband access market. This could be because there is a significant price jump for users to upgrade to the highest speed range. Taking a forward-looking view and given the continuing increases in data traffic in Georgia it is expected that the trend will continue to be towards speeds higher than 30 Mbps. The use of speeds above 100</w:t>
      </w:r>
      <w:r w:rsidR="00F54BCD">
        <w:rPr>
          <w:rFonts w:eastAsia="Times New Roman" w:cs="Arial"/>
          <w:sz w:val="24"/>
          <w:szCs w:val="24"/>
          <w:lang w:val="en-GB"/>
        </w:rPr>
        <w:t xml:space="preserve"> </w:t>
      </w:r>
      <w:r w:rsidRPr="00BC1ABD">
        <w:rPr>
          <w:rFonts w:eastAsia="Times New Roman" w:cs="Arial"/>
          <w:sz w:val="24"/>
          <w:szCs w:val="24"/>
          <w:lang w:val="en-GB"/>
        </w:rPr>
        <w:t>Mbps can also be expected to grow.</w:t>
      </w:r>
    </w:p>
    <w:p w14:paraId="3EA424B0" w14:textId="0F792E75"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It is important to put the demand for different fixed broadband access speeds, within the context of how fixed broadband access is provided to end</w:t>
      </w:r>
      <w:r w:rsidR="008E7A0B">
        <w:rPr>
          <w:rFonts w:eastAsia="Times New Roman" w:cs="Arial"/>
          <w:sz w:val="24"/>
          <w:szCs w:val="24"/>
          <w:lang w:val="en-GB"/>
        </w:rPr>
        <w:t>-</w:t>
      </w:r>
      <w:r w:rsidRPr="00BC1ABD">
        <w:rPr>
          <w:rFonts w:eastAsia="Times New Roman" w:cs="Arial"/>
          <w:sz w:val="24"/>
          <w:szCs w:val="24"/>
          <w:lang w:val="en-GB"/>
        </w:rPr>
        <w:t xml:space="preserve">users in terms of access technologies. Figure </w:t>
      </w:r>
      <w:r w:rsidR="003F3D27">
        <w:rPr>
          <w:rFonts w:eastAsia="Times New Roman" w:cs="Arial"/>
          <w:sz w:val="24"/>
          <w:szCs w:val="24"/>
          <w:lang w:val="en-GB"/>
        </w:rPr>
        <w:t>26</w:t>
      </w:r>
      <w:r w:rsidRPr="00BC1ABD">
        <w:rPr>
          <w:rFonts w:eastAsia="Times New Roman" w:cs="Arial"/>
          <w:sz w:val="24"/>
          <w:szCs w:val="24"/>
          <w:lang w:val="en-GB"/>
        </w:rPr>
        <w:t xml:space="preserve"> shows the current mix of access technologies for each group of access speeds. This shows that all the speeds starting from 10 Mbps and above are mainly offered by </w:t>
      </w:r>
      <w:r w:rsidR="00592449">
        <w:rPr>
          <w:rFonts w:eastAsia="Times New Roman" w:cs="Arial"/>
          <w:sz w:val="24"/>
          <w:szCs w:val="24"/>
          <w:lang w:val="en-GB"/>
        </w:rPr>
        <w:t>FTTx</w:t>
      </w:r>
      <w:r w:rsidRPr="00BC1ABD">
        <w:rPr>
          <w:rFonts w:eastAsia="Times New Roman" w:cs="Arial"/>
          <w:sz w:val="24"/>
          <w:szCs w:val="24"/>
          <w:lang w:val="en-GB"/>
        </w:rPr>
        <w:t xml:space="preserve"> technology, which is in line with the advantages of that technology in terms of its technical characteristics.</w:t>
      </w:r>
    </w:p>
    <w:p w14:paraId="3A205C63" w14:textId="36F7E684" w:rsidR="000E5E4F" w:rsidRDefault="000E5E4F" w:rsidP="000E5E4F">
      <w:pPr>
        <w:jc w:val="both"/>
        <w:rPr>
          <w:rFonts w:eastAsia="Times New Roman" w:cs="Arial"/>
          <w:sz w:val="24"/>
          <w:szCs w:val="24"/>
          <w:lang w:val="en-GB"/>
        </w:rPr>
      </w:pPr>
      <w:r w:rsidRPr="00BC1ABD">
        <w:rPr>
          <w:rFonts w:eastAsia="Times New Roman" w:cs="Arial"/>
          <w:sz w:val="24"/>
          <w:szCs w:val="24"/>
          <w:lang w:val="en-GB"/>
        </w:rPr>
        <w:t xml:space="preserve">The share of fixed broadband access per each group of speeds (Figure </w:t>
      </w:r>
      <w:r w:rsidR="003F3D27">
        <w:rPr>
          <w:rFonts w:eastAsia="Times New Roman" w:cs="Arial"/>
          <w:sz w:val="24"/>
          <w:szCs w:val="24"/>
          <w:lang w:val="en-GB"/>
        </w:rPr>
        <w:t>25</w:t>
      </w:r>
      <w:r w:rsidRPr="00BC1ABD">
        <w:rPr>
          <w:rFonts w:eastAsia="Times New Roman" w:cs="Arial"/>
          <w:sz w:val="24"/>
          <w:szCs w:val="24"/>
          <w:lang w:val="en-GB"/>
        </w:rPr>
        <w:t xml:space="preserve">) and technology indicators (Figures </w:t>
      </w:r>
      <w:r w:rsidR="003F3D27">
        <w:rPr>
          <w:rFonts w:eastAsia="Times New Roman" w:cs="Arial"/>
          <w:sz w:val="24"/>
          <w:szCs w:val="24"/>
          <w:lang w:val="en-GB"/>
        </w:rPr>
        <w:t>26</w:t>
      </w:r>
      <w:r w:rsidRPr="00BC1ABD">
        <w:rPr>
          <w:rFonts w:eastAsia="Times New Roman" w:cs="Arial"/>
          <w:sz w:val="24"/>
          <w:szCs w:val="24"/>
          <w:lang w:val="en-GB"/>
        </w:rPr>
        <w:t xml:space="preserve">) are fully consistent with the relative technical characteristics of each technology. The market characteristics towards higher fixed broadband speeds are fully consistent with the network deployment of </w:t>
      </w:r>
      <w:r w:rsidR="00592449">
        <w:rPr>
          <w:rFonts w:eastAsia="Times New Roman" w:cs="Arial"/>
          <w:sz w:val="24"/>
          <w:szCs w:val="24"/>
          <w:lang w:val="en-GB"/>
        </w:rPr>
        <w:t>FTTx</w:t>
      </w:r>
      <w:r w:rsidRPr="00BC1ABD">
        <w:rPr>
          <w:rFonts w:eastAsia="Times New Roman" w:cs="Arial"/>
          <w:sz w:val="24"/>
          <w:szCs w:val="24"/>
          <w:lang w:val="en-GB"/>
        </w:rPr>
        <w:t xml:space="preserve"> as the main competitive technology in Georgia (see Chapters </w:t>
      </w:r>
      <w:r w:rsidR="008C33EE">
        <w:rPr>
          <w:rFonts w:eastAsia="Times New Roman" w:cs="Arial"/>
          <w:sz w:val="24"/>
          <w:szCs w:val="24"/>
          <w:lang w:val="en-GB"/>
        </w:rPr>
        <w:t>3</w:t>
      </w:r>
      <w:r w:rsidRPr="00BC1ABD">
        <w:rPr>
          <w:rFonts w:eastAsia="Times New Roman" w:cs="Arial"/>
          <w:sz w:val="24"/>
          <w:szCs w:val="24"/>
          <w:lang w:val="en-GB"/>
        </w:rPr>
        <w:t>.2.3 to</w:t>
      </w:r>
      <w:r w:rsidR="008C33EE">
        <w:rPr>
          <w:rFonts w:eastAsia="Times New Roman" w:cs="Arial"/>
          <w:sz w:val="24"/>
          <w:szCs w:val="24"/>
          <w:lang w:val="en-GB"/>
        </w:rPr>
        <w:t xml:space="preserve"> 3</w:t>
      </w:r>
      <w:r w:rsidRPr="00BC1ABD">
        <w:rPr>
          <w:rFonts w:eastAsia="Times New Roman" w:cs="Arial"/>
          <w:sz w:val="24"/>
          <w:szCs w:val="24"/>
          <w:lang w:val="en-GB"/>
        </w:rPr>
        <w:t>.2.5).</w:t>
      </w:r>
    </w:p>
    <w:p w14:paraId="6C167D84"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bookmarkStart w:id="131" w:name="_Toc141200266"/>
    </w:p>
    <w:p w14:paraId="687AB490" w14:textId="77777777" w:rsidR="00723DBC" w:rsidRDefault="00723DBC" w:rsidP="000E5E4F">
      <w:pPr>
        <w:spacing w:line="240" w:lineRule="auto"/>
        <w:jc w:val="center"/>
        <w:rPr>
          <w:rFonts w:asciiTheme="minorHAnsi" w:eastAsia="Times New Roman" w:hAnsiTheme="minorHAnsi"/>
          <w:i/>
          <w:iCs/>
          <w:color w:val="44546A" w:themeColor="text2"/>
          <w:sz w:val="20"/>
          <w:szCs w:val="20"/>
          <w:lang w:val="en-GB"/>
        </w:rPr>
      </w:pPr>
    </w:p>
    <w:p w14:paraId="068523C0" w14:textId="55603FC1" w:rsidR="000E5E4F" w:rsidRPr="003B52FC"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32" w:name="_Toc15293137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26</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Share of fixed broadband access technology per each group of speeds (trend)</w:t>
      </w:r>
      <w:bookmarkEnd w:id="131"/>
      <w:bookmarkEnd w:id="132"/>
    </w:p>
    <w:p w14:paraId="3CB931CD" w14:textId="144BD985" w:rsidR="000E5E4F" w:rsidRPr="00BC1ABD" w:rsidRDefault="000E5E4F" w:rsidP="000E5E4F">
      <w:pPr>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23B40556" wp14:editId="5A0F3407">
            <wp:extent cx="5619750" cy="1781175"/>
            <wp:effectExtent l="0" t="0" r="0" b="9525"/>
            <wp:docPr id="1285183567" name="Slika 8" descr="Slika na kojoj se prikazuje tekst, snimka zaslona, dijagram, c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83567" name="Slika 8" descr="Slika na kojoj se prikazuje tekst, snimka zaslona, dijagram, crta&#10;&#10;Opis je automatski generir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9750" cy="1781175"/>
                    </a:xfrm>
                    <a:prstGeom prst="rect">
                      <a:avLst/>
                    </a:prstGeom>
                    <a:noFill/>
                    <a:ln>
                      <a:noFill/>
                    </a:ln>
                  </pic:spPr>
                </pic:pic>
              </a:graphicData>
            </a:graphic>
          </wp:inline>
        </w:drawing>
      </w:r>
    </w:p>
    <w:p w14:paraId="27B85007" w14:textId="77777777" w:rsidR="000E5E4F" w:rsidRPr="00BC1ABD" w:rsidRDefault="000E5E4F" w:rsidP="000E5E4F">
      <w:pPr>
        <w:spacing w:before="240"/>
        <w:jc w:val="center"/>
        <w:rPr>
          <w:rFonts w:eastAsia="Times New Roman" w:cs="Arial"/>
          <w:sz w:val="20"/>
          <w:szCs w:val="20"/>
          <w:lang w:val="en-GB"/>
        </w:rPr>
      </w:pPr>
      <w:r w:rsidRPr="00BC1ABD">
        <w:rPr>
          <w:rFonts w:eastAsia="Times New Roman" w:cs="Arial"/>
          <w:sz w:val="20"/>
          <w:szCs w:val="20"/>
          <w:lang w:val="en-GB"/>
        </w:rPr>
        <w:t>Source: ComCom</w:t>
      </w:r>
    </w:p>
    <w:p w14:paraId="64E2EC1D" w14:textId="5F532FA4" w:rsidR="000E5E4F" w:rsidRPr="00BC1ABD" w:rsidRDefault="000E5E4F" w:rsidP="000E5E4F">
      <w:pPr>
        <w:jc w:val="both"/>
        <w:rPr>
          <w:rFonts w:eastAsia="Times New Roman" w:cs="Arial"/>
          <w:sz w:val="24"/>
          <w:szCs w:val="24"/>
          <w:lang w:val="en-GB"/>
        </w:rPr>
      </w:pPr>
      <w:r w:rsidRPr="00BC1ABD">
        <w:rPr>
          <w:rFonts w:eastAsia="Times New Roman" w:cs="Arial"/>
          <w:sz w:val="24"/>
          <w:szCs w:val="24"/>
          <w:lang w:val="en-GB"/>
        </w:rPr>
        <w:t>The use of xDSL and FWA technologies are significant only for user speeds up to 10 Mbps. Only a minority of fixed broadband access subscriptions use those technologies for speeds above 10</w:t>
      </w:r>
      <w:r w:rsidR="008E7A0B">
        <w:rPr>
          <w:rFonts w:eastAsia="Times New Roman" w:cs="Arial"/>
          <w:sz w:val="24"/>
          <w:szCs w:val="24"/>
          <w:lang w:val="en-GB"/>
        </w:rPr>
        <w:t xml:space="preserve"> </w:t>
      </w:r>
      <w:r w:rsidRPr="00BC1ABD">
        <w:rPr>
          <w:rFonts w:eastAsia="Times New Roman" w:cs="Arial"/>
          <w:sz w:val="24"/>
          <w:szCs w:val="24"/>
          <w:lang w:val="en-GB"/>
        </w:rPr>
        <w:t>Mbps and there are very few users with FWA and none with xDSL above 30</w:t>
      </w:r>
      <w:r w:rsidR="008E7A0B">
        <w:rPr>
          <w:rFonts w:eastAsia="Times New Roman" w:cs="Arial"/>
          <w:sz w:val="24"/>
          <w:szCs w:val="24"/>
          <w:lang w:val="en-GB"/>
        </w:rPr>
        <w:t xml:space="preserve"> </w:t>
      </w:r>
      <w:r w:rsidRPr="00BC1ABD">
        <w:rPr>
          <w:rFonts w:eastAsia="Times New Roman" w:cs="Arial"/>
          <w:sz w:val="24"/>
          <w:szCs w:val="24"/>
          <w:lang w:val="en-GB"/>
        </w:rPr>
        <w:t xml:space="preserve">Mbps. This pattern again corresponds to the technical characteristics of the different fixed broadband access technologies and with the significant </w:t>
      </w:r>
      <w:r w:rsidR="00592449">
        <w:rPr>
          <w:rFonts w:eastAsia="Times New Roman" w:cs="Arial"/>
          <w:sz w:val="24"/>
          <w:szCs w:val="24"/>
          <w:lang w:val="en-GB"/>
        </w:rPr>
        <w:t>FTTx</w:t>
      </w:r>
      <w:r w:rsidRPr="00BC1ABD">
        <w:rPr>
          <w:rFonts w:eastAsia="Times New Roman" w:cs="Arial"/>
          <w:sz w:val="24"/>
          <w:szCs w:val="24"/>
          <w:lang w:val="en-GB"/>
        </w:rPr>
        <w:t xml:space="preserve"> network deployment in Georgia.</w:t>
      </w:r>
    </w:p>
    <w:p w14:paraId="4F975281" w14:textId="1526961F" w:rsidR="003B52FC" w:rsidRDefault="000E5E4F" w:rsidP="000E5E4F">
      <w:pPr>
        <w:jc w:val="both"/>
        <w:rPr>
          <w:rFonts w:eastAsia="Times New Roman" w:cs="Arial"/>
          <w:sz w:val="24"/>
          <w:szCs w:val="24"/>
          <w:lang w:val="en-GB"/>
        </w:rPr>
      </w:pPr>
      <w:r w:rsidRPr="00BC1ABD">
        <w:rPr>
          <w:rFonts w:eastAsia="Times New Roman" w:cs="Arial"/>
          <w:sz w:val="24"/>
          <w:szCs w:val="24"/>
          <w:lang w:val="en-GB"/>
        </w:rPr>
        <w:t>In comparing Georgian take-up rates with EU countries for speeds of 100</w:t>
      </w:r>
      <w:r w:rsidR="008E7A0B">
        <w:rPr>
          <w:rFonts w:eastAsia="Times New Roman" w:cs="Arial"/>
          <w:sz w:val="24"/>
          <w:szCs w:val="24"/>
          <w:lang w:val="en-GB"/>
        </w:rPr>
        <w:t xml:space="preserve"> </w:t>
      </w:r>
      <w:r w:rsidRPr="00BC1ABD">
        <w:rPr>
          <w:rFonts w:eastAsia="Times New Roman" w:cs="Arial"/>
          <w:sz w:val="24"/>
          <w:szCs w:val="24"/>
          <w:lang w:val="en-GB"/>
        </w:rPr>
        <w:t xml:space="preserve">Mbps or higher, it can be seen from Figure </w:t>
      </w:r>
      <w:r w:rsidR="008E108D">
        <w:rPr>
          <w:rFonts w:eastAsia="Times New Roman" w:cs="Arial"/>
          <w:sz w:val="24"/>
          <w:szCs w:val="24"/>
          <w:lang w:val="en-GB"/>
        </w:rPr>
        <w:t>27</w:t>
      </w:r>
      <w:r w:rsidRPr="00BC1ABD">
        <w:rPr>
          <w:rFonts w:eastAsia="Times New Roman" w:cs="Arial"/>
          <w:sz w:val="24"/>
          <w:szCs w:val="24"/>
          <w:lang w:val="en-GB"/>
        </w:rPr>
        <w:t xml:space="preserve"> that in average in EU around </w:t>
      </w:r>
      <w:r w:rsidR="00D738A8">
        <w:rPr>
          <w:rFonts w:eastAsia="Times New Roman" w:cs="Arial"/>
          <w:sz w:val="24"/>
          <w:szCs w:val="24"/>
          <w:lang w:val="en-GB"/>
        </w:rPr>
        <w:t>5</w:t>
      </w:r>
      <w:r w:rsidRPr="00BC1ABD">
        <w:rPr>
          <w:rFonts w:eastAsia="Times New Roman" w:cs="Arial"/>
          <w:sz w:val="24"/>
          <w:szCs w:val="24"/>
          <w:lang w:val="en-GB"/>
        </w:rPr>
        <w:t>5% of households have fixed broadband access subscriptions of at least 100</w:t>
      </w:r>
      <w:r w:rsidR="008E7A0B">
        <w:rPr>
          <w:rFonts w:eastAsia="Times New Roman" w:cs="Arial"/>
          <w:sz w:val="24"/>
          <w:szCs w:val="24"/>
          <w:lang w:val="en-GB"/>
        </w:rPr>
        <w:t xml:space="preserve"> </w:t>
      </w:r>
      <w:r w:rsidRPr="00BC1ABD">
        <w:rPr>
          <w:rFonts w:eastAsia="Times New Roman" w:cs="Arial"/>
          <w:sz w:val="24"/>
          <w:szCs w:val="24"/>
          <w:lang w:val="en-GB"/>
        </w:rPr>
        <w:t xml:space="preserve">Mbps. In </w:t>
      </w:r>
      <w:r w:rsidR="00D738A8">
        <w:rPr>
          <w:rFonts w:eastAsia="Times New Roman" w:cs="Arial"/>
          <w:sz w:val="24"/>
          <w:szCs w:val="24"/>
          <w:lang w:val="en-GB"/>
        </w:rPr>
        <w:t>eleven</w:t>
      </w:r>
      <w:r w:rsidR="00D738A8" w:rsidRPr="00BC1ABD">
        <w:rPr>
          <w:rFonts w:eastAsia="Times New Roman" w:cs="Arial"/>
          <w:sz w:val="24"/>
          <w:szCs w:val="24"/>
          <w:lang w:val="en-GB"/>
        </w:rPr>
        <w:t xml:space="preserve"> </w:t>
      </w:r>
      <w:r w:rsidRPr="00BC1ABD">
        <w:rPr>
          <w:rFonts w:eastAsia="Times New Roman" w:cs="Arial"/>
          <w:sz w:val="24"/>
          <w:szCs w:val="24"/>
          <w:lang w:val="en-GB"/>
        </w:rPr>
        <w:t xml:space="preserve">countries over </w:t>
      </w:r>
      <w:r w:rsidR="00D738A8">
        <w:rPr>
          <w:rFonts w:eastAsia="Times New Roman" w:cs="Arial"/>
          <w:sz w:val="24"/>
          <w:szCs w:val="24"/>
          <w:lang w:val="en-GB"/>
        </w:rPr>
        <w:t>6</w:t>
      </w:r>
      <w:r w:rsidRPr="00BC1ABD">
        <w:rPr>
          <w:rFonts w:eastAsia="Times New Roman" w:cs="Arial"/>
          <w:sz w:val="24"/>
          <w:szCs w:val="24"/>
          <w:lang w:val="en-GB"/>
        </w:rPr>
        <w:t>0% of households use at least 100</w:t>
      </w:r>
      <w:r w:rsidR="008E7A0B">
        <w:rPr>
          <w:rFonts w:eastAsia="Times New Roman" w:cs="Arial"/>
          <w:sz w:val="24"/>
          <w:szCs w:val="24"/>
          <w:lang w:val="en-GB"/>
        </w:rPr>
        <w:t xml:space="preserve"> </w:t>
      </w:r>
      <w:r w:rsidRPr="00BC1ABD">
        <w:rPr>
          <w:rFonts w:eastAsia="Times New Roman" w:cs="Arial"/>
          <w:sz w:val="24"/>
          <w:szCs w:val="24"/>
          <w:lang w:val="en-GB"/>
        </w:rPr>
        <w:t>Mbps</w:t>
      </w:r>
      <w:r w:rsidR="00D738A8">
        <w:rPr>
          <w:rFonts w:eastAsia="Times New Roman" w:cs="Arial"/>
          <w:sz w:val="24"/>
          <w:szCs w:val="24"/>
          <w:lang w:val="en-GB"/>
        </w:rPr>
        <w:t>, while in three countries over 80% of households use at least 100 Mbps</w:t>
      </w:r>
      <w:r w:rsidRPr="00BC1ABD">
        <w:rPr>
          <w:rFonts w:eastAsia="Times New Roman" w:cs="Arial"/>
          <w:sz w:val="24"/>
          <w:szCs w:val="24"/>
          <w:lang w:val="en-GB"/>
        </w:rPr>
        <w:t>. In Georgia, only 1% of users have subscriptions of 100</w:t>
      </w:r>
      <w:r w:rsidR="008E7A0B">
        <w:rPr>
          <w:rFonts w:eastAsia="Times New Roman" w:cs="Arial"/>
          <w:sz w:val="24"/>
          <w:szCs w:val="24"/>
          <w:lang w:val="en-GB"/>
        </w:rPr>
        <w:t xml:space="preserve"> </w:t>
      </w:r>
      <w:r w:rsidRPr="00BC1ABD">
        <w:rPr>
          <w:rFonts w:eastAsia="Times New Roman" w:cs="Arial"/>
          <w:sz w:val="24"/>
          <w:szCs w:val="24"/>
          <w:lang w:val="en-GB"/>
        </w:rPr>
        <w:t>Mbps or above</w:t>
      </w:r>
      <w:r w:rsidRPr="004338AC">
        <w:rPr>
          <w:rFonts w:eastAsia="Times New Roman" w:cs="Arial"/>
          <w:sz w:val="24"/>
          <w:szCs w:val="24"/>
          <w:lang w:val="en-GB"/>
        </w:rPr>
        <w:t xml:space="preserve">. </w:t>
      </w:r>
    </w:p>
    <w:p w14:paraId="6FEDA127" w14:textId="092D78B1" w:rsidR="000E5E4F" w:rsidRPr="00BC1ABD" w:rsidRDefault="000E5E4F" w:rsidP="000E5E4F">
      <w:pPr>
        <w:spacing w:line="240" w:lineRule="auto"/>
        <w:jc w:val="center"/>
        <w:rPr>
          <w:rFonts w:asciiTheme="minorHAnsi" w:eastAsia="Times New Roman" w:hAnsiTheme="minorHAnsi" w:cs="Arial"/>
          <w:i/>
          <w:iCs/>
          <w:color w:val="44546A" w:themeColor="text2"/>
          <w:sz w:val="20"/>
          <w:szCs w:val="20"/>
          <w:lang w:val="en-GB"/>
        </w:rPr>
      </w:pPr>
      <w:bookmarkStart w:id="133" w:name="_Toc152931378"/>
      <w:bookmarkStart w:id="134" w:name="_Toc14120026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27</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Households with a fixed broadband subscription of at least 100 Mbps (% of households), 20</w:t>
      </w:r>
      <w:r w:rsidR="00104FD5">
        <w:rPr>
          <w:rFonts w:asciiTheme="minorHAnsi" w:eastAsia="Times New Roman" w:hAnsiTheme="minorHAnsi" w:cs="Arial"/>
          <w:i/>
          <w:iCs/>
          <w:color w:val="44546A" w:themeColor="text2"/>
          <w:sz w:val="20"/>
          <w:szCs w:val="20"/>
          <w:lang w:val="en-GB"/>
        </w:rPr>
        <w:t>22</w:t>
      </w:r>
      <w:bookmarkEnd w:id="133"/>
      <w:bookmarkEnd w:id="134"/>
    </w:p>
    <w:p w14:paraId="0A4C378D" w14:textId="4C50FA5E" w:rsidR="000E5E4F" w:rsidRPr="00BC1ABD" w:rsidRDefault="008A65D0" w:rsidP="000E5E4F">
      <w:pPr>
        <w:jc w:val="center"/>
        <w:rPr>
          <w:rFonts w:eastAsia="Times New Roman" w:cs="Arial"/>
          <w:lang w:val="en-GB"/>
        </w:rPr>
      </w:pPr>
      <w:r>
        <w:rPr>
          <w:rFonts w:eastAsia="Times New Roman" w:cs="Arial"/>
          <w:noProof/>
          <w:lang w:val="sl-SI" w:eastAsia="sl-SI"/>
        </w:rPr>
        <w:drawing>
          <wp:inline distT="0" distB="0" distL="0" distR="0" wp14:anchorId="4C93B502" wp14:editId="57D97456">
            <wp:extent cx="5986780" cy="3176270"/>
            <wp:effectExtent l="0" t="0" r="0" b="5080"/>
            <wp:docPr id="1499045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86780" cy="3176270"/>
                    </a:xfrm>
                    <a:prstGeom prst="rect">
                      <a:avLst/>
                    </a:prstGeom>
                    <a:noFill/>
                  </pic:spPr>
                </pic:pic>
              </a:graphicData>
            </a:graphic>
          </wp:inline>
        </w:drawing>
      </w:r>
    </w:p>
    <w:p w14:paraId="28FBE2BB" w14:textId="42FB3BEA" w:rsidR="000E5E4F" w:rsidRPr="00BC1ABD" w:rsidRDefault="000E5E4F" w:rsidP="000E5E4F">
      <w:pPr>
        <w:spacing w:before="240"/>
        <w:jc w:val="center"/>
        <w:rPr>
          <w:rFonts w:eastAsia="Times New Roman" w:cs="Arial"/>
          <w:sz w:val="20"/>
          <w:szCs w:val="20"/>
          <w:lang w:val="en-GB"/>
        </w:rPr>
      </w:pPr>
      <w:r w:rsidRPr="00BC1ABD">
        <w:rPr>
          <w:rFonts w:eastAsia="Times New Roman" w:cs="Arial"/>
          <w:sz w:val="20"/>
          <w:szCs w:val="20"/>
          <w:lang w:val="en-GB"/>
        </w:rPr>
        <w:t>Source: DESI 202</w:t>
      </w:r>
      <w:r w:rsidR="00104FD5">
        <w:rPr>
          <w:rFonts w:eastAsia="Times New Roman" w:cs="Arial"/>
          <w:sz w:val="20"/>
          <w:szCs w:val="20"/>
          <w:lang w:val="en-GB"/>
        </w:rPr>
        <w:t>3/ComCom</w:t>
      </w:r>
    </w:p>
    <w:p w14:paraId="46BF0647" w14:textId="77777777" w:rsidR="00926520" w:rsidRPr="00BC1ABD" w:rsidRDefault="00926520" w:rsidP="00926520">
      <w:pPr>
        <w:rPr>
          <w:lang w:val="en-GB"/>
        </w:rPr>
      </w:pPr>
    </w:p>
    <w:p w14:paraId="0E0A2869" w14:textId="36BD0DA6" w:rsidR="0033765A" w:rsidRPr="00BC1ABD" w:rsidRDefault="00B271E6" w:rsidP="00EB11F7">
      <w:pPr>
        <w:pStyle w:val="Heading2"/>
        <w:numPr>
          <w:ilvl w:val="1"/>
          <w:numId w:val="88"/>
        </w:numPr>
        <w:spacing w:after="240"/>
        <w:rPr>
          <w:lang w:val="en-GB"/>
        </w:rPr>
      </w:pPr>
      <w:bookmarkStart w:id="135" w:name="_Toc169258920"/>
      <w:r w:rsidRPr="00BC1ABD">
        <w:rPr>
          <w:lang w:val="en-GB"/>
        </w:rPr>
        <w:t>Service market definition of the retail fixed broadband access market</w:t>
      </w:r>
      <w:bookmarkEnd w:id="135"/>
    </w:p>
    <w:p w14:paraId="0CA7F1BC" w14:textId="71B86317" w:rsidR="009F5BF2" w:rsidRPr="00BC1ABD" w:rsidRDefault="009F5BF2" w:rsidP="009F5BF2">
      <w:pPr>
        <w:jc w:val="both"/>
        <w:rPr>
          <w:rFonts w:eastAsia="Times New Roman" w:cs="Arial"/>
          <w:sz w:val="24"/>
          <w:szCs w:val="24"/>
          <w:lang w:val="en-GB"/>
        </w:rPr>
      </w:pPr>
      <w:bookmarkStart w:id="136" w:name="_Hlk123659328"/>
      <w:r w:rsidRPr="00BC1ABD">
        <w:rPr>
          <w:rFonts w:eastAsia="Times New Roman" w:cs="Arial"/>
          <w:sz w:val="24"/>
          <w:szCs w:val="24"/>
          <w:lang w:val="en-GB"/>
        </w:rPr>
        <w:t xml:space="preserve">Following the analysis made in Chapter </w:t>
      </w:r>
      <w:r w:rsidR="009C4925">
        <w:rPr>
          <w:rFonts w:eastAsia="Times New Roman" w:cs="Arial"/>
          <w:sz w:val="24"/>
          <w:szCs w:val="24"/>
          <w:lang w:val="en-GB"/>
        </w:rPr>
        <w:t>3</w:t>
      </w:r>
      <w:r w:rsidRPr="00BC1ABD">
        <w:rPr>
          <w:rFonts w:eastAsia="Times New Roman" w:cs="Arial"/>
          <w:sz w:val="24"/>
          <w:szCs w:val="24"/>
          <w:lang w:val="en-GB"/>
        </w:rPr>
        <w:t>.2 regarding the fixed broadband access technologies and speed ranges in Georgia, a further consideration is to examine the advertised offers of the main operators in Georgia using their different infrastructures (</w:t>
      </w:r>
      <w:r w:rsidR="00592449">
        <w:rPr>
          <w:rFonts w:eastAsia="Times New Roman" w:cs="Arial"/>
          <w:sz w:val="24"/>
          <w:szCs w:val="24"/>
          <w:lang w:val="en-GB"/>
        </w:rPr>
        <w:t>FTTx</w:t>
      </w:r>
      <w:r w:rsidRPr="00BC1ABD">
        <w:rPr>
          <w:rFonts w:eastAsia="Times New Roman" w:cs="Arial"/>
          <w:sz w:val="24"/>
          <w:szCs w:val="24"/>
          <w:lang w:val="en-GB"/>
        </w:rPr>
        <w:t xml:space="preserve">, FWA and xDSL). The comparison of the offers, prices, speeds and technologies for each operator are shown in Figures </w:t>
      </w:r>
      <w:r w:rsidR="00331CD6">
        <w:rPr>
          <w:rFonts w:eastAsia="Times New Roman" w:cs="Arial"/>
          <w:sz w:val="24"/>
          <w:szCs w:val="24"/>
          <w:lang w:val="en-GB"/>
        </w:rPr>
        <w:t>28</w:t>
      </w:r>
      <w:r w:rsidRPr="00BC1ABD">
        <w:rPr>
          <w:rFonts w:eastAsia="Times New Roman" w:cs="Arial"/>
          <w:sz w:val="24"/>
          <w:szCs w:val="24"/>
          <w:lang w:val="en-GB"/>
        </w:rPr>
        <w:t xml:space="preserve"> and </w:t>
      </w:r>
      <w:r w:rsidR="00331CD6">
        <w:rPr>
          <w:rFonts w:eastAsia="Times New Roman" w:cs="Arial"/>
          <w:sz w:val="24"/>
          <w:szCs w:val="24"/>
          <w:lang w:val="en-GB"/>
        </w:rPr>
        <w:t>29</w:t>
      </w:r>
      <w:r w:rsidRPr="00BC1ABD">
        <w:rPr>
          <w:rFonts w:eastAsia="Times New Roman" w:cs="Arial"/>
          <w:sz w:val="24"/>
          <w:szCs w:val="24"/>
          <w:lang w:val="en-GB"/>
        </w:rPr>
        <w:t>.</w:t>
      </w:r>
    </w:p>
    <w:p w14:paraId="21F1722B"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This analysis considers whether offers and tariffs based on different technologies</w:t>
      </w:r>
      <w:bookmarkStart w:id="137" w:name="_Hlk123659315"/>
      <w:r w:rsidRPr="00BC1ABD">
        <w:rPr>
          <w:rFonts w:eastAsia="Times New Roman" w:cs="Arial"/>
          <w:sz w:val="24"/>
          <w:szCs w:val="24"/>
          <w:lang w:val="en-GB"/>
        </w:rPr>
        <w:t xml:space="preserve"> compete across all speed ranges, or just overlap for some speed ranges, or not overlap at all (which could indicate that they are possibly part of separate markets).</w:t>
      </w:r>
    </w:p>
    <w:p w14:paraId="46B5B04A" w14:textId="07BF56D0" w:rsidR="009F5BF2" w:rsidRPr="00BC1ABD" w:rsidRDefault="009F5BF2" w:rsidP="009F5BF2">
      <w:pPr>
        <w:spacing w:line="240" w:lineRule="auto"/>
        <w:jc w:val="center"/>
        <w:rPr>
          <w:rFonts w:asciiTheme="minorHAnsi" w:eastAsia="Times New Roman" w:hAnsiTheme="minorHAnsi" w:cs="Arial"/>
          <w:i/>
          <w:iCs/>
          <w:color w:val="44546A" w:themeColor="text2"/>
          <w:sz w:val="20"/>
          <w:szCs w:val="20"/>
          <w:lang w:val="en-GB"/>
        </w:rPr>
      </w:pPr>
      <w:bookmarkStart w:id="138" w:name="_Toc141200268"/>
      <w:bookmarkStart w:id="139" w:name="_Toc152931379"/>
      <w:bookmarkEnd w:id="13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28</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Advertised speeds and prices (in GEL) for each technology (Tbilisi)</w:t>
      </w:r>
      <w:bookmarkEnd w:id="138"/>
      <w:bookmarkEnd w:id="139"/>
    </w:p>
    <w:bookmarkEnd w:id="136"/>
    <w:p w14:paraId="4338EA76" w14:textId="4EA47946" w:rsidR="009F5BF2" w:rsidRPr="00BC1ABD" w:rsidRDefault="009F5BF2" w:rsidP="009F5BF2">
      <w:pPr>
        <w:jc w:val="both"/>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62580086" wp14:editId="2B289337">
            <wp:extent cx="5724525" cy="1809750"/>
            <wp:effectExtent l="0" t="0" r="9525" b="0"/>
            <wp:docPr id="602801687"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525" cy="1809750"/>
                    </a:xfrm>
                    <a:prstGeom prst="rect">
                      <a:avLst/>
                    </a:prstGeom>
                    <a:noFill/>
                    <a:ln>
                      <a:noFill/>
                    </a:ln>
                  </pic:spPr>
                </pic:pic>
              </a:graphicData>
            </a:graphic>
          </wp:inline>
        </w:drawing>
      </w:r>
    </w:p>
    <w:p w14:paraId="622E58EA" w14:textId="702C35CA" w:rsidR="009F5BF2" w:rsidRDefault="009F5BF2" w:rsidP="00723DBC">
      <w:pPr>
        <w:spacing w:before="240"/>
        <w:jc w:val="center"/>
        <w:rPr>
          <w:rFonts w:eastAsia="Times New Roman" w:cs="Arial"/>
          <w:sz w:val="20"/>
          <w:szCs w:val="20"/>
          <w:lang w:val="en-GB"/>
        </w:rPr>
      </w:pPr>
      <w:r w:rsidRPr="00BC1ABD">
        <w:rPr>
          <w:rFonts w:eastAsia="Times New Roman" w:cs="Arial"/>
          <w:sz w:val="20"/>
          <w:szCs w:val="20"/>
          <w:lang w:val="en-GB"/>
        </w:rPr>
        <w:t>Source: Operators’ websites</w:t>
      </w:r>
      <w:r w:rsidR="001019B0">
        <w:rPr>
          <w:rFonts w:eastAsia="Times New Roman" w:cs="Arial"/>
          <w:sz w:val="20"/>
          <w:szCs w:val="20"/>
          <w:lang w:val="en-GB"/>
        </w:rPr>
        <w:t xml:space="preserve"> (Q1 2023)</w:t>
      </w:r>
    </w:p>
    <w:p w14:paraId="6FC640DD" w14:textId="77777777" w:rsidR="003B52FC" w:rsidRPr="00BC1ABD" w:rsidRDefault="003B52FC" w:rsidP="009F5BF2">
      <w:pPr>
        <w:rPr>
          <w:rFonts w:eastAsia="Times New Roman" w:cs="Arial"/>
          <w:sz w:val="20"/>
          <w:szCs w:val="20"/>
          <w:lang w:val="en-GB"/>
        </w:rPr>
      </w:pPr>
    </w:p>
    <w:p w14:paraId="2715E1A6" w14:textId="5DEED24A" w:rsidR="009F5BF2" w:rsidRPr="00BC1ABD" w:rsidRDefault="009F5BF2" w:rsidP="009F5BF2">
      <w:pPr>
        <w:spacing w:line="240" w:lineRule="auto"/>
        <w:jc w:val="center"/>
        <w:rPr>
          <w:rFonts w:asciiTheme="minorHAnsi" w:eastAsia="Times New Roman" w:hAnsiTheme="minorHAnsi" w:cs="Arial"/>
          <w:i/>
          <w:iCs/>
          <w:color w:val="44546A" w:themeColor="text2"/>
          <w:sz w:val="20"/>
          <w:szCs w:val="20"/>
          <w:lang w:val="en-GB"/>
        </w:rPr>
      </w:pPr>
      <w:bookmarkStart w:id="140" w:name="_Toc141200269"/>
      <w:bookmarkStart w:id="141" w:name="_Toc152931380"/>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29</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Advertised speeds and prices (in GEL) for each technology (Regions)</w:t>
      </w:r>
      <w:bookmarkEnd w:id="140"/>
      <w:bookmarkEnd w:id="141"/>
    </w:p>
    <w:p w14:paraId="0D7E7294" w14:textId="1993195F" w:rsidR="009F5BF2" w:rsidRPr="00BC1ABD" w:rsidRDefault="009F5BF2" w:rsidP="009F5BF2">
      <w:pPr>
        <w:jc w:val="both"/>
        <w:rPr>
          <w:rFonts w:eastAsia="Times New Roman" w:cs="Arial"/>
          <w:sz w:val="24"/>
          <w:szCs w:val="24"/>
          <w:lang w:val="en-GB"/>
        </w:rPr>
      </w:pPr>
      <w:r w:rsidRPr="00BC1ABD">
        <w:rPr>
          <w:rFonts w:eastAsia="Times New Roman"/>
          <w:noProof/>
          <w:lang w:val="sl-SI" w:eastAsia="sl-SI"/>
        </w:rPr>
        <w:drawing>
          <wp:inline distT="0" distB="0" distL="0" distR="0" wp14:anchorId="65190A2B" wp14:editId="3D4BA203">
            <wp:extent cx="5724525" cy="1809750"/>
            <wp:effectExtent l="0" t="0" r="9525" b="0"/>
            <wp:docPr id="923836883"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525" cy="1809750"/>
                    </a:xfrm>
                    <a:prstGeom prst="rect">
                      <a:avLst/>
                    </a:prstGeom>
                    <a:noFill/>
                    <a:ln>
                      <a:noFill/>
                    </a:ln>
                  </pic:spPr>
                </pic:pic>
              </a:graphicData>
            </a:graphic>
          </wp:inline>
        </w:drawing>
      </w:r>
    </w:p>
    <w:p w14:paraId="46FE4001" w14:textId="51EA3CAC" w:rsidR="009F5BF2" w:rsidRPr="00BC1ABD" w:rsidRDefault="009F5BF2" w:rsidP="009F5BF2">
      <w:pPr>
        <w:spacing w:before="240"/>
        <w:jc w:val="center"/>
        <w:rPr>
          <w:rFonts w:eastAsia="Times New Roman" w:cs="Arial"/>
          <w:sz w:val="20"/>
          <w:szCs w:val="20"/>
          <w:lang w:val="en-GB"/>
        </w:rPr>
      </w:pPr>
      <w:r w:rsidRPr="00BC1ABD">
        <w:rPr>
          <w:rFonts w:eastAsia="Times New Roman" w:cs="Arial"/>
          <w:sz w:val="20"/>
          <w:szCs w:val="20"/>
          <w:lang w:val="en-GB"/>
        </w:rPr>
        <w:t>Source: Operators’ websites</w:t>
      </w:r>
      <w:r w:rsidR="009F4CA0">
        <w:rPr>
          <w:rFonts w:eastAsia="Times New Roman" w:cs="Arial"/>
          <w:sz w:val="20"/>
          <w:szCs w:val="20"/>
          <w:lang w:val="en-GB"/>
        </w:rPr>
        <w:t xml:space="preserve"> </w:t>
      </w:r>
      <w:r w:rsidR="009F4CA0" w:rsidRPr="009F4CA0">
        <w:rPr>
          <w:rFonts w:eastAsia="Times New Roman" w:cs="Arial"/>
          <w:sz w:val="20"/>
          <w:szCs w:val="20"/>
          <w:lang w:val="en-GB"/>
        </w:rPr>
        <w:t>(Q1 2023)</w:t>
      </w:r>
    </w:p>
    <w:p w14:paraId="22EA2E99" w14:textId="13FE8FD4" w:rsidR="009F5BF2" w:rsidRPr="00BC1ABD" w:rsidRDefault="009F5BF2" w:rsidP="009F5BF2">
      <w:pPr>
        <w:spacing w:after="160"/>
        <w:jc w:val="both"/>
        <w:rPr>
          <w:rFonts w:eastAsia="Times New Roman" w:cs="Arial"/>
          <w:sz w:val="24"/>
          <w:szCs w:val="24"/>
          <w:lang w:val="en-GB"/>
        </w:rPr>
      </w:pPr>
      <w:r w:rsidRPr="00BC1ABD">
        <w:rPr>
          <w:rFonts w:eastAsia="Times New Roman" w:cs="Arial"/>
          <w:sz w:val="24"/>
          <w:szCs w:val="24"/>
          <w:lang w:val="en-GB"/>
        </w:rPr>
        <w:t xml:space="preserve">Figures </w:t>
      </w:r>
      <w:r w:rsidR="0004470A">
        <w:rPr>
          <w:rFonts w:eastAsia="Times New Roman" w:cs="Arial"/>
          <w:sz w:val="24"/>
          <w:szCs w:val="24"/>
          <w:lang w:val="en-GB"/>
        </w:rPr>
        <w:t>28</w:t>
      </w:r>
      <w:r w:rsidRPr="00BC1ABD">
        <w:rPr>
          <w:rFonts w:eastAsia="Times New Roman" w:cs="Arial"/>
          <w:sz w:val="24"/>
          <w:szCs w:val="24"/>
          <w:lang w:val="en-GB"/>
        </w:rPr>
        <w:t xml:space="preserve"> and </w:t>
      </w:r>
      <w:r w:rsidR="0004470A">
        <w:rPr>
          <w:rFonts w:eastAsia="Times New Roman" w:cs="Arial"/>
          <w:sz w:val="24"/>
          <w:szCs w:val="24"/>
          <w:lang w:val="en-GB"/>
        </w:rPr>
        <w:t>29</w:t>
      </w:r>
      <w:r w:rsidRPr="00BC1ABD">
        <w:rPr>
          <w:rFonts w:eastAsia="Times New Roman" w:cs="Arial"/>
          <w:sz w:val="24"/>
          <w:szCs w:val="24"/>
          <w:lang w:val="en-GB"/>
        </w:rPr>
        <w:t xml:space="preserve"> enable us to consider the question of whether the offers in all four speed ranges form part of the same retail market or constitute separate markets.</w:t>
      </w:r>
    </w:p>
    <w:p w14:paraId="0D0A5AF5" w14:textId="62DC51AB" w:rsidR="009F5BF2" w:rsidRPr="00BC1ABD" w:rsidRDefault="009F5BF2" w:rsidP="009F5BF2">
      <w:pPr>
        <w:spacing w:after="160"/>
        <w:jc w:val="both"/>
        <w:rPr>
          <w:rFonts w:eastAsia="Times New Roman" w:cs="Arial"/>
          <w:sz w:val="24"/>
          <w:szCs w:val="24"/>
          <w:lang w:val="en-GB"/>
        </w:rPr>
      </w:pPr>
      <w:r w:rsidRPr="00BC1ABD">
        <w:rPr>
          <w:rFonts w:eastAsia="Times New Roman" w:cs="Arial"/>
          <w:sz w:val="24"/>
          <w:szCs w:val="24"/>
          <w:lang w:val="en-GB"/>
        </w:rPr>
        <w:t>The offers made by operators in the 10</w:t>
      </w:r>
      <w:r w:rsidR="009E256A">
        <w:rPr>
          <w:rFonts w:eastAsia="Times New Roman" w:cs="Arial"/>
          <w:sz w:val="24"/>
          <w:szCs w:val="24"/>
          <w:lang w:val="en-GB"/>
        </w:rPr>
        <w:t xml:space="preserve"> </w:t>
      </w:r>
      <w:r w:rsidRPr="00BC1ABD">
        <w:rPr>
          <w:rFonts w:eastAsia="Times New Roman" w:cs="Arial"/>
          <w:sz w:val="24"/>
          <w:szCs w:val="24"/>
          <w:lang w:val="en-GB"/>
        </w:rPr>
        <w:t xml:space="preserve">Mbps </w:t>
      </w:r>
      <w:r w:rsidR="009E256A">
        <w:rPr>
          <w:rFonts w:eastAsia="Times New Roman" w:cs="Arial"/>
          <w:sz w:val="24"/>
          <w:szCs w:val="24"/>
          <w:lang w:val="en-GB"/>
        </w:rPr>
        <w:t>–</w:t>
      </w:r>
      <w:r w:rsidRPr="00BC1ABD">
        <w:rPr>
          <w:rFonts w:eastAsia="Times New Roman" w:cs="Arial"/>
          <w:sz w:val="24"/>
          <w:szCs w:val="24"/>
          <w:lang w:val="en-GB"/>
        </w:rPr>
        <w:t xml:space="preserve"> 30</w:t>
      </w:r>
      <w:r w:rsidR="009E256A">
        <w:rPr>
          <w:rFonts w:eastAsia="Times New Roman" w:cs="Arial"/>
          <w:sz w:val="24"/>
          <w:szCs w:val="24"/>
          <w:lang w:val="en-GB"/>
        </w:rPr>
        <w:t xml:space="preserve"> </w:t>
      </w:r>
      <w:r w:rsidRPr="00BC1ABD">
        <w:rPr>
          <w:rFonts w:eastAsia="Times New Roman" w:cs="Arial"/>
          <w:sz w:val="24"/>
          <w:szCs w:val="24"/>
          <w:lang w:val="en-GB"/>
        </w:rPr>
        <w:t>Mbps, 30</w:t>
      </w:r>
      <w:r w:rsidR="009E256A">
        <w:rPr>
          <w:rFonts w:eastAsia="Times New Roman" w:cs="Arial"/>
          <w:sz w:val="24"/>
          <w:szCs w:val="24"/>
          <w:lang w:val="en-GB"/>
        </w:rPr>
        <w:t xml:space="preserve"> </w:t>
      </w:r>
      <w:r w:rsidRPr="00BC1ABD">
        <w:rPr>
          <w:rFonts w:eastAsia="Times New Roman" w:cs="Arial"/>
          <w:sz w:val="24"/>
          <w:szCs w:val="24"/>
          <w:lang w:val="en-GB"/>
        </w:rPr>
        <w:t>Mbps – 100</w:t>
      </w:r>
      <w:r w:rsidR="009E256A">
        <w:rPr>
          <w:rFonts w:eastAsia="Times New Roman" w:cs="Arial"/>
          <w:sz w:val="24"/>
          <w:szCs w:val="24"/>
          <w:lang w:val="en-GB"/>
        </w:rPr>
        <w:t xml:space="preserve"> </w:t>
      </w:r>
      <w:r w:rsidRPr="00BC1ABD">
        <w:rPr>
          <w:rFonts w:eastAsia="Times New Roman" w:cs="Arial"/>
          <w:sz w:val="24"/>
          <w:szCs w:val="24"/>
          <w:lang w:val="en-GB"/>
        </w:rPr>
        <w:t>Mbps and above 100 Mbps segments, consist of a range of options, clearly with the aim to attract customers to upgrade from lower speeds to at least 30</w:t>
      </w:r>
      <w:r w:rsidR="00F54BCD">
        <w:rPr>
          <w:rFonts w:eastAsia="Times New Roman" w:cs="Arial"/>
          <w:sz w:val="24"/>
          <w:szCs w:val="24"/>
          <w:lang w:val="en-GB"/>
        </w:rPr>
        <w:t xml:space="preserve"> </w:t>
      </w:r>
      <w:r w:rsidRPr="00BC1ABD">
        <w:rPr>
          <w:rFonts w:eastAsia="Times New Roman" w:cs="Arial"/>
          <w:sz w:val="24"/>
          <w:szCs w:val="24"/>
          <w:lang w:val="en-GB"/>
        </w:rPr>
        <w:t>Mbps. The higher the speeds used, the greater will be the average revenue per user (ARPU).</w:t>
      </w:r>
    </w:p>
    <w:p w14:paraId="61502565" w14:textId="678AB344" w:rsidR="009F5BF2" w:rsidRPr="00BC1ABD" w:rsidRDefault="009F5BF2" w:rsidP="009F5BF2">
      <w:pPr>
        <w:spacing w:after="160"/>
        <w:jc w:val="both"/>
        <w:rPr>
          <w:rFonts w:eastAsia="Times New Roman" w:cs="Arial"/>
          <w:sz w:val="24"/>
          <w:szCs w:val="24"/>
          <w:lang w:val="en-GB"/>
        </w:rPr>
      </w:pPr>
      <w:r w:rsidRPr="00BC1ABD">
        <w:rPr>
          <w:rFonts w:eastAsia="Times New Roman" w:cs="Arial"/>
          <w:sz w:val="24"/>
          <w:szCs w:val="24"/>
          <w:lang w:val="en-GB"/>
        </w:rPr>
        <w:t xml:space="preserve">Figure </w:t>
      </w:r>
      <w:r w:rsidR="00FA5AF6">
        <w:rPr>
          <w:rFonts w:eastAsia="Times New Roman" w:cs="Arial"/>
          <w:sz w:val="24"/>
          <w:szCs w:val="24"/>
          <w:lang w:val="en-GB"/>
        </w:rPr>
        <w:t xml:space="preserve">25 </w:t>
      </w:r>
      <w:r w:rsidRPr="00BC1ABD">
        <w:rPr>
          <w:rFonts w:eastAsia="Times New Roman" w:cs="Arial"/>
          <w:sz w:val="24"/>
          <w:szCs w:val="24"/>
          <w:lang w:val="en-GB"/>
        </w:rPr>
        <w:t>shows that there is a clear trend towards the speed range of 30</w:t>
      </w:r>
      <w:r w:rsidR="009E256A">
        <w:rPr>
          <w:rFonts w:eastAsia="Times New Roman" w:cs="Arial"/>
          <w:sz w:val="24"/>
          <w:szCs w:val="24"/>
          <w:lang w:val="en-GB"/>
        </w:rPr>
        <w:t xml:space="preserve"> </w:t>
      </w:r>
      <w:r w:rsidRPr="00BC1ABD">
        <w:rPr>
          <w:rFonts w:eastAsia="Times New Roman" w:cs="Arial"/>
          <w:sz w:val="24"/>
          <w:szCs w:val="24"/>
          <w:lang w:val="en-GB"/>
        </w:rPr>
        <w:t xml:space="preserve">Mbps </w:t>
      </w:r>
      <w:r w:rsidR="009E256A">
        <w:rPr>
          <w:rFonts w:eastAsia="Times New Roman" w:cs="Arial"/>
          <w:sz w:val="24"/>
          <w:szCs w:val="24"/>
          <w:lang w:val="en-GB"/>
        </w:rPr>
        <w:t>–</w:t>
      </w:r>
      <w:r w:rsidRPr="00BC1ABD">
        <w:rPr>
          <w:rFonts w:eastAsia="Times New Roman" w:cs="Arial"/>
          <w:sz w:val="24"/>
          <w:szCs w:val="24"/>
          <w:lang w:val="en-GB"/>
        </w:rPr>
        <w:t xml:space="preserve"> 100</w:t>
      </w:r>
      <w:r w:rsidR="009E256A">
        <w:rPr>
          <w:rFonts w:eastAsia="Times New Roman" w:cs="Arial"/>
          <w:sz w:val="24"/>
          <w:szCs w:val="24"/>
          <w:lang w:val="en-GB"/>
        </w:rPr>
        <w:t xml:space="preserve"> </w:t>
      </w:r>
      <w:r w:rsidRPr="00BC1ABD">
        <w:rPr>
          <w:rFonts w:eastAsia="Times New Roman" w:cs="Arial"/>
          <w:sz w:val="24"/>
          <w:szCs w:val="24"/>
          <w:lang w:val="en-GB"/>
        </w:rPr>
        <w:t>Mbps at the expense of the lower speed ranges. The highest increase in this speed range happened in 2022.</w:t>
      </w:r>
    </w:p>
    <w:p w14:paraId="5AB77CF7" w14:textId="5C3E66CA" w:rsidR="009F5BF2" w:rsidRPr="00BC1ABD" w:rsidRDefault="009F5BF2" w:rsidP="009F5BF2">
      <w:pPr>
        <w:spacing w:after="160"/>
        <w:jc w:val="both"/>
        <w:rPr>
          <w:rFonts w:eastAsia="Times New Roman" w:cs="Arial"/>
          <w:sz w:val="24"/>
          <w:szCs w:val="24"/>
          <w:lang w:val="en-GB"/>
        </w:rPr>
      </w:pPr>
      <w:r w:rsidRPr="00BC1ABD">
        <w:rPr>
          <w:rFonts w:eastAsia="Times New Roman" w:cs="Arial"/>
          <w:sz w:val="24"/>
          <w:szCs w:val="24"/>
          <w:lang w:val="en-GB"/>
        </w:rPr>
        <w:t xml:space="preserve">For the low-speed fixed broadband access range (up to 10 Mbps) and highest-speed fixed broadband access (over 100 Mbps), it has been noted from Figure </w:t>
      </w:r>
      <w:r w:rsidR="00435ADA">
        <w:rPr>
          <w:rFonts w:eastAsia="Times New Roman" w:cs="Arial"/>
          <w:sz w:val="24"/>
          <w:szCs w:val="24"/>
          <w:lang w:val="en-GB"/>
        </w:rPr>
        <w:t>25</w:t>
      </w:r>
      <w:r w:rsidRPr="00BC1ABD">
        <w:rPr>
          <w:rFonts w:eastAsia="Times New Roman" w:cs="Arial"/>
          <w:sz w:val="24"/>
          <w:szCs w:val="24"/>
          <w:lang w:val="en-GB"/>
        </w:rPr>
        <w:t xml:space="preserve"> that in 2022, only 8% of the total number of fixed broadband subscribers account for these lowest and highest speeds.</w:t>
      </w:r>
    </w:p>
    <w:p w14:paraId="4C41F170" w14:textId="24A5720F"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There are no retail offers for speeds below 20</w:t>
      </w:r>
      <w:r w:rsidR="009E256A">
        <w:rPr>
          <w:rFonts w:eastAsia="Times New Roman" w:cs="Arial"/>
          <w:sz w:val="24"/>
          <w:szCs w:val="24"/>
          <w:lang w:val="en-GB"/>
        </w:rPr>
        <w:t xml:space="preserve"> </w:t>
      </w:r>
      <w:r w:rsidRPr="00BC1ABD">
        <w:rPr>
          <w:rFonts w:eastAsia="Times New Roman" w:cs="Arial"/>
          <w:sz w:val="24"/>
          <w:szCs w:val="24"/>
          <w:lang w:val="en-GB"/>
        </w:rPr>
        <w:t xml:space="preserve">Mbps based on </w:t>
      </w:r>
      <w:r w:rsidR="00592449">
        <w:rPr>
          <w:rFonts w:eastAsia="Times New Roman" w:cs="Arial"/>
          <w:sz w:val="24"/>
          <w:szCs w:val="24"/>
          <w:lang w:val="en-GB"/>
        </w:rPr>
        <w:t>FTTx</w:t>
      </w:r>
      <w:r w:rsidRPr="00BC1ABD">
        <w:rPr>
          <w:rFonts w:eastAsia="Times New Roman" w:cs="Arial"/>
          <w:sz w:val="24"/>
          <w:szCs w:val="24"/>
          <w:lang w:val="en-GB"/>
        </w:rPr>
        <w:t xml:space="preserve">. Retail offers based on xDSL and FWA do not exist in the same speed ranges as </w:t>
      </w:r>
      <w:r w:rsidR="00592449">
        <w:rPr>
          <w:rFonts w:eastAsia="Times New Roman" w:cs="Arial"/>
          <w:sz w:val="24"/>
          <w:szCs w:val="24"/>
          <w:lang w:val="en-GB"/>
        </w:rPr>
        <w:t>FTTx</w:t>
      </w:r>
      <w:r w:rsidRPr="00BC1ABD">
        <w:rPr>
          <w:rFonts w:eastAsia="Times New Roman" w:cs="Arial"/>
          <w:sz w:val="24"/>
          <w:szCs w:val="24"/>
          <w:lang w:val="en-GB"/>
        </w:rPr>
        <w:t xml:space="preserve"> offers. There is some overlap between </w:t>
      </w:r>
      <w:r w:rsidR="00592449">
        <w:rPr>
          <w:rFonts w:eastAsia="Times New Roman" w:cs="Arial"/>
          <w:sz w:val="24"/>
          <w:szCs w:val="24"/>
          <w:lang w:val="en-GB"/>
        </w:rPr>
        <w:t>FTTx</w:t>
      </w:r>
      <w:r w:rsidRPr="00BC1ABD">
        <w:rPr>
          <w:rFonts w:eastAsia="Times New Roman" w:cs="Arial"/>
          <w:sz w:val="24"/>
          <w:szCs w:val="24"/>
          <w:lang w:val="en-GB"/>
        </w:rPr>
        <w:t xml:space="preserve"> usage below 20</w:t>
      </w:r>
      <w:r w:rsidR="009E256A">
        <w:rPr>
          <w:rFonts w:eastAsia="Times New Roman" w:cs="Arial"/>
          <w:sz w:val="24"/>
          <w:szCs w:val="24"/>
          <w:lang w:val="en-GB"/>
        </w:rPr>
        <w:t xml:space="preserve"> </w:t>
      </w:r>
      <w:r w:rsidRPr="00BC1ABD">
        <w:rPr>
          <w:rFonts w:eastAsia="Times New Roman" w:cs="Arial"/>
          <w:sz w:val="24"/>
          <w:szCs w:val="24"/>
          <w:lang w:val="en-GB"/>
        </w:rPr>
        <w:t xml:space="preserve">Mbps based on current </w:t>
      </w:r>
      <w:r w:rsidR="009E256A">
        <w:rPr>
          <w:rFonts w:eastAsia="Times New Roman" w:cs="Arial"/>
          <w:sz w:val="24"/>
          <w:szCs w:val="24"/>
          <w:lang w:val="en-GB"/>
        </w:rPr>
        <w:t>data</w:t>
      </w:r>
      <w:r w:rsidRPr="00BC1ABD">
        <w:rPr>
          <w:rFonts w:eastAsia="Times New Roman" w:cs="Arial"/>
          <w:sz w:val="24"/>
          <w:szCs w:val="24"/>
          <w:lang w:val="en-GB"/>
        </w:rPr>
        <w:t xml:space="preserve">. This is considered to result from a low-speed subscription previously offered on </w:t>
      </w:r>
      <w:r w:rsidR="00592449">
        <w:rPr>
          <w:rFonts w:eastAsia="Times New Roman" w:cs="Arial"/>
          <w:sz w:val="24"/>
          <w:szCs w:val="24"/>
          <w:lang w:val="en-GB"/>
        </w:rPr>
        <w:t>FTTx</w:t>
      </w:r>
      <w:r w:rsidRPr="00BC1ABD">
        <w:rPr>
          <w:rFonts w:eastAsia="Times New Roman" w:cs="Arial"/>
          <w:sz w:val="24"/>
          <w:szCs w:val="24"/>
          <w:lang w:val="en-GB"/>
        </w:rPr>
        <w:t xml:space="preserve"> was </w:t>
      </w:r>
      <w:r w:rsidR="009E256A">
        <w:rPr>
          <w:rFonts w:eastAsia="Times New Roman" w:cs="Arial"/>
          <w:sz w:val="24"/>
          <w:szCs w:val="24"/>
          <w:lang w:val="en-GB"/>
        </w:rPr>
        <w:t>taken by some users</w:t>
      </w:r>
      <w:r w:rsidR="009E256A" w:rsidRPr="00BC1ABD">
        <w:rPr>
          <w:rFonts w:eastAsia="Times New Roman" w:cs="Arial"/>
          <w:sz w:val="24"/>
          <w:szCs w:val="24"/>
          <w:lang w:val="en-GB"/>
        </w:rPr>
        <w:t xml:space="preserve"> </w:t>
      </w:r>
      <w:r w:rsidRPr="00BC1ABD">
        <w:rPr>
          <w:rFonts w:eastAsia="Times New Roman" w:cs="Arial"/>
          <w:sz w:val="24"/>
          <w:szCs w:val="24"/>
          <w:lang w:val="en-GB"/>
        </w:rPr>
        <w:t>a few years ago and the user</w:t>
      </w:r>
      <w:r w:rsidR="009E256A">
        <w:rPr>
          <w:rFonts w:eastAsia="Times New Roman" w:cs="Arial"/>
          <w:sz w:val="24"/>
          <w:szCs w:val="24"/>
          <w:lang w:val="en-GB"/>
        </w:rPr>
        <w:t>s</w:t>
      </w:r>
      <w:r w:rsidRPr="00BC1ABD">
        <w:rPr>
          <w:rFonts w:eastAsia="Times New Roman" w:cs="Arial"/>
          <w:sz w:val="24"/>
          <w:szCs w:val="24"/>
          <w:lang w:val="en-GB"/>
        </w:rPr>
        <w:t xml:space="preserve"> ha</w:t>
      </w:r>
      <w:r w:rsidR="009E256A">
        <w:rPr>
          <w:rFonts w:eastAsia="Times New Roman" w:cs="Arial"/>
          <w:sz w:val="24"/>
          <w:szCs w:val="24"/>
          <w:lang w:val="en-GB"/>
        </w:rPr>
        <w:t>v</w:t>
      </w:r>
      <w:r w:rsidR="00D8522C">
        <w:rPr>
          <w:rFonts w:eastAsia="Times New Roman" w:cs="Arial"/>
          <w:sz w:val="24"/>
          <w:szCs w:val="24"/>
          <w:lang w:val="en-GB"/>
        </w:rPr>
        <w:t>e</w:t>
      </w:r>
      <w:r w:rsidRPr="00BC1ABD">
        <w:rPr>
          <w:rFonts w:eastAsia="Times New Roman" w:cs="Arial"/>
          <w:sz w:val="24"/>
          <w:szCs w:val="24"/>
          <w:lang w:val="en-GB"/>
        </w:rPr>
        <w:t xml:space="preserve"> not upgraded to a higher speed. This remaining overlap is expected to reduce as the usage patterns continue to favour higher speeds.</w:t>
      </w:r>
    </w:p>
    <w:p w14:paraId="18D82A22" w14:textId="6BFCF22A"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There appears to be a clear break point at speeds of 10</w:t>
      </w:r>
      <w:r w:rsidR="00F54BCD">
        <w:rPr>
          <w:rFonts w:eastAsia="Times New Roman" w:cs="Arial"/>
          <w:sz w:val="24"/>
          <w:szCs w:val="24"/>
          <w:lang w:val="en-GB"/>
        </w:rPr>
        <w:t xml:space="preserve"> </w:t>
      </w:r>
      <w:r w:rsidRPr="00BC1ABD">
        <w:rPr>
          <w:rFonts w:eastAsia="Times New Roman" w:cs="Arial"/>
          <w:sz w:val="24"/>
          <w:szCs w:val="24"/>
          <w:lang w:val="en-GB"/>
        </w:rPr>
        <w:t xml:space="preserve">Mbps between the offers of xDSL or FWA and </w:t>
      </w:r>
      <w:r w:rsidR="00592449">
        <w:rPr>
          <w:rFonts w:eastAsia="Times New Roman" w:cs="Arial"/>
          <w:sz w:val="24"/>
          <w:szCs w:val="24"/>
          <w:lang w:val="en-GB"/>
        </w:rPr>
        <w:t>FTTx</w:t>
      </w:r>
      <w:r w:rsidRPr="00BC1ABD">
        <w:rPr>
          <w:rFonts w:eastAsia="Times New Roman" w:cs="Arial"/>
          <w:sz w:val="24"/>
          <w:szCs w:val="24"/>
          <w:lang w:val="en-GB"/>
        </w:rPr>
        <w:t xml:space="preserve"> technologies. xDSL-based services are offered in speed ranges up to 8</w:t>
      </w:r>
      <w:r w:rsidR="00455B23">
        <w:rPr>
          <w:rFonts w:eastAsia="Times New Roman" w:cs="Arial"/>
          <w:sz w:val="24"/>
          <w:szCs w:val="24"/>
          <w:lang w:val="en-GB"/>
        </w:rPr>
        <w:t xml:space="preserve"> </w:t>
      </w:r>
      <w:r w:rsidRPr="00BC1ABD">
        <w:rPr>
          <w:rFonts w:eastAsia="Times New Roman" w:cs="Arial"/>
          <w:sz w:val="24"/>
          <w:szCs w:val="24"/>
          <w:lang w:val="en-GB"/>
        </w:rPr>
        <w:t xml:space="preserve">Mbps while FWA is offered up to 10 Mbps. These two technologies, although having an important market presence in the current technology mix, do not provide services with the higher capability speeds that could be compared with </w:t>
      </w:r>
      <w:r w:rsidR="00592449">
        <w:rPr>
          <w:rFonts w:eastAsia="Times New Roman" w:cs="Arial"/>
          <w:sz w:val="24"/>
          <w:szCs w:val="24"/>
          <w:lang w:val="en-GB"/>
        </w:rPr>
        <w:t>FTTx</w:t>
      </w:r>
      <w:r w:rsidRPr="00BC1ABD">
        <w:rPr>
          <w:rFonts w:eastAsia="Times New Roman" w:cs="Arial"/>
          <w:sz w:val="24"/>
          <w:szCs w:val="24"/>
          <w:lang w:val="en-GB"/>
        </w:rPr>
        <w:t>.</w:t>
      </w:r>
    </w:p>
    <w:p w14:paraId="37D52907" w14:textId="66CF4631"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 speed range up to 10</w:t>
      </w:r>
      <w:r w:rsidR="00455B23">
        <w:rPr>
          <w:rFonts w:eastAsia="Times New Roman" w:cs="Arial"/>
          <w:sz w:val="24"/>
          <w:szCs w:val="24"/>
          <w:lang w:val="en-GB"/>
        </w:rPr>
        <w:t xml:space="preserve"> </w:t>
      </w:r>
      <w:r w:rsidRPr="00BC1ABD">
        <w:rPr>
          <w:rFonts w:eastAsia="Times New Roman" w:cs="Arial"/>
          <w:sz w:val="24"/>
          <w:szCs w:val="24"/>
          <w:lang w:val="en-GB"/>
        </w:rPr>
        <w:t>Mbps is the only one that has a full mix of technologies. This shows that in the speed range up to 10 Mbps, there are different competitive forces than in the higher speed ranges. The presence of different providers and technologies in the different speed ranges indicates that there are different competitive market conditions relating to the use of different speed ranges.</w:t>
      </w:r>
    </w:p>
    <w:p w14:paraId="0793C0BF" w14:textId="61C3A16D"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Based on the different levels of choice of data speed ranges, different tariff ranges and usage in the provision of fixed broadband services,</w:t>
      </w:r>
      <w:r w:rsidRPr="00BC1ABD">
        <w:rPr>
          <w:rFonts w:eastAsia="Times New Roman"/>
          <w:lang w:val="en-GB"/>
        </w:rPr>
        <w:t xml:space="preserve"> </w:t>
      </w:r>
      <w:r w:rsidRPr="00BC1ABD">
        <w:rPr>
          <w:rFonts w:eastAsia="Times New Roman" w:cs="Arial"/>
          <w:sz w:val="24"/>
          <w:szCs w:val="24"/>
          <w:lang w:val="en-GB"/>
        </w:rPr>
        <w:t>it is considered that “basic broadband access services” (offered at speeds up to 10</w:t>
      </w:r>
      <w:r w:rsidR="00455B23">
        <w:rPr>
          <w:rFonts w:eastAsia="Times New Roman" w:cs="Arial"/>
          <w:sz w:val="24"/>
          <w:szCs w:val="24"/>
          <w:lang w:val="en-GB"/>
        </w:rPr>
        <w:t xml:space="preserve"> </w:t>
      </w:r>
      <w:r w:rsidRPr="00BC1ABD">
        <w:rPr>
          <w:rFonts w:eastAsia="Times New Roman" w:cs="Arial"/>
          <w:sz w:val="24"/>
          <w:szCs w:val="24"/>
          <w:lang w:val="en-GB"/>
        </w:rPr>
        <w:t>M</w:t>
      </w:r>
      <w:r w:rsidR="00F54BCD">
        <w:rPr>
          <w:rFonts w:eastAsia="Times New Roman" w:cs="Arial"/>
          <w:sz w:val="24"/>
          <w:szCs w:val="24"/>
          <w:lang w:val="en-GB"/>
        </w:rPr>
        <w:t>b</w:t>
      </w:r>
      <w:r w:rsidRPr="00BC1ABD">
        <w:rPr>
          <w:rFonts w:eastAsia="Times New Roman" w:cs="Arial"/>
          <w:sz w:val="24"/>
          <w:szCs w:val="24"/>
          <w:lang w:val="en-GB"/>
        </w:rPr>
        <w:t>ps) and “higher-speed broadband access services” (offered at speeds over 10</w:t>
      </w:r>
      <w:r w:rsidR="00455B23">
        <w:rPr>
          <w:rFonts w:eastAsia="Times New Roman" w:cs="Arial"/>
          <w:sz w:val="24"/>
          <w:szCs w:val="24"/>
          <w:lang w:val="en-GB"/>
        </w:rPr>
        <w:t xml:space="preserve"> </w:t>
      </w:r>
      <w:r w:rsidRPr="00BC1ABD">
        <w:rPr>
          <w:rFonts w:eastAsia="Times New Roman" w:cs="Arial"/>
          <w:sz w:val="24"/>
          <w:szCs w:val="24"/>
          <w:lang w:val="en-GB"/>
        </w:rPr>
        <w:t>M</w:t>
      </w:r>
      <w:r w:rsidR="00F54BCD">
        <w:rPr>
          <w:rFonts w:eastAsia="Times New Roman" w:cs="Arial"/>
          <w:sz w:val="24"/>
          <w:szCs w:val="24"/>
          <w:lang w:val="en-GB"/>
        </w:rPr>
        <w:t>b</w:t>
      </w:r>
      <w:r w:rsidRPr="00BC1ABD">
        <w:rPr>
          <w:rFonts w:eastAsia="Times New Roman" w:cs="Arial"/>
          <w:sz w:val="24"/>
          <w:szCs w:val="24"/>
          <w:lang w:val="en-GB"/>
        </w:rPr>
        <w:t>ps) form adjacent but distinct markets in terms of the current offers as well as in terms of the current technology mix within each speed range.</w:t>
      </w:r>
    </w:p>
    <w:p w14:paraId="4A5612A3"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 detailed market definitions for the two different parts of the retail fixed broadband market will now be carried out using demand and supply-side substitution analyses.</w:t>
      </w:r>
      <w:bookmarkStart w:id="142" w:name="_Toc97535474"/>
    </w:p>
    <w:p w14:paraId="6315DA58" w14:textId="07B8DB91" w:rsidR="009F5BF2" w:rsidRPr="00EE17C7" w:rsidRDefault="009F5BF2" w:rsidP="00EE17C7">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43" w:name="_Toc146107810"/>
      <w:bookmarkStart w:id="144" w:name="_Toc169258921"/>
      <w:r w:rsidRPr="00EE17C7">
        <w:rPr>
          <w:rFonts w:asciiTheme="minorHAnsi" w:hAnsiTheme="minorHAnsi" w:cstheme="minorHAnsi"/>
          <w:b w:val="0"/>
          <w:bCs w:val="0"/>
          <w:sz w:val="24"/>
          <w:szCs w:val="24"/>
          <w:lang w:val="en-GB"/>
        </w:rPr>
        <w:t>Demand</w:t>
      </w:r>
      <w:r w:rsidR="00335F11">
        <w:rPr>
          <w:rFonts w:asciiTheme="minorHAnsi" w:hAnsiTheme="minorHAnsi" w:cstheme="minorHAnsi"/>
          <w:b w:val="0"/>
          <w:bCs w:val="0"/>
          <w:sz w:val="24"/>
          <w:szCs w:val="24"/>
          <w:lang w:val="en-GB"/>
        </w:rPr>
        <w:t>-</w:t>
      </w:r>
      <w:r w:rsidRPr="00EE17C7">
        <w:rPr>
          <w:rFonts w:asciiTheme="minorHAnsi" w:hAnsiTheme="minorHAnsi" w:cstheme="minorHAnsi"/>
          <w:b w:val="0"/>
          <w:bCs w:val="0"/>
          <w:sz w:val="24"/>
          <w:szCs w:val="24"/>
          <w:lang w:val="en-GB"/>
        </w:rPr>
        <w:t>side substitution</w:t>
      </w:r>
      <w:bookmarkEnd w:id="142"/>
      <w:bookmarkEnd w:id="143"/>
      <w:bookmarkEnd w:id="144"/>
    </w:p>
    <w:p w14:paraId="586647B8" w14:textId="502E0833"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 service that is most represented on the market should be taken as starting point of the demand side substitution analysis for both markets</w:t>
      </w:r>
      <w:r w:rsidR="00215E33">
        <w:rPr>
          <w:rFonts w:eastAsia="Times New Roman" w:cs="Arial"/>
          <w:sz w:val="24"/>
          <w:szCs w:val="24"/>
          <w:lang w:val="en-GB"/>
        </w:rPr>
        <w:t xml:space="preserve"> identified above</w:t>
      </w:r>
      <w:r w:rsidRPr="00BC1ABD">
        <w:rPr>
          <w:rFonts w:eastAsia="Times New Roman" w:cs="Arial"/>
          <w:sz w:val="24"/>
          <w:szCs w:val="24"/>
          <w:lang w:val="en-GB"/>
        </w:rPr>
        <w:t>:</w:t>
      </w:r>
    </w:p>
    <w:p w14:paraId="66DA514E" w14:textId="3F609B21" w:rsidR="009F5BF2" w:rsidRPr="00BC1ABD" w:rsidRDefault="009F5BF2" w:rsidP="009F5BF2">
      <w:pPr>
        <w:numPr>
          <w:ilvl w:val="0"/>
          <w:numId w:val="66"/>
        </w:numPr>
        <w:contextualSpacing/>
        <w:jc w:val="both"/>
        <w:rPr>
          <w:rFonts w:eastAsia="Times New Roman" w:cs="Arial"/>
          <w:sz w:val="24"/>
          <w:szCs w:val="24"/>
          <w:lang w:val="en-GB"/>
        </w:rPr>
      </w:pPr>
      <w:r w:rsidRPr="00BC1ABD">
        <w:rPr>
          <w:rFonts w:eastAsia="Times New Roman" w:cs="Arial"/>
          <w:sz w:val="24"/>
          <w:szCs w:val="24"/>
          <w:lang w:val="en-GB"/>
        </w:rPr>
        <w:t>For the basic fixed broadband market, the leading technology is FWA, accounting for almost 80% of subscriptions in the lower speed market</w:t>
      </w:r>
      <w:r w:rsidR="00455B23">
        <w:rPr>
          <w:rFonts w:eastAsia="Times New Roman" w:cs="Arial"/>
          <w:sz w:val="24"/>
          <w:szCs w:val="24"/>
          <w:lang w:val="en-GB"/>
        </w:rPr>
        <w:t>;</w:t>
      </w:r>
    </w:p>
    <w:p w14:paraId="606E1A04" w14:textId="4EDE8A04" w:rsidR="009F5BF2" w:rsidRPr="00BC1ABD" w:rsidRDefault="009F5BF2" w:rsidP="009F5BF2">
      <w:pPr>
        <w:numPr>
          <w:ilvl w:val="0"/>
          <w:numId w:val="66"/>
        </w:numPr>
        <w:contextualSpacing/>
        <w:jc w:val="both"/>
        <w:rPr>
          <w:rFonts w:eastAsia="Times New Roman" w:cs="Arial"/>
          <w:sz w:val="24"/>
          <w:szCs w:val="24"/>
          <w:lang w:val="en-GB"/>
        </w:rPr>
      </w:pPr>
      <w:r w:rsidRPr="00BC1ABD">
        <w:rPr>
          <w:rFonts w:eastAsia="Times New Roman" w:cs="Arial"/>
          <w:sz w:val="24"/>
          <w:szCs w:val="24"/>
          <w:lang w:val="en-GB"/>
        </w:rPr>
        <w:t xml:space="preserve">For the higher-speed fixed broadband market, the leading technology is </w:t>
      </w:r>
      <w:r w:rsidR="00592449">
        <w:rPr>
          <w:rFonts w:eastAsia="Times New Roman" w:cs="Arial"/>
          <w:sz w:val="24"/>
          <w:szCs w:val="24"/>
          <w:lang w:val="en-GB"/>
        </w:rPr>
        <w:t>FTTx</w:t>
      </w:r>
      <w:r w:rsidRPr="00BC1ABD">
        <w:rPr>
          <w:rFonts w:eastAsia="Times New Roman" w:cs="Arial"/>
          <w:sz w:val="24"/>
          <w:szCs w:val="24"/>
          <w:lang w:val="en-GB"/>
        </w:rPr>
        <w:t>, accounting for 96% of total subscriptions in the higher speed ranges.</w:t>
      </w:r>
    </w:p>
    <w:p w14:paraId="7AE8EEE1" w14:textId="44D5CA92"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The most represented technologies will be considered against any possible alternatives that could be substituted to meet the same customer needs in terms of functionality (including speed, quality of service and comparable retail prices) in order to establish whether the alternatives form part of the same relevant market. </w:t>
      </w:r>
    </w:p>
    <w:p w14:paraId="55212F5D" w14:textId="4A618AA8" w:rsidR="009F5BF2" w:rsidRPr="008F11B7" w:rsidRDefault="00592449" w:rsidP="008F11B7">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45" w:name="_Toc169258922"/>
      <w:r>
        <w:rPr>
          <w:rFonts w:asciiTheme="minorHAnsi" w:hAnsiTheme="minorHAnsi" w:cstheme="minorHAnsi"/>
          <w:b w:val="0"/>
          <w:bCs w:val="0"/>
          <w:sz w:val="24"/>
          <w:szCs w:val="24"/>
          <w:lang w:val="en-GB"/>
        </w:rPr>
        <w:t>FTTx</w:t>
      </w:r>
      <w:r w:rsidR="009F5BF2" w:rsidRPr="008F11B7">
        <w:rPr>
          <w:rFonts w:asciiTheme="minorHAnsi" w:hAnsiTheme="minorHAnsi" w:cstheme="minorHAnsi"/>
          <w:b w:val="0"/>
          <w:bCs w:val="0"/>
          <w:sz w:val="24"/>
          <w:szCs w:val="24"/>
          <w:lang w:val="en-GB"/>
        </w:rPr>
        <w:t xml:space="preserve"> access</w:t>
      </w:r>
      <w:bookmarkEnd w:id="145"/>
    </w:p>
    <w:p w14:paraId="7522E5EA" w14:textId="7438AF0F" w:rsidR="009F5BF2" w:rsidRPr="00BC1ABD" w:rsidRDefault="009F5BF2" w:rsidP="009F5BF2">
      <w:pPr>
        <w:jc w:val="both"/>
        <w:rPr>
          <w:rFonts w:eastAsia="Times New Roman" w:cs="Arial"/>
          <w:sz w:val="24"/>
          <w:szCs w:val="24"/>
          <w:lang w:val="en-GB"/>
        </w:rPr>
      </w:pPr>
      <w:bookmarkStart w:id="146" w:name="_Hlk90653738"/>
      <w:r w:rsidRPr="00BC1ABD">
        <w:rPr>
          <w:rFonts w:eastAsia="Times New Roman" w:cs="Arial"/>
          <w:sz w:val="24"/>
          <w:szCs w:val="24"/>
          <w:lang w:val="en-GB"/>
        </w:rPr>
        <w:t xml:space="preserve">Chapter </w:t>
      </w:r>
      <w:r w:rsidR="0047702E">
        <w:rPr>
          <w:rFonts w:eastAsia="Times New Roman" w:cs="Arial"/>
          <w:sz w:val="24"/>
          <w:szCs w:val="24"/>
          <w:lang w:val="en-GB"/>
        </w:rPr>
        <w:t>3</w:t>
      </w:r>
      <w:r w:rsidRPr="00BC1ABD">
        <w:rPr>
          <w:rFonts w:eastAsia="Times New Roman" w:cs="Arial"/>
          <w:sz w:val="24"/>
          <w:szCs w:val="24"/>
          <w:lang w:val="en-GB"/>
        </w:rPr>
        <w:t>.2.</w:t>
      </w:r>
      <w:r w:rsidR="0047702E">
        <w:rPr>
          <w:rFonts w:eastAsia="Times New Roman" w:cs="Arial"/>
          <w:sz w:val="24"/>
          <w:szCs w:val="24"/>
          <w:lang w:val="en-GB"/>
        </w:rPr>
        <w:t>5</w:t>
      </w:r>
      <w:r w:rsidRPr="00BC1ABD">
        <w:rPr>
          <w:rFonts w:eastAsia="Times New Roman" w:cs="Arial"/>
          <w:sz w:val="24"/>
          <w:szCs w:val="24"/>
          <w:lang w:val="en-GB"/>
        </w:rPr>
        <w:t xml:space="preserve"> concluded that the fixed broadband access service provided over </w:t>
      </w:r>
      <w:r w:rsidR="00592449">
        <w:rPr>
          <w:rFonts w:eastAsia="Times New Roman" w:cs="Arial"/>
          <w:sz w:val="24"/>
          <w:szCs w:val="24"/>
          <w:lang w:val="en-GB"/>
        </w:rPr>
        <w:t>FTTx</w:t>
      </w:r>
      <w:r w:rsidRPr="00BC1ABD">
        <w:rPr>
          <w:rFonts w:eastAsia="Times New Roman" w:cs="Arial"/>
          <w:sz w:val="24"/>
          <w:szCs w:val="24"/>
          <w:lang w:val="en-GB"/>
        </w:rPr>
        <w:t xml:space="preserve"> technology is the most used in Georgia (see Figures </w:t>
      </w:r>
      <w:r w:rsidR="0097552F">
        <w:rPr>
          <w:rFonts w:eastAsia="Times New Roman" w:cs="Arial"/>
          <w:sz w:val="24"/>
          <w:szCs w:val="24"/>
          <w:lang w:val="en-GB"/>
        </w:rPr>
        <w:t>20</w:t>
      </w:r>
      <w:r w:rsidRPr="00BC1ABD">
        <w:rPr>
          <w:rFonts w:eastAsia="Times New Roman" w:cs="Arial"/>
          <w:sz w:val="24"/>
          <w:szCs w:val="24"/>
          <w:lang w:val="en-GB"/>
        </w:rPr>
        <w:t xml:space="preserve"> and </w:t>
      </w:r>
      <w:r w:rsidR="0097552F">
        <w:rPr>
          <w:rFonts w:eastAsia="Times New Roman" w:cs="Arial"/>
          <w:sz w:val="24"/>
          <w:szCs w:val="24"/>
          <w:lang w:val="en-GB"/>
        </w:rPr>
        <w:t>21</w:t>
      </w:r>
      <w:r w:rsidRPr="00BC1ABD">
        <w:rPr>
          <w:rFonts w:eastAsia="Times New Roman" w:cs="Arial"/>
          <w:sz w:val="24"/>
          <w:szCs w:val="24"/>
          <w:lang w:val="en-GB"/>
        </w:rPr>
        <w:t xml:space="preserve">). In total, </w:t>
      </w:r>
      <w:r w:rsidR="00592449">
        <w:rPr>
          <w:rFonts w:eastAsia="Times New Roman" w:cs="Arial"/>
          <w:sz w:val="24"/>
          <w:szCs w:val="24"/>
          <w:lang w:val="en-GB"/>
        </w:rPr>
        <w:t>FTTx</w:t>
      </w:r>
      <w:r w:rsidRPr="00BC1ABD">
        <w:rPr>
          <w:rFonts w:eastAsia="Times New Roman" w:cs="Arial"/>
          <w:sz w:val="24"/>
          <w:szCs w:val="24"/>
          <w:lang w:val="en-GB"/>
        </w:rPr>
        <w:t xml:space="preserve"> serves 88% of all active fixed broadband subscriptions.</w:t>
      </w:r>
    </w:p>
    <w:p w14:paraId="56DB27C2" w14:textId="35263631"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FTTH </w:t>
      </w:r>
      <w:r w:rsidR="00BE1B32">
        <w:rPr>
          <w:rFonts w:eastAsia="Times New Roman" w:cs="Arial"/>
          <w:sz w:val="24"/>
          <w:szCs w:val="24"/>
          <w:lang w:val="en-GB"/>
        </w:rPr>
        <w:t xml:space="preserve">(Fibre to the Home) </w:t>
      </w:r>
      <w:r w:rsidRPr="00BC1ABD">
        <w:rPr>
          <w:rFonts w:eastAsia="Times New Roman" w:cs="Arial"/>
          <w:sz w:val="24"/>
          <w:szCs w:val="24"/>
          <w:lang w:val="en-GB"/>
        </w:rPr>
        <w:t>is usually provided through two main layouts, point-to-point (P2P) and point-t</w:t>
      </w:r>
      <w:r w:rsidR="00455B23">
        <w:rPr>
          <w:rFonts w:eastAsia="Times New Roman" w:cs="Arial"/>
          <w:sz w:val="24"/>
          <w:szCs w:val="24"/>
          <w:lang w:val="en-GB"/>
        </w:rPr>
        <w:t>o</w:t>
      </w:r>
      <w:r w:rsidRPr="00BC1ABD">
        <w:rPr>
          <w:rFonts w:eastAsia="Times New Roman" w:cs="Arial"/>
          <w:sz w:val="24"/>
          <w:szCs w:val="24"/>
          <w:lang w:val="en-GB"/>
        </w:rPr>
        <w:t xml:space="preserve">-multipoint (P2MP GPON). Georgian </w:t>
      </w:r>
      <w:r w:rsidR="00592449">
        <w:rPr>
          <w:rFonts w:eastAsia="Times New Roman" w:cs="Arial"/>
          <w:sz w:val="24"/>
          <w:szCs w:val="24"/>
          <w:lang w:val="en-GB"/>
        </w:rPr>
        <w:t>FTTx</w:t>
      </w:r>
      <w:r w:rsidRPr="00BC1ABD">
        <w:rPr>
          <w:rFonts w:eastAsia="Times New Roman" w:cs="Arial"/>
          <w:sz w:val="24"/>
          <w:szCs w:val="24"/>
          <w:lang w:val="en-GB"/>
        </w:rPr>
        <w:t xml:space="preserve"> broadband access providers use both technologies (depending on the operators’ network architecture). In terms of the number of active lines (connections) the most important providers of </w:t>
      </w:r>
      <w:r w:rsidR="00592449">
        <w:rPr>
          <w:rFonts w:eastAsia="Times New Roman" w:cs="Arial"/>
          <w:sz w:val="24"/>
          <w:szCs w:val="24"/>
          <w:lang w:val="en-GB"/>
        </w:rPr>
        <w:t>FTTx</w:t>
      </w:r>
      <w:r w:rsidRPr="00BC1ABD">
        <w:rPr>
          <w:rFonts w:eastAsia="Times New Roman" w:cs="Arial"/>
          <w:sz w:val="24"/>
          <w:szCs w:val="24"/>
          <w:lang w:val="en-GB"/>
        </w:rPr>
        <w:t xml:space="preserve"> access in Georgia are as follows:</w:t>
      </w:r>
    </w:p>
    <w:p w14:paraId="30913118" w14:textId="35E8507C" w:rsidR="009F5BF2" w:rsidRPr="00BC1ABD"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Magticom</w:t>
      </w:r>
      <w:r w:rsidR="00455B23">
        <w:rPr>
          <w:rFonts w:eastAsia="Times New Roman" w:cs="Arial"/>
          <w:sz w:val="24"/>
          <w:szCs w:val="24"/>
          <w:lang w:val="en-GB"/>
        </w:rPr>
        <w:t>;</w:t>
      </w:r>
      <w:r w:rsidRPr="00BC1ABD">
        <w:rPr>
          <w:rFonts w:eastAsia="Times New Roman" w:cs="Arial"/>
          <w:sz w:val="24"/>
          <w:szCs w:val="24"/>
          <w:lang w:val="en-GB"/>
        </w:rPr>
        <w:t xml:space="preserve"> </w:t>
      </w:r>
    </w:p>
    <w:p w14:paraId="4D15239C" w14:textId="4C786449" w:rsidR="009F5BF2" w:rsidRPr="00BC1ABD"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Silknet</w:t>
      </w:r>
      <w:r w:rsidR="00455B23">
        <w:rPr>
          <w:rFonts w:eastAsia="Times New Roman" w:cs="Arial"/>
          <w:sz w:val="24"/>
          <w:szCs w:val="24"/>
          <w:lang w:val="en-GB"/>
        </w:rPr>
        <w:t>;</w:t>
      </w:r>
    </w:p>
    <w:p w14:paraId="3F03F2DC" w14:textId="547B75D1" w:rsidR="009F5BF2" w:rsidRPr="00BC1ABD" w:rsidRDefault="001A02CA" w:rsidP="009F5BF2">
      <w:pPr>
        <w:numPr>
          <w:ilvl w:val="0"/>
          <w:numId w:val="67"/>
        </w:numPr>
        <w:contextualSpacing/>
        <w:jc w:val="both"/>
        <w:rPr>
          <w:rFonts w:eastAsia="Times New Roman" w:cs="Arial"/>
          <w:sz w:val="24"/>
          <w:szCs w:val="24"/>
          <w:lang w:val="en-GB"/>
        </w:rPr>
      </w:pPr>
      <w:r>
        <w:rPr>
          <w:rFonts w:eastAsia="Times New Roman" w:cs="Arial"/>
          <w:sz w:val="24"/>
          <w:szCs w:val="24"/>
          <w:lang w:val="en-GB"/>
        </w:rPr>
        <w:t>Akhali Kselebi (New Net)</w:t>
      </w:r>
      <w:r w:rsidR="00455B23">
        <w:rPr>
          <w:rFonts w:eastAsia="Times New Roman" w:cs="Arial"/>
          <w:sz w:val="24"/>
          <w:szCs w:val="24"/>
          <w:lang w:val="en-GB"/>
        </w:rPr>
        <w:t>;</w:t>
      </w:r>
      <w:r w:rsidR="009F5BF2" w:rsidRPr="00BC1ABD">
        <w:rPr>
          <w:rFonts w:eastAsia="Times New Roman" w:cs="Arial"/>
          <w:sz w:val="24"/>
          <w:szCs w:val="24"/>
          <w:lang w:val="en-GB"/>
        </w:rPr>
        <w:t xml:space="preserve"> </w:t>
      </w:r>
    </w:p>
    <w:p w14:paraId="1588BDF0" w14:textId="77777777" w:rsidR="009F5BF2" w:rsidRPr="00BC1ABD"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Skytel.</w:t>
      </w:r>
    </w:p>
    <w:p w14:paraId="39EB55C3" w14:textId="4AD3E001"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These providers have developed their own independent </w:t>
      </w:r>
      <w:r w:rsidR="00592449">
        <w:rPr>
          <w:rFonts w:eastAsia="Times New Roman" w:cs="Arial"/>
          <w:sz w:val="24"/>
          <w:szCs w:val="24"/>
          <w:lang w:val="en-GB"/>
        </w:rPr>
        <w:t>FTTx</w:t>
      </w:r>
      <w:r w:rsidRPr="00BC1ABD">
        <w:rPr>
          <w:rFonts w:eastAsia="Times New Roman" w:cs="Arial"/>
          <w:sz w:val="24"/>
          <w:szCs w:val="24"/>
          <w:lang w:val="en-GB"/>
        </w:rPr>
        <w:t xml:space="preserve"> networks without using any form of </w:t>
      </w:r>
      <w:r w:rsidR="00592449">
        <w:rPr>
          <w:rFonts w:eastAsia="Times New Roman" w:cs="Arial"/>
          <w:sz w:val="24"/>
          <w:szCs w:val="24"/>
          <w:lang w:val="en-GB"/>
        </w:rPr>
        <w:t>FTTx</w:t>
      </w:r>
      <w:r w:rsidRPr="00BC1ABD">
        <w:rPr>
          <w:rFonts w:eastAsia="Times New Roman" w:cs="Arial"/>
          <w:sz w:val="24"/>
          <w:szCs w:val="24"/>
          <w:lang w:val="en-GB"/>
        </w:rPr>
        <w:t xml:space="preserve"> wholesale access from their competitors. Coverage details of the four main </w:t>
      </w:r>
      <w:r w:rsidR="00592449">
        <w:rPr>
          <w:rFonts w:eastAsia="Times New Roman" w:cs="Arial"/>
          <w:sz w:val="24"/>
          <w:szCs w:val="24"/>
          <w:lang w:val="en-GB"/>
        </w:rPr>
        <w:t>FTTx</w:t>
      </w:r>
      <w:r w:rsidRPr="00BC1ABD">
        <w:rPr>
          <w:rFonts w:eastAsia="Times New Roman" w:cs="Arial"/>
          <w:sz w:val="24"/>
          <w:szCs w:val="24"/>
          <w:lang w:val="en-GB"/>
        </w:rPr>
        <w:t xml:space="preserve"> providers are given in Figure </w:t>
      </w:r>
      <w:r w:rsidR="00B746EC">
        <w:rPr>
          <w:rFonts w:eastAsia="Times New Roman" w:cs="Arial"/>
          <w:sz w:val="24"/>
          <w:szCs w:val="24"/>
          <w:lang w:val="en-GB"/>
        </w:rPr>
        <w:t>36</w:t>
      </w:r>
      <w:r w:rsidRPr="00BC1ABD">
        <w:rPr>
          <w:rFonts w:eastAsia="Times New Roman" w:cs="Arial"/>
          <w:sz w:val="24"/>
          <w:szCs w:val="24"/>
          <w:lang w:val="en-GB"/>
        </w:rPr>
        <w:t>.</w:t>
      </w:r>
    </w:p>
    <w:p w14:paraId="1445EED0" w14:textId="3D455C09"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According to the analysis of the existing offers to residential customers (see Figures </w:t>
      </w:r>
      <w:r w:rsidR="00AE1FAE">
        <w:rPr>
          <w:rFonts w:eastAsia="Times New Roman" w:cs="Arial"/>
          <w:sz w:val="24"/>
          <w:szCs w:val="24"/>
          <w:lang w:val="en-GB"/>
        </w:rPr>
        <w:t>28</w:t>
      </w:r>
      <w:r w:rsidRPr="00BC1ABD">
        <w:rPr>
          <w:rFonts w:eastAsia="Times New Roman" w:cs="Arial"/>
          <w:sz w:val="24"/>
          <w:szCs w:val="24"/>
          <w:lang w:val="en-GB"/>
        </w:rPr>
        <w:t xml:space="preserve"> and </w:t>
      </w:r>
      <w:r w:rsidR="00AE1FAE">
        <w:rPr>
          <w:rFonts w:eastAsia="Times New Roman" w:cs="Arial"/>
          <w:sz w:val="24"/>
          <w:szCs w:val="24"/>
          <w:lang w:val="en-GB"/>
        </w:rPr>
        <w:t>29</w:t>
      </w:r>
      <w:r w:rsidRPr="00BC1ABD">
        <w:rPr>
          <w:rFonts w:eastAsia="Times New Roman" w:cs="Arial"/>
          <w:sz w:val="24"/>
          <w:szCs w:val="24"/>
          <w:lang w:val="en-GB"/>
        </w:rPr>
        <w:t xml:space="preserve">) all these operators provide fixed broadband access via </w:t>
      </w:r>
      <w:r w:rsidR="00592449">
        <w:rPr>
          <w:rFonts w:eastAsia="Times New Roman" w:cs="Arial"/>
          <w:sz w:val="24"/>
          <w:szCs w:val="24"/>
          <w:lang w:val="en-GB"/>
        </w:rPr>
        <w:t>FTTx</w:t>
      </w:r>
      <w:r w:rsidRPr="00BC1ABD">
        <w:rPr>
          <w:rFonts w:eastAsia="Times New Roman" w:cs="Arial"/>
          <w:sz w:val="24"/>
          <w:szCs w:val="24"/>
          <w:lang w:val="en-GB"/>
        </w:rPr>
        <w:t xml:space="preserve">. These offers are without any data usage limitations. The service is a ‘flat rate offer’ to customers with unlimited data usage. In other words, there is no additional payment to the advertised monthly fee, no matter how much data the end user has used/ downloaded during each month. All the operators also offer pre-paid fixed broadband access services to residential end users. </w:t>
      </w:r>
    </w:p>
    <w:p w14:paraId="59E7544A" w14:textId="28E897C4"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The prices of the offers from different </w:t>
      </w:r>
      <w:r w:rsidR="00592449">
        <w:rPr>
          <w:rFonts w:eastAsia="Times New Roman" w:cs="Arial"/>
          <w:sz w:val="24"/>
          <w:szCs w:val="24"/>
          <w:lang w:val="en-GB"/>
        </w:rPr>
        <w:t>FTTx</w:t>
      </w:r>
      <w:r w:rsidRPr="00BC1ABD">
        <w:rPr>
          <w:rFonts w:eastAsia="Times New Roman" w:cs="Arial"/>
          <w:sz w:val="24"/>
          <w:szCs w:val="24"/>
          <w:lang w:val="en-GB"/>
        </w:rPr>
        <w:t xml:space="preserve"> providers differ and are based on:</w:t>
      </w:r>
    </w:p>
    <w:p w14:paraId="1A99739A" w14:textId="7E131384" w:rsidR="009F5BF2" w:rsidRPr="00BC1ABD" w:rsidRDefault="009F5BF2" w:rsidP="009F5BF2">
      <w:pPr>
        <w:numPr>
          <w:ilvl w:val="0"/>
          <w:numId w:val="68"/>
        </w:numPr>
        <w:contextualSpacing/>
        <w:jc w:val="both"/>
        <w:rPr>
          <w:rFonts w:eastAsia="Times New Roman" w:cs="Arial"/>
          <w:sz w:val="24"/>
          <w:szCs w:val="24"/>
          <w:lang w:val="en-GB"/>
        </w:rPr>
      </w:pPr>
      <w:r w:rsidRPr="00BC1ABD">
        <w:rPr>
          <w:rFonts w:eastAsia="Times New Roman" w:cs="Arial"/>
          <w:sz w:val="24"/>
          <w:szCs w:val="24"/>
          <w:lang w:val="en-GB"/>
        </w:rPr>
        <w:t xml:space="preserve">The regions where the </w:t>
      </w:r>
      <w:r w:rsidR="00592449">
        <w:rPr>
          <w:rFonts w:eastAsia="Times New Roman" w:cs="Arial"/>
          <w:sz w:val="24"/>
          <w:szCs w:val="24"/>
          <w:lang w:val="en-GB"/>
        </w:rPr>
        <w:t>FTTx</w:t>
      </w:r>
      <w:r w:rsidRPr="00BC1ABD">
        <w:rPr>
          <w:rFonts w:eastAsia="Times New Roman" w:cs="Arial"/>
          <w:sz w:val="24"/>
          <w:szCs w:val="24"/>
          <w:lang w:val="en-GB"/>
        </w:rPr>
        <w:t xml:space="preserve"> service is provided (service in Tbilisi is in some cases offered at a different price than elsewhere in Georgia – see Figures </w:t>
      </w:r>
      <w:r w:rsidR="000570C4">
        <w:rPr>
          <w:rFonts w:eastAsia="Times New Roman" w:cs="Arial"/>
          <w:sz w:val="24"/>
          <w:szCs w:val="24"/>
          <w:lang w:val="en-GB"/>
        </w:rPr>
        <w:t>30</w:t>
      </w:r>
      <w:r w:rsidRPr="00BC1ABD">
        <w:rPr>
          <w:rFonts w:eastAsia="Times New Roman" w:cs="Arial"/>
          <w:sz w:val="24"/>
          <w:szCs w:val="24"/>
          <w:lang w:val="en-GB"/>
        </w:rPr>
        <w:t xml:space="preserve"> and </w:t>
      </w:r>
      <w:r w:rsidR="000570C4">
        <w:rPr>
          <w:rFonts w:eastAsia="Times New Roman" w:cs="Arial"/>
          <w:sz w:val="24"/>
          <w:szCs w:val="24"/>
          <w:lang w:val="en-GB"/>
        </w:rPr>
        <w:t>31</w:t>
      </w:r>
      <w:r w:rsidRPr="00BC1ABD">
        <w:rPr>
          <w:rFonts w:eastAsia="Times New Roman" w:cs="Arial"/>
          <w:sz w:val="24"/>
          <w:szCs w:val="24"/>
          <w:lang w:val="en-GB"/>
        </w:rPr>
        <w:t>) and</w:t>
      </w:r>
    </w:p>
    <w:p w14:paraId="0BF490D2" w14:textId="77777777" w:rsidR="009F5BF2" w:rsidRPr="00BC1ABD" w:rsidRDefault="009F5BF2" w:rsidP="009F5BF2">
      <w:pPr>
        <w:numPr>
          <w:ilvl w:val="0"/>
          <w:numId w:val="68"/>
        </w:numPr>
        <w:contextualSpacing/>
        <w:jc w:val="both"/>
        <w:rPr>
          <w:rFonts w:eastAsia="Times New Roman" w:cs="Arial"/>
          <w:sz w:val="24"/>
          <w:szCs w:val="24"/>
          <w:lang w:val="en-GB"/>
        </w:rPr>
      </w:pPr>
      <w:r w:rsidRPr="00BC1ABD">
        <w:rPr>
          <w:rFonts w:eastAsia="Times New Roman" w:cs="Arial"/>
          <w:sz w:val="24"/>
          <w:szCs w:val="24"/>
          <w:lang w:val="en-GB"/>
        </w:rPr>
        <w:t>The type of the end users (residential or business). The type of service is the same but it is offered at a higher price to businesses than to residential customers.</w:t>
      </w:r>
    </w:p>
    <w:p w14:paraId="406492C5" w14:textId="0FE3835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Retail prices for fixed broadband service depend on the advertised package (flat rate, bundles, pre-paid). The </w:t>
      </w:r>
      <w:r w:rsidR="00592449">
        <w:rPr>
          <w:rFonts w:eastAsia="Times New Roman" w:cs="Arial"/>
          <w:sz w:val="24"/>
          <w:szCs w:val="24"/>
          <w:lang w:val="en-GB"/>
        </w:rPr>
        <w:t>FTTx</w:t>
      </w:r>
      <w:r w:rsidRPr="00BC1ABD">
        <w:rPr>
          <w:rFonts w:eastAsia="Times New Roman" w:cs="Arial"/>
          <w:sz w:val="24"/>
          <w:szCs w:val="24"/>
          <w:lang w:val="en-GB"/>
        </w:rPr>
        <w:t xml:space="preserve"> offers from different operators are largely comparable, especially for the speeds up to 40 Mbps. Figure </w:t>
      </w:r>
      <w:r w:rsidR="00DE7F93">
        <w:rPr>
          <w:rFonts w:eastAsia="Times New Roman" w:cs="Arial"/>
          <w:sz w:val="24"/>
          <w:szCs w:val="24"/>
          <w:lang w:val="en-GB"/>
        </w:rPr>
        <w:t xml:space="preserve">30 </w:t>
      </w:r>
      <w:r w:rsidRPr="00BC1ABD">
        <w:rPr>
          <w:rFonts w:eastAsia="Times New Roman" w:cs="Arial"/>
          <w:sz w:val="24"/>
          <w:szCs w:val="24"/>
          <w:lang w:val="en-GB"/>
        </w:rPr>
        <w:t xml:space="preserve">shows the speeds and prices of comparable packages offered by the largest Georgian </w:t>
      </w:r>
      <w:r w:rsidR="00592449">
        <w:rPr>
          <w:rFonts w:eastAsia="Times New Roman" w:cs="Arial"/>
          <w:sz w:val="24"/>
          <w:szCs w:val="24"/>
          <w:lang w:val="en-GB"/>
        </w:rPr>
        <w:t>FTTx</w:t>
      </w:r>
      <w:r w:rsidRPr="00BC1ABD">
        <w:rPr>
          <w:rFonts w:eastAsia="Times New Roman" w:cs="Arial"/>
          <w:sz w:val="24"/>
          <w:szCs w:val="24"/>
          <w:lang w:val="en-GB"/>
        </w:rPr>
        <w:t xml:space="preserve"> operators in Tbilisi and Figure </w:t>
      </w:r>
      <w:r w:rsidR="00DE7F93">
        <w:rPr>
          <w:rFonts w:eastAsia="Times New Roman" w:cs="Arial"/>
          <w:sz w:val="24"/>
          <w:szCs w:val="24"/>
          <w:lang w:val="en-GB"/>
        </w:rPr>
        <w:t>31</w:t>
      </w:r>
      <w:r w:rsidRPr="00BC1ABD">
        <w:rPr>
          <w:rFonts w:eastAsia="Times New Roman" w:cs="Arial"/>
          <w:sz w:val="24"/>
          <w:szCs w:val="24"/>
          <w:lang w:val="en-GB"/>
        </w:rPr>
        <w:t xml:space="preserve"> shows the prices for offers made outside Tbilisi.</w:t>
      </w:r>
    </w:p>
    <w:p w14:paraId="4497A243" w14:textId="77777777" w:rsidR="00723DBC" w:rsidRDefault="00723DBC" w:rsidP="009F5BF2">
      <w:pPr>
        <w:spacing w:line="240" w:lineRule="auto"/>
        <w:jc w:val="center"/>
        <w:rPr>
          <w:rFonts w:asciiTheme="minorHAnsi" w:eastAsia="Times New Roman" w:hAnsiTheme="minorHAnsi"/>
          <w:i/>
          <w:iCs/>
          <w:color w:val="44546A" w:themeColor="text2"/>
          <w:sz w:val="20"/>
          <w:szCs w:val="20"/>
          <w:lang w:val="en-GB"/>
        </w:rPr>
      </w:pPr>
      <w:bookmarkStart w:id="147" w:name="_Toc141200270"/>
    </w:p>
    <w:p w14:paraId="6D5F582B" w14:textId="70E96369" w:rsidR="009F5BF2" w:rsidRPr="00BC1ABD" w:rsidRDefault="009F5BF2" w:rsidP="009F5BF2">
      <w:pPr>
        <w:spacing w:line="240" w:lineRule="auto"/>
        <w:jc w:val="center"/>
        <w:rPr>
          <w:rFonts w:asciiTheme="minorHAnsi" w:eastAsia="Times New Roman" w:hAnsiTheme="minorHAnsi"/>
          <w:i/>
          <w:iCs/>
          <w:color w:val="44546A" w:themeColor="text2"/>
          <w:sz w:val="20"/>
          <w:szCs w:val="20"/>
          <w:lang w:val="en-GB"/>
        </w:rPr>
      </w:pPr>
      <w:bookmarkStart w:id="148" w:name="_Toc152931381"/>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30</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broadband access prices per speed (in Tbilisi)</w:t>
      </w:r>
      <w:bookmarkEnd w:id="147"/>
      <w:bookmarkEnd w:id="148"/>
    </w:p>
    <w:tbl>
      <w:tblPr>
        <w:tblW w:w="6820" w:type="dxa"/>
        <w:jc w:val="center"/>
        <w:tblLook w:val="04A0" w:firstRow="1" w:lastRow="0" w:firstColumn="1" w:lastColumn="0" w:noHBand="0" w:noVBand="1"/>
      </w:tblPr>
      <w:tblGrid>
        <w:gridCol w:w="2479"/>
        <w:gridCol w:w="1065"/>
        <w:gridCol w:w="1134"/>
        <w:gridCol w:w="1134"/>
        <w:gridCol w:w="1008"/>
      </w:tblGrid>
      <w:tr w:rsidR="009F5BF2" w:rsidRPr="00355738" w14:paraId="3FE4F4AE" w14:textId="77777777" w:rsidTr="00E95C58">
        <w:trPr>
          <w:trHeight w:val="255"/>
          <w:jc w:val="center"/>
        </w:trPr>
        <w:tc>
          <w:tcPr>
            <w:tcW w:w="6820" w:type="dxa"/>
            <w:gridSpan w:val="5"/>
            <w:tcBorders>
              <w:top w:val="nil"/>
              <w:left w:val="nil"/>
              <w:bottom w:val="single" w:sz="4" w:space="0" w:color="auto"/>
              <w:right w:val="nil"/>
            </w:tcBorders>
            <w:noWrap/>
            <w:vAlign w:val="bottom"/>
            <w:hideMark/>
          </w:tcPr>
          <w:p w14:paraId="7DC66A32" w14:textId="09B89EFD" w:rsidR="009F5BF2" w:rsidRPr="00BC1ABD" w:rsidRDefault="00592449" w:rsidP="009F5BF2">
            <w:pPr>
              <w:spacing w:after="0" w:line="240" w:lineRule="auto"/>
              <w:jc w:val="center"/>
              <w:rPr>
                <w:rFonts w:eastAsia="Times New Roman" w:cs="Calibri"/>
                <w:b/>
                <w:bCs/>
                <w:color w:val="000000"/>
                <w:sz w:val="20"/>
                <w:szCs w:val="20"/>
                <w:lang w:val="en-GB" w:eastAsia="hr-HR"/>
              </w:rPr>
            </w:pPr>
            <w:bookmarkStart w:id="149" w:name="_Hlk128229490"/>
            <w:r>
              <w:rPr>
                <w:rFonts w:eastAsia="Times New Roman" w:cs="Calibri"/>
                <w:b/>
                <w:bCs/>
                <w:color w:val="000000"/>
                <w:sz w:val="20"/>
                <w:szCs w:val="20"/>
                <w:lang w:val="en-GB" w:eastAsia="hr-HR"/>
              </w:rPr>
              <w:t>FTTx</w:t>
            </w:r>
            <w:r w:rsidR="009F5BF2" w:rsidRPr="00BC1ABD">
              <w:rPr>
                <w:rFonts w:eastAsia="Times New Roman" w:cs="Calibri"/>
                <w:b/>
                <w:bCs/>
                <w:color w:val="000000"/>
                <w:sz w:val="20"/>
                <w:szCs w:val="20"/>
                <w:lang w:val="en-GB" w:eastAsia="hr-HR"/>
              </w:rPr>
              <w:t xml:space="preserve"> prices in GEL per month</w:t>
            </w:r>
          </w:p>
        </w:tc>
      </w:tr>
      <w:tr w:rsidR="009F5BF2" w:rsidRPr="00BC1ABD" w14:paraId="485A0620" w14:textId="77777777" w:rsidTr="00E95C58">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4D8B7C12" w14:textId="77777777" w:rsidR="009F5BF2" w:rsidRPr="00BC1ABD" w:rsidRDefault="009F5BF2" w:rsidP="009F5BF2">
            <w:pPr>
              <w:spacing w:after="0" w:line="240" w:lineRule="auto"/>
              <w:rPr>
                <w:rFonts w:eastAsia="Times New Roman" w:cs="Calibri"/>
                <w:b/>
                <w:bCs/>
                <w:color w:val="000000"/>
                <w:sz w:val="20"/>
                <w:szCs w:val="20"/>
                <w:lang w:val="en-GB" w:eastAsia="hr-HR"/>
              </w:rPr>
            </w:pPr>
          </w:p>
        </w:tc>
        <w:tc>
          <w:tcPr>
            <w:tcW w:w="1065" w:type="dxa"/>
            <w:tcBorders>
              <w:top w:val="nil"/>
              <w:left w:val="nil"/>
              <w:bottom w:val="double" w:sz="6" w:space="0" w:color="auto"/>
              <w:right w:val="single" w:sz="4" w:space="0" w:color="auto"/>
            </w:tcBorders>
            <w:shd w:val="clear" w:color="000000" w:fill="D0CECE"/>
            <w:noWrap/>
            <w:vAlign w:val="center"/>
            <w:hideMark/>
          </w:tcPr>
          <w:p w14:paraId="7B23959A"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Magticom</w:t>
            </w:r>
          </w:p>
        </w:tc>
        <w:tc>
          <w:tcPr>
            <w:tcW w:w="1134" w:type="dxa"/>
            <w:tcBorders>
              <w:top w:val="nil"/>
              <w:left w:val="nil"/>
              <w:bottom w:val="double" w:sz="6" w:space="0" w:color="auto"/>
              <w:right w:val="single" w:sz="4" w:space="0" w:color="auto"/>
            </w:tcBorders>
            <w:shd w:val="clear" w:color="000000" w:fill="D0CECE"/>
            <w:noWrap/>
            <w:vAlign w:val="center"/>
            <w:hideMark/>
          </w:tcPr>
          <w:p w14:paraId="1F2F37B3"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Silknet</w:t>
            </w:r>
          </w:p>
        </w:tc>
        <w:tc>
          <w:tcPr>
            <w:tcW w:w="1134" w:type="dxa"/>
            <w:tcBorders>
              <w:top w:val="nil"/>
              <w:left w:val="nil"/>
              <w:bottom w:val="double" w:sz="6" w:space="0" w:color="auto"/>
              <w:right w:val="single" w:sz="4" w:space="0" w:color="auto"/>
            </w:tcBorders>
            <w:shd w:val="clear" w:color="000000" w:fill="D0CECE"/>
            <w:noWrap/>
            <w:vAlign w:val="center"/>
            <w:hideMark/>
          </w:tcPr>
          <w:p w14:paraId="71788027"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New Net</w:t>
            </w:r>
          </w:p>
        </w:tc>
        <w:tc>
          <w:tcPr>
            <w:tcW w:w="1008" w:type="dxa"/>
            <w:tcBorders>
              <w:top w:val="nil"/>
              <w:left w:val="nil"/>
              <w:bottom w:val="double" w:sz="6" w:space="0" w:color="auto"/>
              <w:right w:val="single" w:sz="4" w:space="0" w:color="auto"/>
            </w:tcBorders>
            <w:shd w:val="clear" w:color="000000" w:fill="D0CECE"/>
            <w:noWrap/>
            <w:vAlign w:val="center"/>
            <w:hideMark/>
          </w:tcPr>
          <w:p w14:paraId="36D945DD"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Skytel</w:t>
            </w:r>
          </w:p>
        </w:tc>
      </w:tr>
      <w:tr w:rsidR="009F5BF2" w:rsidRPr="00BC1ABD" w14:paraId="6669E631" w14:textId="77777777" w:rsidTr="00E95C58">
        <w:trPr>
          <w:trHeight w:val="270"/>
          <w:jc w:val="center"/>
        </w:trPr>
        <w:tc>
          <w:tcPr>
            <w:tcW w:w="2479" w:type="dxa"/>
            <w:tcBorders>
              <w:top w:val="nil"/>
              <w:left w:val="single" w:sz="4" w:space="0" w:color="auto"/>
              <w:bottom w:val="single" w:sz="4" w:space="0" w:color="auto"/>
              <w:right w:val="single" w:sz="4" w:space="0" w:color="auto"/>
            </w:tcBorders>
            <w:noWrap/>
            <w:vAlign w:val="bottom"/>
            <w:hideMark/>
          </w:tcPr>
          <w:p w14:paraId="40A9E77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20Mbps</w:t>
            </w:r>
          </w:p>
        </w:tc>
        <w:tc>
          <w:tcPr>
            <w:tcW w:w="1065" w:type="dxa"/>
            <w:tcBorders>
              <w:top w:val="nil"/>
              <w:left w:val="nil"/>
              <w:bottom w:val="single" w:sz="4" w:space="0" w:color="auto"/>
              <w:right w:val="single" w:sz="4" w:space="0" w:color="auto"/>
            </w:tcBorders>
            <w:noWrap/>
            <w:vAlign w:val="bottom"/>
            <w:hideMark/>
          </w:tcPr>
          <w:p w14:paraId="5121CB5F"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1883E11E"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165FFB11"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7B2F735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w:t>
            </w:r>
          </w:p>
        </w:tc>
      </w:tr>
      <w:tr w:rsidR="009F5BF2" w:rsidRPr="00BC1ABD" w14:paraId="6BBB9B2A"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07B0C82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25Mbps</w:t>
            </w:r>
          </w:p>
        </w:tc>
        <w:tc>
          <w:tcPr>
            <w:tcW w:w="1065" w:type="dxa"/>
            <w:tcBorders>
              <w:top w:val="nil"/>
              <w:left w:val="nil"/>
              <w:bottom w:val="single" w:sz="4" w:space="0" w:color="auto"/>
              <w:right w:val="single" w:sz="4" w:space="0" w:color="auto"/>
            </w:tcBorders>
            <w:noWrap/>
            <w:vAlign w:val="bottom"/>
            <w:hideMark/>
          </w:tcPr>
          <w:p w14:paraId="23FC7982"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7CE402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134" w:type="dxa"/>
            <w:tcBorders>
              <w:top w:val="nil"/>
              <w:left w:val="nil"/>
              <w:bottom w:val="single" w:sz="4" w:space="0" w:color="auto"/>
              <w:right w:val="single" w:sz="4" w:space="0" w:color="auto"/>
            </w:tcBorders>
            <w:noWrap/>
            <w:vAlign w:val="bottom"/>
            <w:hideMark/>
          </w:tcPr>
          <w:p w14:paraId="2E80D0EC"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1EDBA7A8"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2798FF98"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73C90D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30Mbps</w:t>
            </w:r>
          </w:p>
        </w:tc>
        <w:tc>
          <w:tcPr>
            <w:tcW w:w="1065" w:type="dxa"/>
            <w:tcBorders>
              <w:top w:val="nil"/>
              <w:left w:val="nil"/>
              <w:bottom w:val="single" w:sz="4" w:space="0" w:color="auto"/>
              <w:right w:val="single" w:sz="4" w:space="0" w:color="auto"/>
            </w:tcBorders>
            <w:noWrap/>
            <w:vAlign w:val="bottom"/>
            <w:hideMark/>
          </w:tcPr>
          <w:p w14:paraId="098E832C"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37</w:t>
            </w:r>
          </w:p>
        </w:tc>
        <w:tc>
          <w:tcPr>
            <w:tcW w:w="1134" w:type="dxa"/>
            <w:tcBorders>
              <w:top w:val="nil"/>
              <w:left w:val="nil"/>
              <w:bottom w:val="single" w:sz="4" w:space="0" w:color="auto"/>
              <w:right w:val="single" w:sz="4" w:space="0" w:color="auto"/>
            </w:tcBorders>
            <w:noWrap/>
            <w:vAlign w:val="bottom"/>
            <w:hideMark/>
          </w:tcPr>
          <w:p w14:paraId="3B4ADF63"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4268BFD7"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c>
          <w:tcPr>
            <w:tcW w:w="1008" w:type="dxa"/>
            <w:tcBorders>
              <w:top w:val="nil"/>
              <w:left w:val="nil"/>
              <w:bottom w:val="single" w:sz="4" w:space="0" w:color="auto"/>
              <w:right w:val="single" w:sz="4" w:space="0" w:color="auto"/>
            </w:tcBorders>
            <w:noWrap/>
            <w:vAlign w:val="bottom"/>
            <w:hideMark/>
          </w:tcPr>
          <w:p w14:paraId="4794840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w:t>
            </w:r>
          </w:p>
        </w:tc>
      </w:tr>
      <w:tr w:rsidR="009F5BF2" w:rsidRPr="00BC1ABD" w14:paraId="338338F4"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33922CE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35Mbps</w:t>
            </w:r>
          </w:p>
        </w:tc>
        <w:tc>
          <w:tcPr>
            <w:tcW w:w="1065" w:type="dxa"/>
            <w:tcBorders>
              <w:top w:val="nil"/>
              <w:left w:val="nil"/>
              <w:bottom w:val="single" w:sz="4" w:space="0" w:color="auto"/>
              <w:right w:val="single" w:sz="4" w:space="0" w:color="auto"/>
            </w:tcBorders>
            <w:noWrap/>
            <w:vAlign w:val="bottom"/>
            <w:hideMark/>
          </w:tcPr>
          <w:p w14:paraId="09D18D16"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471E3F7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c>
          <w:tcPr>
            <w:tcW w:w="1134" w:type="dxa"/>
            <w:tcBorders>
              <w:top w:val="nil"/>
              <w:left w:val="nil"/>
              <w:bottom w:val="single" w:sz="4" w:space="0" w:color="auto"/>
              <w:right w:val="single" w:sz="4" w:space="0" w:color="auto"/>
            </w:tcBorders>
            <w:noWrap/>
            <w:vAlign w:val="bottom"/>
            <w:hideMark/>
          </w:tcPr>
          <w:p w14:paraId="6E74793C"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055BF2EE"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5591EFCA"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4C2CADB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40Mbps</w:t>
            </w:r>
          </w:p>
        </w:tc>
        <w:tc>
          <w:tcPr>
            <w:tcW w:w="1065" w:type="dxa"/>
            <w:tcBorders>
              <w:top w:val="nil"/>
              <w:left w:val="nil"/>
              <w:bottom w:val="single" w:sz="4" w:space="0" w:color="auto"/>
              <w:right w:val="single" w:sz="4" w:space="0" w:color="auto"/>
            </w:tcBorders>
            <w:noWrap/>
            <w:vAlign w:val="bottom"/>
            <w:hideMark/>
          </w:tcPr>
          <w:p w14:paraId="69117E2D"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5F227ABC"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48CB57D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008" w:type="dxa"/>
            <w:tcBorders>
              <w:top w:val="nil"/>
              <w:left w:val="nil"/>
              <w:bottom w:val="single" w:sz="4" w:space="0" w:color="auto"/>
              <w:right w:val="single" w:sz="4" w:space="0" w:color="auto"/>
            </w:tcBorders>
            <w:noWrap/>
            <w:vAlign w:val="bottom"/>
            <w:hideMark/>
          </w:tcPr>
          <w:p w14:paraId="3BF588E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r>
      <w:tr w:rsidR="009F5BF2" w:rsidRPr="00BC1ABD" w14:paraId="4802233F"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5AA90B7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50Mbps</w:t>
            </w:r>
          </w:p>
        </w:tc>
        <w:tc>
          <w:tcPr>
            <w:tcW w:w="1065" w:type="dxa"/>
            <w:tcBorders>
              <w:top w:val="nil"/>
              <w:left w:val="nil"/>
              <w:bottom w:val="single" w:sz="4" w:space="0" w:color="auto"/>
              <w:right w:val="single" w:sz="4" w:space="0" w:color="auto"/>
            </w:tcBorders>
            <w:noWrap/>
            <w:vAlign w:val="bottom"/>
            <w:hideMark/>
          </w:tcPr>
          <w:p w14:paraId="2229FACC"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3F8735C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4127130C"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008" w:type="dxa"/>
            <w:tcBorders>
              <w:top w:val="nil"/>
              <w:left w:val="nil"/>
              <w:bottom w:val="single" w:sz="4" w:space="0" w:color="auto"/>
              <w:right w:val="single" w:sz="4" w:space="0" w:color="auto"/>
            </w:tcBorders>
            <w:noWrap/>
            <w:vAlign w:val="bottom"/>
            <w:hideMark/>
          </w:tcPr>
          <w:p w14:paraId="1312819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r>
      <w:tr w:rsidR="009F5BF2" w:rsidRPr="00BC1ABD" w14:paraId="760ACC81"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50EF3D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70Mbps</w:t>
            </w:r>
          </w:p>
        </w:tc>
        <w:tc>
          <w:tcPr>
            <w:tcW w:w="1065" w:type="dxa"/>
            <w:tcBorders>
              <w:top w:val="nil"/>
              <w:left w:val="nil"/>
              <w:bottom w:val="single" w:sz="4" w:space="0" w:color="auto"/>
              <w:right w:val="single" w:sz="4" w:space="0" w:color="auto"/>
            </w:tcBorders>
            <w:noWrap/>
            <w:vAlign w:val="bottom"/>
            <w:hideMark/>
          </w:tcPr>
          <w:p w14:paraId="79AE462A"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DC6B424"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3AF99EB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w:t>
            </w:r>
          </w:p>
        </w:tc>
        <w:tc>
          <w:tcPr>
            <w:tcW w:w="1008" w:type="dxa"/>
            <w:tcBorders>
              <w:top w:val="nil"/>
              <w:left w:val="nil"/>
              <w:bottom w:val="single" w:sz="4" w:space="0" w:color="auto"/>
              <w:right w:val="single" w:sz="4" w:space="0" w:color="auto"/>
            </w:tcBorders>
            <w:noWrap/>
            <w:vAlign w:val="bottom"/>
            <w:hideMark/>
          </w:tcPr>
          <w:p w14:paraId="154AEA4A"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6AE13D89"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75476D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100Mbps</w:t>
            </w:r>
          </w:p>
        </w:tc>
        <w:tc>
          <w:tcPr>
            <w:tcW w:w="1065" w:type="dxa"/>
            <w:tcBorders>
              <w:top w:val="nil"/>
              <w:left w:val="nil"/>
              <w:bottom w:val="single" w:sz="4" w:space="0" w:color="auto"/>
              <w:right w:val="single" w:sz="4" w:space="0" w:color="auto"/>
            </w:tcBorders>
            <w:noWrap/>
            <w:vAlign w:val="bottom"/>
            <w:hideMark/>
          </w:tcPr>
          <w:p w14:paraId="1E5FC0E4"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5A77B9C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3E1FD88C"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008" w:type="dxa"/>
            <w:tcBorders>
              <w:top w:val="nil"/>
              <w:left w:val="nil"/>
              <w:bottom w:val="single" w:sz="4" w:space="0" w:color="auto"/>
              <w:right w:val="single" w:sz="4" w:space="0" w:color="auto"/>
            </w:tcBorders>
            <w:noWrap/>
            <w:vAlign w:val="bottom"/>
            <w:hideMark/>
          </w:tcPr>
          <w:p w14:paraId="66C33BFD"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bl>
    <w:bookmarkEnd w:id="149"/>
    <w:p w14:paraId="27F8B608" w14:textId="38DC6C55" w:rsidR="009F5BF2" w:rsidRPr="00C10323" w:rsidRDefault="009F5BF2" w:rsidP="00C10323">
      <w:pPr>
        <w:spacing w:before="240"/>
        <w:jc w:val="center"/>
        <w:rPr>
          <w:rFonts w:eastAsia="Times New Roman" w:cs="Arial"/>
          <w:sz w:val="20"/>
          <w:szCs w:val="20"/>
          <w:lang w:val="en-GB"/>
        </w:rPr>
      </w:pPr>
      <w:r w:rsidRPr="00BC1ABD">
        <w:rPr>
          <w:rFonts w:eastAsia="Times New Roman" w:cs="Arial"/>
          <w:sz w:val="20"/>
          <w:szCs w:val="20"/>
          <w:lang w:val="en-GB"/>
        </w:rPr>
        <w:t>Source: Operators’ websites</w:t>
      </w:r>
      <w:bookmarkStart w:id="150" w:name="_Toc141200271"/>
      <w:r w:rsidR="009F4CA0">
        <w:rPr>
          <w:rFonts w:eastAsia="Times New Roman" w:cs="Arial"/>
          <w:sz w:val="20"/>
          <w:szCs w:val="20"/>
          <w:lang w:val="en-GB"/>
        </w:rPr>
        <w:t xml:space="preserve"> </w:t>
      </w:r>
      <w:r w:rsidR="009F4CA0" w:rsidRPr="009F4CA0">
        <w:rPr>
          <w:rFonts w:eastAsia="Times New Roman" w:cs="Arial"/>
          <w:sz w:val="20"/>
          <w:szCs w:val="20"/>
          <w:lang w:val="en-GB"/>
        </w:rPr>
        <w:t>(Q1 2023)</w:t>
      </w:r>
    </w:p>
    <w:p w14:paraId="0B6C164B" w14:textId="1F564634" w:rsidR="009F5BF2" w:rsidRPr="00BC1ABD" w:rsidRDefault="009F5BF2" w:rsidP="009F5BF2">
      <w:pPr>
        <w:spacing w:line="240" w:lineRule="auto"/>
        <w:jc w:val="center"/>
        <w:rPr>
          <w:rFonts w:asciiTheme="minorHAnsi" w:eastAsia="Times New Roman" w:hAnsiTheme="minorHAnsi" w:cs="Arial"/>
          <w:i/>
          <w:iCs/>
          <w:color w:val="44546A" w:themeColor="text2"/>
          <w:sz w:val="20"/>
          <w:szCs w:val="20"/>
          <w:lang w:val="en-GB"/>
        </w:rPr>
      </w:pPr>
      <w:bookmarkStart w:id="151" w:name="_Toc152931382"/>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31</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w:t>
      </w:r>
      <w:r w:rsidR="00592449">
        <w:rPr>
          <w:rFonts w:asciiTheme="minorHAnsi" w:eastAsia="Times New Roman" w:hAnsiTheme="minorHAnsi" w:cs="Arial"/>
          <w:i/>
          <w:iCs/>
          <w:color w:val="44546A" w:themeColor="text2"/>
          <w:sz w:val="20"/>
          <w:szCs w:val="20"/>
          <w:lang w:val="en-GB"/>
        </w:rPr>
        <w:t>FTTx</w:t>
      </w:r>
      <w:r w:rsidRPr="00BC1ABD">
        <w:rPr>
          <w:rFonts w:asciiTheme="minorHAnsi" w:eastAsia="Times New Roman" w:hAnsiTheme="minorHAnsi" w:cs="Arial"/>
          <w:i/>
          <w:iCs/>
          <w:color w:val="44546A" w:themeColor="text2"/>
          <w:sz w:val="20"/>
          <w:szCs w:val="20"/>
          <w:lang w:val="en-GB"/>
        </w:rPr>
        <w:t xml:space="preserve"> broadband access prices per speed (in other regions)</w:t>
      </w:r>
      <w:bookmarkEnd w:id="150"/>
      <w:bookmarkEnd w:id="151"/>
    </w:p>
    <w:tbl>
      <w:tblPr>
        <w:tblW w:w="6820" w:type="dxa"/>
        <w:jc w:val="center"/>
        <w:tblLook w:val="04A0" w:firstRow="1" w:lastRow="0" w:firstColumn="1" w:lastColumn="0" w:noHBand="0" w:noVBand="1"/>
      </w:tblPr>
      <w:tblGrid>
        <w:gridCol w:w="2479"/>
        <w:gridCol w:w="1065"/>
        <w:gridCol w:w="1134"/>
        <w:gridCol w:w="1134"/>
        <w:gridCol w:w="1008"/>
      </w:tblGrid>
      <w:tr w:rsidR="009F5BF2" w:rsidRPr="00355738" w14:paraId="2FBB33B0" w14:textId="77777777" w:rsidTr="00E95C58">
        <w:trPr>
          <w:trHeight w:val="255"/>
          <w:jc w:val="center"/>
        </w:trPr>
        <w:tc>
          <w:tcPr>
            <w:tcW w:w="6820" w:type="dxa"/>
            <w:gridSpan w:val="5"/>
            <w:tcBorders>
              <w:top w:val="nil"/>
              <w:left w:val="nil"/>
              <w:bottom w:val="nil"/>
              <w:right w:val="nil"/>
            </w:tcBorders>
            <w:noWrap/>
            <w:vAlign w:val="bottom"/>
            <w:hideMark/>
          </w:tcPr>
          <w:p w14:paraId="4C9FF65D" w14:textId="391BBBA5" w:rsidR="009F5BF2" w:rsidRPr="00BC1ABD" w:rsidRDefault="00592449" w:rsidP="009F5BF2">
            <w:pPr>
              <w:spacing w:after="0" w:line="240" w:lineRule="auto"/>
              <w:jc w:val="center"/>
              <w:rPr>
                <w:rFonts w:eastAsia="Times New Roman" w:cs="Calibri"/>
                <w:b/>
                <w:bCs/>
                <w:color w:val="000000"/>
                <w:sz w:val="20"/>
                <w:szCs w:val="20"/>
                <w:lang w:val="en-GB" w:eastAsia="hr-HR"/>
              </w:rPr>
            </w:pPr>
            <w:r>
              <w:rPr>
                <w:rFonts w:eastAsia="Times New Roman" w:cs="Calibri"/>
                <w:b/>
                <w:bCs/>
                <w:color w:val="000000"/>
                <w:sz w:val="20"/>
                <w:szCs w:val="20"/>
                <w:lang w:val="en-GB" w:eastAsia="hr-HR"/>
              </w:rPr>
              <w:t>FTTx</w:t>
            </w:r>
            <w:r w:rsidR="009F5BF2" w:rsidRPr="00BC1ABD">
              <w:rPr>
                <w:rFonts w:eastAsia="Times New Roman" w:cs="Calibri"/>
                <w:b/>
                <w:bCs/>
                <w:color w:val="000000"/>
                <w:sz w:val="20"/>
                <w:szCs w:val="20"/>
                <w:lang w:val="en-GB" w:eastAsia="hr-HR"/>
              </w:rPr>
              <w:t xml:space="preserve"> prices in GEL per month</w:t>
            </w:r>
          </w:p>
        </w:tc>
      </w:tr>
      <w:tr w:rsidR="009F5BF2" w:rsidRPr="00BC1ABD" w14:paraId="2A608E27" w14:textId="77777777" w:rsidTr="00E95C58">
        <w:trPr>
          <w:trHeight w:val="600"/>
          <w:jc w:val="center"/>
        </w:trPr>
        <w:tc>
          <w:tcPr>
            <w:tcW w:w="2479" w:type="dxa"/>
            <w:tcBorders>
              <w:top w:val="single" w:sz="4" w:space="0" w:color="auto"/>
              <w:left w:val="single" w:sz="4" w:space="0" w:color="auto"/>
              <w:bottom w:val="double" w:sz="6" w:space="0" w:color="auto"/>
              <w:right w:val="single" w:sz="4" w:space="0" w:color="auto"/>
            </w:tcBorders>
            <w:shd w:val="clear" w:color="000000" w:fill="D0CECE"/>
            <w:vAlign w:val="center"/>
            <w:hideMark/>
          </w:tcPr>
          <w:p w14:paraId="3BBAC1FA"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p>
          <w:p w14:paraId="06B061E6"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p>
        </w:tc>
        <w:tc>
          <w:tcPr>
            <w:tcW w:w="1065" w:type="dxa"/>
            <w:tcBorders>
              <w:top w:val="single" w:sz="4" w:space="0" w:color="auto"/>
              <w:left w:val="nil"/>
              <w:bottom w:val="double" w:sz="6" w:space="0" w:color="auto"/>
              <w:right w:val="single" w:sz="4" w:space="0" w:color="auto"/>
            </w:tcBorders>
            <w:shd w:val="clear" w:color="000000" w:fill="D0CECE"/>
            <w:noWrap/>
            <w:vAlign w:val="center"/>
            <w:hideMark/>
          </w:tcPr>
          <w:p w14:paraId="37A8725F"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Magticom</w:t>
            </w:r>
          </w:p>
        </w:tc>
        <w:tc>
          <w:tcPr>
            <w:tcW w:w="1134" w:type="dxa"/>
            <w:tcBorders>
              <w:top w:val="single" w:sz="4" w:space="0" w:color="auto"/>
              <w:left w:val="nil"/>
              <w:bottom w:val="double" w:sz="6" w:space="0" w:color="auto"/>
              <w:right w:val="single" w:sz="4" w:space="0" w:color="auto"/>
            </w:tcBorders>
            <w:shd w:val="clear" w:color="000000" w:fill="D0CECE"/>
            <w:noWrap/>
            <w:vAlign w:val="center"/>
            <w:hideMark/>
          </w:tcPr>
          <w:p w14:paraId="54387ABB"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Silknet</w:t>
            </w:r>
          </w:p>
        </w:tc>
        <w:tc>
          <w:tcPr>
            <w:tcW w:w="1134" w:type="dxa"/>
            <w:tcBorders>
              <w:top w:val="single" w:sz="4" w:space="0" w:color="auto"/>
              <w:left w:val="nil"/>
              <w:bottom w:val="double" w:sz="6" w:space="0" w:color="auto"/>
              <w:right w:val="single" w:sz="4" w:space="0" w:color="auto"/>
            </w:tcBorders>
            <w:shd w:val="clear" w:color="000000" w:fill="D0CECE"/>
            <w:noWrap/>
            <w:vAlign w:val="center"/>
            <w:hideMark/>
          </w:tcPr>
          <w:p w14:paraId="15C93812"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New Net</w:t>
            </w:r>
          </w:p>
        </w:tc>
        <w:tc>
          <w:tcPr>
            <w:tcW w:w="1008" w:type="dxa"/>
            <w:tcBorders>
              <w:top w:val="single" w:sz="4" w:space="0" w:color="auto"/>
              <w:left w:val="nil"/>
              <w:bottom w:val="double" w:sz="6" w:space="0" w:color="auto"/>
              <w:right w:val="single" w:sz="4" w:space="0" w:color="auto"/>
            </w:tcBorders>
            <w:shd w:val="clear" w:color="000000" w:fill="D0CECE"/>
            <w:noWrap/>
            <w:vAlign w:val="center"/>
            <w:hideMark/>
          </w:tcPr>
          <w:p w14:paraId="6378BFBC"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Skytel</w:t>
            </w:r>
          </w:p>
        </w:tc>
      </w:tr>
      <w:tr w:rsidR="009F5BF2" w:rsidRPr="00BC1ABD" w14:paraId="29E388F8" w14:textId="77777777" w:rsidTr="00E95C58">
        <w:trPr>
          <w:trHeight w:val="270"/>
          <w:jc w:val="center"/>
        </w:trPr>
        <w:tc>
          <w:tcPr>
            <w:tcW w:w="2479" w:type="dxa"/>
            <w:tcBorders>
              <w:top w:val="nil"/>
              <w:left w:val="single" w:sz="4" w:space="0" w:color="auto"/>
              <w:bottom w:val="single" w:sz="4" w:space="0" w:color="auto"/>
              <w:right w:val="single" w:sz="4" w:space="0" w:color="auto"/>
            </w:tcBorders>
            <w:noWrap/>
            <w:vAlign w:val="bottom"/>
            <w:hideMark/>
          </w:tcPr>
          <w:p w14:paraId="553A358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20Mbps</w:t>
            </w:r>
          </w:p>
        </w:tc>
        <w:tc>
          <w:tcPr>
            <w:tcW w:w="1065" w:type="dxa"/>
            <w:tcBorders>
              <w:top w:val="nil"/>
              <w:left w:val="nil"/>
              <w:bottom w:val="single" w:sz="4" w:space="0" w:color="auto"/>
              <w:right w:val="single" w:sz="4" w:space="0" w:color="auto"/>
            </w:tcBorders>
            <w:noWrap/>
            <w:vAlign w:val="bottom"/>
            <w:hideMark/>
          </w:tcPr>
          <w:p w14:paraId="35234658"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54E6574"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4B96D18E"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73F21A3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w:t>
            </w:r>
          </w:p>
        </w:tc>
      </w:tr>
      <w:tr w:rsidR="009F5BF2" w:rsidRPr="00BC1ABD" w14:paraId="0BC24F2F"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90A4A5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25Mbps</w:t>
            </w:r>
          </w:p>
        </w:tc>
        <w:tc>
          <w:tcPr>
            <w:tcW w:w="1065" w:type="dxa"/>
            <w:tcBorders>
              <w:top w:val="nil"/>
              <w:left w:val="nil"/>
              <w:bottom w:val="single" w:sz="4" w:space="0" w:color="auto"/>
              <w:right w:val="single" w:sz="4" w:space="0" w:color="auto"/>
            </w:tcBorders>
            <w:noWrap/>
            <w:vAlign w:val="bottom"/>
            <w:hideMark/>
          </w:tcPr>
          <w:p w14:paraId="3AD3BB6F"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67CA6F82"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34</w:t>
            </w:r>
          </w:p>
        </w:tc>
        <w:tc>
          <w:tcPr>
            <w:tcW w:w="1134" w:type="dxa"/>
            <w:tcBorders>
              <w:top w:val="nil"/>
              <w:left w:val="nil"/>
              <w:bottom w:val="single" w:sz="4" w:space="0" w:color="auto"/>
              <w:right w:val="single" w:sz="4" w:space="0" w:color="auto"/>
            </w:tcBorders>
            <w:noWrap/>
            <w:vAlign w:val="bottom"/>
            <w:hideMark/>
          </w:tcPr>
          <w:p w14:paraId="5C24B46D"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072AB083"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0322640F"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38647D64"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30Mbps</w:t>
            </w:r>
          </w:p>
        </w:tc>
        <w:tc>
          <w:tcPr>
            <w:tcW w:w="1065" w:type="dxa"/>
            <w:tcBorders>
              <w:top w:val="nil"/>
              <w:left w:val="nil"/>
              <w:bottom w:val="single" w:sz="4" w:space="0" w:color="auto"/>
              <w:right w:val="single" w:sz="4" w:space="0" w:color="auto"/>
            </w:tcBorders>
            <w:noWrap/>
            <w:vAlign w:val="bottom"/>
            <w:hideMark/>
          </w:tcPr>
          <w:p w14:paraId="022B2B77"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c>
          <w:tcPr>
            <w:tcW w:w="1134" w:type="dxa"/>
            <w:tcBorders>
              <w:top w:val="nil"/>
              <w:left w:val="nil"/>
              <w:bottom w:val="single" w:sz="4" w:space="0" w:color="auto"/>
              <w:right w:val="single" w:sz="4" w:space="0" w:color="auto"/>
            </w:tcBorders>
            <w:noWrap/>
            <w:vAlign w:val="bottom"/>
            <w:hideMark/>
          </w:tcPr>
          <w:p w14:paraId="4D2F284E"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52A1B65"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c>
          <w:tcPr>
            <w:tcW w:w="1008" w:type="dxa"/>
            <w:tcBorders>
              <w:top w:val="nil"/>
              <w:left w:val="nil"/>
              <w:bottom w:val="single" w:sz="4" w:space="0" w:color="auto"/>
              <w:right w:val="single" w:sz="4" w:space="0" w:color="auto"/>
            </w:tcBorders>
            <w:noWrap/>
            <w:vAlign w:val="bottom"/>
            <w:hideMark/>
          </w:tcPr>
          <w:p w14:paraId="5B69C11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w:t>
            </w:r>
          </w:p>
        </w:tc>
      </w:tr>
      <w:tr w:rsidR="009F5BF2" w:rsidRPr="00BC1ABD" w14:paraId="3E6E2180"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596543D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35Mbps</w:t>
            </w:r>
          </w:p>
        </w:tc>
        <w:tc>
          <w:tcPr>
            <w:tcW w:w="1065" w:type="dxa"/>
            <w:tcBorders>
              <w:top w:val="nil"/>
              <w:left w:val="nil"/>
              <w:bottom w:val="single" w:sz="4" w:space="0" w:color="auto"/>
              <w:right w:val="single" w:sz="4" w:space="0" w:color="auto"/>
            </w:tcBorders>
            <w:noWrap/>
            <w:vAlign w:val="bottom"/>
            <w:hideMark/>
          </w:tcPr>
          <w:p w14:paraId="1CE8E914"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E42577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c>
          <w:tcPr>
            <w:tcW w:w="1134" w:type="dxa"/>
            <w:tcBorders>
              <w:top w:val="nil"/>
              <w:left w:val="nil"/>
              <w:bottom w:val="single" w:sz="4" w:space="0" w:color="auto"/>
              <w:right w:val="single" w:sz="4" w:space="0" w:color="auto"/>
            </w:tcBorders>
            <w:noWrap/>
            <w:vAlign w:val="bottom"/>
            <w:hideMark/>
          </w:tcPr>
          <w:p w14:paraId="42216636"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165B0F7E"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7AD6CA8B"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22080557"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40Mbps</w:t>
            </w:r>
          </w:p>
        </w:tc>
        <w:tc>
          <w:tcPr>
            <w:tcW w:w="1065" w:type="dxa"/>
            <w:tcBorders>
              <w:top w:val="nil"/>
              <w:left w:val="nil"/>
              <w:bottom w:val="single" w:sz="4" w:space="0" w:color="auto"/>
              <w:right w:val="single" w:sz="4" w:space="0" w:color="auto"/>
            </w:tcBorders>
            <w:noWrap/>
            <w:vAlign w:val="bottom"/>
            <w:hideMark/>
          </w:tcPr>
          <w:p w14:paraId="28C1AC47"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8FAF92F"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3F364E4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008" w:type="dxa"/>
            <w:tcBorders>
              <w:top w:val="nil"/>
              <w:left w:val="nil"/>
              <w:bottom w:val="single" w:sz="4" w:space="0" w:color="auto"/>
              <w:right w:val="single" w:sz="4" w:space="0" w:color="auto"/>
            </w:tcBorders>
            <w:noWrap/>
            <w:vAlign w:val="bottom"/>
            <w:hideMark/>
          </w:tcPr>
          <w:p w14:paraId="2166ABB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r>
      <w:tr w:rsidR="009F5BF2" w:rsidRPr="00BC1ABD" w14:paraId="69D5552A"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D253DB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50Mbps</w:t>
            </w:r>
          </w:p>
        </w:tc>
        <w:tc>
          <w:tcPr>
            <w:tcW w:w="1065" w:type="dxa"/>
            <w:tcBorders>
              <w:top w:val="nil"/>
              <w:left w:val="nil"/>
              <w:bottom w:val="single" w:sz="4" w:space="0" w:color="auto"/>
              <w:right w:val="single" w:sz="4" w:space="0" w:color="auto"/>
            </w:tcBorders>
            <w:noWrap/>
            <w:vAlign w:val="bottom"/>
            <w:hideMark/>
          </w:tcPr>
          <w:p w14:paraId="38BE769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7DD96802"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1878020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008" w:type="dxa"/>
            <w:tcBorders>
              <w:top w:val="nil"/>
              <w:left w:val="nil"/>
              <w:bottom w:val="single" w:sz="4" w:space="0" w:color="auto"/>
              <w:right w:val="single" w:sz="4" w:space="0" w:color="auto"/>
            </w:tcBorders>
            <w:noWrap/>
            <w:vAlign w:val="bottom"/>
            <w:hideMark/>
          </w:tcPr>
          <w:p w14:paraId="4EF360CC"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r>
      <w:tr w:rsidR="009F5BF2" w:rsidRPr="00BC1ABD" w14:paraId="0B9435FA"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38310B0B"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70Mbps</w:t>
            </w:r>
          </w:p>
        </w:tc>
        <w:tc>
          <w:tcPr>
            <w:tcW w:w="1065" w:type="dxa"/>
            <w:tcBorders>
              <w:top w:val="nil"/>
              <w:left w:val="nil"/>
              <w:bottom w:val="single" w:sz="4" w:space="0" w:color="auto"/>
              <w:right w:val="single" w:sz="4" w:space="0" w:color="auto"/>
            </w:tcBorders>
            <w:noWrap/>
            <w:vAlign w:val="bottom"/>
            <w:hideMark/>
          </w:tcPr>
          <w:p w14:paraId="4C817638"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1DA1184A"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482D8F7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w:t>
            </w:r>
          </w:p>
        </w:tc>
        <w:tc>
          <w:tcPr>
            <w:tcW w:w="1008" w:type="dxa"/>
            <w:tcBorders>
              <w:top w:val="nil"/>
              <w:left w:val="nil"/>
              <w:bottom w:val="single" w:sz="4" w:space="0" w:color="auto"/>
              <w:right w:val="single" w:sz="4" w:space="0" w:color="auto"/>
            </w:tcBorders>
            <w:noWrap/>
            <w:vAlign w:val="bottom"/>
            <w:hideMark/>
          </w:tcPr>
          <w:p w14:paraId="16E5DE77"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446AE0CB"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4FE77AE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100Mbps</w:t>
            </w:r>
          </w:p>
        </w:tc>
        <w:tc>
          <w:tcPr>
            <w:tcW w:w="1065" w:type="dxa"/>
            <w:tcBorders>
              <w:top w:val="nil"/>
              <w:left w:val="nil"/>
              <w:bottom w:val="single" w:sz="4" w:space="0" w:color="auto"/>
              <w:right w:val="single" w:sz="4" w:space="0" w:color="auto"/>
            </w:tcBorders>
            <w:noWrap/>
            <w:vAlign w:val="bottom"/>
            <w:hideMark/>
          </w:tcPr>
          <w:p w14:paraId="7E61F96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0FA8F0C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5F2ADE55"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008" w:type="dxa"/>
            <w:tcBorders>
              <w:top w:val="nil"/>
              <w:left w:val="nil"/>
              <w:bottom w:val="single" w:sz="4" w:space="0" w:color="auto"/>
              <w:right w:val="single" w:sz="4" w:space="0" w:color="auto"/>
            </w:tcBorders>
            <w:noWrap/>
            <w:vAlign w:val="bottom"/>
            <w:hideMark/>
          </w:tcPr>
          <w:p w14:paraId="0AA0585F"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bl>
    <w:p w14:paraId="533EB2FF" w14:textId="269D341B" w:rsidR="009F5BF2" w:rsidRPr="00BC1ABD" w:rsidRDefault="009F5BF2" w:rsidP="009F5BF2">
      <w:pPr>
        <w:spacing w:before="240"/>
        <w:jc w:val="center"/>
        <w:rPr>
          <w:rFonts w:eastAsia="Times New Roman" w:cs="Arial"/>
          <w:sz w:val="20"/>
          <w:szCs w:val="20"/>
          <w:lang w:val="en-GB"/>
        </w:rPr>
      </w:pPr>
      <w:r w:rsidRPr="00BC1ABD">
        <w:rPr>
          <w:rFonts w:eastAsia="Times New Roman" w:cs="Arial"/>
          <w:sz w:val="20"/>
          <w:szCs w:val="20"/>
          <w:lang w:val="en-GB"/>
        </w:rPr>
        <w:t>Source: Operators’ websites</w:t>
      </w:r>
      <w:r w:rsidR="009F4CA0">
        <w:rPr>
          <w:rFonts w:eastAsia="Times New Roman" w:cs="Arial"/>
          <w:sz w:val="20"/>
          <w:szCs w:val="20"/>
          <w:lang w:val="en-GB"/>
        </w:rPr>
        <w:t xml:space="preserve"> </w:t>
      </w:r>
      <w:r w:rsidR="009F4CA0" w:rsidRPr="009F4CA0">
        <w:rPr>
          <w:rFonts w:eastAsia="Times New Roman" w:cs="Arial"/>
          <w:sz w:val="20"/>
          <w:szCs w:val="20"/>
          <w:lang w:val="en-GB"/>
        </w:rPr>
        <w:t>(Q1 2023)</w:t>
      </w:r>
    </w:p>
    <w:p w14:paraId="2765C604" w14:textId="0F177EE6"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The price differences between Tbilisi and other regions (highlighted in yellow in Figures </w:t>
      </w:r>
      <w:r w:rsidR="00DE7F93">
        <w:rPr>
          <w:rFonts w:eastAsia="Times New Roman" w:cs="Arial"/>
          <w:sz w:val="24"/>
          <w:szCs w:val="24"/>
          <w:lang w:val="en-GB"/>
        </w:rPr>
        <w:t>28</w:t>
      </w:r>
      <w:r w:rsidRPr="00BC1ABD">
        <w:rPr>
          <w:rFonts w:eastAsia="Times New Roman" w:cs="Arial"/>
          <w:sz w:val="24"/>
          <w:szCs w:val="24"/>
          <w:lang w:val="en-GB"/>
        </w:rPr>
        <w:t xml:space="preserve"> and </w:t>
      </w:r>
      <w:r w:rsidR="00DE7F93">
        <w:rPr>
          <w:rFonts w:eastAsia="Times New Roman" w:cs="Arial"/>
          <w:sz w:val="24"/>
          <w:szCs w:val="24"/>
          <w:lang w:val="en-GB"/>
        </w:rPr>
        <w:t>29</w:t>
      </w:r>
      <w:r w:rsidRPr="00BC1ABD">
        <w:rPr>
          <w:rFonts w:eastAsia="Times New Roman" w:cs="Arial"/>
          <w:sz w:val="24"/>
          <w:szCs w:val="24"/>
          <w:lang w:val="en-GB"/>
        </w:rPr>
        <w:t>) are only evident for Magticom (30</w:t>
      </w:r>
      <w:r w:rsidR="00824C58">
        <w:rPr>
          <w:rFonts w:eastAsia="Times New Roman" w:cs="Arial"/>
          <w:sz w:val="24"/>
          <w:szCs w:val="24"/>
          <w:lang w:val="en-GB"/>
        </w:rPr>
        <w:t xml:space="preserve"> </w:t>
      </w:r>
      <w:r w:rsidRPr="00BC1ABD">
        <w:rPr>
          <w:rFonts w:eastAsia="Times New Roman" w:cs="Arial"/>
          <w:sz w:val="24"/>
          <w:szCs w:val="24"/>
          <w:lang w:val="en-GB"/>
        </w:rPr>
        <w:t>Mbps prices) and Silknet (25</w:t>
      </w:r>
      <w:r w:rsidR="00824C58">
        <w:rPr>
          <w:rFonts w:eastAsia="Times New Roman" w:cs="Arial"/>
          <w:sz w:val="24"/>
          <w:szCs w:val="24"/>
          <w:lang w:val="en-GB"/>
        </w:rPr>
        <w:t xml:space="preserve"> </w:t>
      </w:r>
      <w:r w:rsidRPr="00BC1ABD">
        <w:rPr>
          <w:rFonts w:eastAsia="Times New Roman" w:cs="Arial"/>
          <w:sz w:val="24"/>
          <w:szCs w:val="24"/>
          <w:lang w:val="en-GB"/>
        </w:rPr>
        <w:t>Mbps prices). All other offers have the same price in Tbilisi as for other regions.</w:t>
      </w:r>
    </w:p>
    <w:p w14:paraId="066A5814" w14:textId="77FA6B1A" w:rsidR="009F5BF2" w:rsidRPr="00BC1ABD" w:rsidRDefault="00592449" w:rsidP="009F5BF2">
      <w:pPr>
        <w:jc w:val="both"/>
        <w:rPr>
          <w:rFonts w:eastAsia="Times New Roman" w:cs="Arial"/>
          <w:sz w:val="24"/>
          <w:szCs w:val="24"/>
          <w:lang w:val="en-GB"/>
        </w:rPr>
      </w:pPr>
      <w:r>
        <w:rPr>
          <w:rFonts w:eastAsia="Times New Roman" w:cs="Arial"/>
          <w:sz w:val="24"/>
          <w:szCs w:val="24"/>
          <w:lang w:val="en-GB"/>
        </w:rPr>
        <w:t>FTTx</w:t>
      </w:r>
      <w:r w:rsidR="009F5BF2" w:rsidRPr="00BC1ABD">
        <w:rPr>
          <w:rFonts w:eastAsia="Times New Roman" w:cs="Arial"/>
          <w:sz w:val="24"/>
          <w:szCs w:val="24"/>
          <w:lang w:val="en-GB"/>
        </w:rPr>
        <w:t xml:space="preserve"> is represented in each group of speeds above 10</w:t>
      </w:r>
      <w:r w:rsidR="00824C58">
        <w:rPr>
          <w:rFonts w:eastAsia="Times New Roman" w:cs="Arial"/>
          <w:sz w:val="24"/>
          <w:szCs w:val="24"/>
          <w:lang w:val="en-GB"/>
        </w:rPr>
        <w:t xml:space="preserve"> </w:t>
      </w:r>
      <w:r w:rsidR="009F5BF2" w:rsidRPr="00BC1ABD">
        <w:rPr>
          <w:rFonts w:eastAsia="Times New Roman" w:cs="Arial"/>
          <w:sz w:val="24"/>
          <w:szCs w:val="24"/>
          <w:lang w:val="en-GB"/>
        </w:rPr>
        <w:t>Mbps. For speeds of at least 100</w:t>
      </w:r>
      <w:r w:rsidR="00824C58">
        <w:rPr>
          <w:rFonts w:eastAsia="Times New Roman" w:cs="Arial"/>
          <w:sz w:val="24"/>
          <w:szCs w:val="24"/>
          <w:lang w:val="en-GB"/>
        </w:rPr>
        <w:t xml:space="preserve"> </w:t>
      </w:r>
      <w:r w:rsidR="009F5BF2" w:rsidRPr="00BC1ABD">
        <w:rPr>
          <w:rFonts w:eastAsia="Times New Roman" w:cs="Arial"/>
          <w:sz w:val="24"/>
          <w:szCs w:val="24"/>
          <w:lang w:val="en-GB"/>
        </w:rPr>
        <w:t xml:space="preserve">Mbps, the actual take-up is still very low. It can be expected that, with the continued increase in the demand for broadband services at higher speeds (see Figure </w:t>
      </w:r>
      <w:r w:rsidR="00D03934">
        <w:rPr>
          <w:rFonts w:eastAsia="Times New Roman" w:cs="Arial"/>
          <w:sz w:val="24"/>
          <w:szCs w:val="24"/>
          <w:lang w:val="en-GB"/>
        </w:rPr>
        <w:t>25</w:t>
      </w:r>
      <w:r w:rsidR="009F5BF2" w:rsidRPr="00BC1ABD">
        <w:rPr>
          <w:rFonts w:eastAsia="Times New Roman" w:cs="Arial"/>
          <w:sz w:val="24"/>
          <w:szCs w:val="24"/>
          <w:lang w:val="en-GB"/>
        </w:rPr>
        <w:t>), demand for speeds above 100 Mbps, will start to grow more significantly. The current increase in retail price is significant (from 50 to 100 GEL per month) when a user upgrades from a 50</w:t>
      </w:r>
      <w:r w:rsidR="00824C58">
        <w:rPr>
          <w:rFonts w:eastAsia="Times New Roman" w:cs="Arial"/>
          <w:sz w:val="24"/>
          <w:szCs w:val="24"/>
          <w:lang w:val="en-GB"/>
        </w:rPr>
        <w:t xml:space="preserve"> </w:t>
      </w:r>
      <w:r w:rsidR="009F5BF2" w:rsidRPr="00BC1ABD">
        <w:rPr>
          <w:rFonts w:eastAsia="Times New Roman" w:cs="Arial"/>
          <w:sz w:val="24"/>
          <w:szCs w:val="24"/>
          <w:lang w:val="en-GB"/>
        </w:rPr>
        <w:t>Mbps to a 100</w:t>
      </w:r>
      <w:r w:rsidR="00824C58">
        <w:rPr>
          <w:rFonts w:eastAsia="Times New Roman" w:cs="Arial"/>
          <w:sz w:val="24"/>
          <w:szCs w:val="24"/>
          <w:lang w:val="en-GB"/>
        </w:rPr>
        <w:t xml:space="preserve"> </w:t>
      </w:r>
      <w:r w:rsidR="009F5BF2" w:rsidRPr="00BC1ABD">
        <w:rPr>
          <w:rFonts w:eastAsia="Times New Roman" w:cs="Arial"/>
          <w:sz w:val="24"/>
          <w:szCs w:val="24"/>
          <w:lang w:val="en-GB"/>
        </w:rPr>
        <w:t>Mbps package.</w:t>
      </w:r>
    </w:p>
    <w:p w14:paraId="38C1BBD3" w14:textId="3B366277" w:rsidR="009F5BF2" w:rsidRPr="00BC1ABD" w:rsidRDefault="00592449" w:rsidP="009F5BF2">
      <w:pPr>
        <w:jc w:val="both"/>
        <w:rPr>
          <w:rFonts w:eastAsia="Times New Roman" w:cs="Arial"/>
          <w:sz w:val="24"/>
          <w:szCs w:val="24"/>
          <w:lang w:val="en-GB"/>
        </w:rPr>
      </w:pPr>
      <w:r>
        <w:rPr>
          <w:rFonts w:eastAsia="Times New Roman" w:cs="Arial"/>
          <w:sz w:val="24"/>
          <w:szCs w:val="24"/>
          <w:lang w:val="en-GB"/>
        </w:rPr>
        <w:t>FTTx</w:t>
      </w:r>
      <w:r w:rsidR="009F5BF2" w:rsidRPr="00BC1ABD">
        <w:rPr>
          <w:rFonts w:eastAsia="Times New Roman" w:cs="Arial"/>
          <w:sz w:val="24"/>
          <w:szCs w:val="24"/>
          <w:lang w:val="en-GB"/>
        </w:rPr>
        <w:t xml:space="preserve"> fixed broadband services can be offered in Georgia, as in the other countries, at much higher speeds than those based on xDSL or FWA. The technological characteristics of fibre networks enable significantly higher transmission speeds than networks that fully or significantly use copper pairs or wireless transmission.</w:t>
      </w:r>
      <w:r w:rsidR="00824C58">
        <w:rPr>
          <w:rFonts w:eastAsia="Times New Roman" w:cs="Arial"/>
          <w:sz w:val="24"/>
          <w:szCs w:val="24"/>
          <w:lang w:val="en-GB"/>
        </w:rPr>
        <w:t xml:space="preserve"> Although wireless technologies are still developing higher speeds, it is unlikely that these developments  will have an impact on the Georgian market within the forward-looking time horizon of this market analysis.</w:t>
      </w:r>
    </w:p>
    <w:p w14:paraId="7B4F6F35" w14:textId="737FDCFC"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In Georgia, </w:t>
      </w:r>
      <w:r w:rsidR="00592449">
        <w:rPr>
          <w:rFonts w:eastAsia="Times New Roman" w:cs="Arial"/>
          <w:sz w:val="24"/>
          <w:szCs w:val="24"/>
          <w:lang w:val="en-GB"/>
        </w:rPr>
        <w:t>FTTx</w:t>
      </w:r>
      <w:r w:rsidRPr="00BC1ABD">
        <w:rPr>
          <w:rFonts w:eastAsia="Times New Roman" w:cs="Arial"/>
          <w:sz w:val="24"/>
          <w:szCs w:val="24"/>
          <w:lang w:val="en-GB"/>
        </w:rPr>
        <w:t xml:space="preserve"> is the only fixed technology where the number of connections is currently growing, while all other technologies are decreasing. This clearly shows that demand is arising not only from new customers but also from existing customers of other technologies that are switching to </w:t>
      </w:r>
      <w:r w:rsidR="00592449">
        <w:rPr>
          <w:rFonts w:eastAsia="Times New Roman" w:cs="Arial"/>
          <w:sz w:val="24"/>
          <w:szCs w:val="24"/>
          <w:lang w:val="en-GB"/>
        </w:rPr>
        <w:t>FTTx</w:t>
      </w:r>
      <w:r w:rsidRPr="00BC1ABD">
        <w:rPr>
          <w:rFonts w:eastAsia="Times New Roman" w:cs="Arial"/>
          <w:sz w:val="24"/>
          <w:szCs w:val="24"/>
          <w:lang w:val="en-GB"/>
        </w:rPr>
        <w:t>.</w:t>
      </w:r>
    </w:p>
    <w:p w14:paraId="316A3120" w14:textId="3B00B117" w:rsidR="009F5BF2" w:rsidRPr="00BC1ABD" w:rsidRDefault="00592449" w:rsidP="009F5BF2">
      <w:pPr>
        <w:jc w:val="both"/>
        <w:rPr>
          <w:rFonts w:eastAsia="Times New Roman" w:cs="Arial"/>
          <w:sz w:val="24"/>
          <w:szCs w:val="24"/>
          <w:lang w:val="en-GB"/>
        </w:rPr>
      </w:pPr>
      <w:r>
        <w:rPr>
          <w:rFonts w:eastAsia="Times New Roman" w:cs="Arial"/>
          <w:sz w:val="24"/>
          <w:szCs w:val="24"/>
          <w:lang w:val="en-GB"/>
        </w:rPr>
        <w:t>FTTx</w:t>
      </w:r>
      <w:r w:rsidR="009F5BF2" w:rsidRPr="00BC1ABD">
        <w:rPr>
          <w:rFonts w:eastAsia="Times New Roman" w:cs="Arial"/>
          <w:sz w:val="24"/>
          <w:szCs w:val="24"/>
          <w:lang w:val="en-GB"/>
        </w:rPr>
        <w:t xml:space="preserve"> is the leading technology in higher-speed market as it accounts for 96% of all connections </w:t>
      </w:r>
      <w:r w:rsidR="00824C58">
        <w:rPr>
          <w:rFonts w:eastAsia="Times New Roman" w:cs="Arial"/>
          <w:sz w:val="24"/>
          <w:szCs w:val="24"/>
          <w:lang w:val="en-GB"/>
        </w:rPr>
        <w:t>i</w:t>
      </w:r>
      <w:r w:rsidR="009F5BF2" w:rsidRPr="00BC1ABD">
        <w:rPr>
          <w:rFonts w:eastAsia="Times New Roman" w:cs="Arial"/>
          <w:sz w:val="24"/>
          <w:szCs w:val="24"/>
          <w:lang w:val="en-GB"/>
        </w:rPr>
        <w:t>n that market.</w:t>
      </w:r>
    </w:p>
    <w:p w14:paraId="51EB6F9E" w14:textId="369B7F1E"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For the basic fixed broadband access market, </w:t>
      </w:r>
      <w:r w:rsidR="00592449">
        <w:rPr>
          <w:rFonts w:eastAsia="Times New Roman" w:cs="Arial"/>
          <w:sz w:val="24"/>
          <w:szCs w:val="24"/>
          <w:lang w:val="en-GB"/>
        </w:rPr>
        <w:t>FTTx</w:t>
      </w:r>
      <w:r w:rsidRPr="00BC1ABD">
        <w:rPr>
          <w:rFonts w:eastAsia="Times New Roman" w:cs="Arial"/>
          <w:sz w:val="24"/>
          <w:szCs w:val="24"/>
          <w:lang w:val="en-GB"/>
        </w:rPr>
        <w:t xml:space="preserve"> holds</w:t>
      </w:r>
      <w:r w:rsidR="00824C58">
        <w:rPr>
          <w:rFonts w:eastAsia="Times New Roman" w:cs="Arial"/>
          <w:sz w:val="24"/>
          <w:szCs w:val="24"/>
          <w:lang w:val="en-GB"/>
        </w:rPr>
        <w:t xml:space="preserve"> a</w:t>
      </w:r>
      <w:r w:rsidRPr="00BC1ABD">
        <w:rPr>
          <w:rFonts w:eastAsia="Times New Roman" w:cs="Arial"/>
          <w:sz w:val="24"/>
          <w:szCs w:val="24"/>
          <w:lang w:val="en-GB"/>
        </w:rPr>
        <w:t xml:space="preserve"> market share of 2% in the lowest speed range (up to 10 Mbps) so it is not </w:t>
      </w:r>
      <w:r w:rsidR="00824C58">
        <w:rPr>
          <w:rFonts w:eastAsia="Times New Roman" w:cs="Arial"/>
          <w:sz w:val="24"/>
          <w:szCs w:val="24"/>
          <w:lang w:val="en-GB"/>
        </w:rPr>
        <w:t xml:space="preserve">an </w:t>
      </w:r>
      <w:r w:rsidRPr="00BC1ABD">
        <w:rPr>
          <w:rFonts w:eastAsia="Times New Roman" w:cs="Arial"/>
          <w:sz w:val="24"/>
          <w:szCs w:val="24"/>
          <w:lang w:val="en-GB"/>
        </w:rPr>
        <w:t xml:space="preserve">important technology in the low-speed services market. As shown in Figures </w:t>
      </w:r>
      <w:r w:rsidR="00A247EB">
        <w:rPr>
          <w:rFonts w:eastAsia="Times New Roman" w:cs="Arial"/>
          <w:sz w:val="24"/>
          <w:szCs w:val="24"/>
          <w:lang w:val="en-GB"/>
        </w:rPr>
        <w:t>30</w:t>
      </w:r>
      <w:r w:rsidRPr="00BC1ABD">
        <w:rPr>
          <w:rFonts w:eastAsia="Times New Roman" w:cs="Arial"/>
          <w:sz w:val="24"/>
          <w:szCs w:val="24"/>
          <w:lang w:val="en-GB"/>
        </w:rPr>
        <w:t xml:space="preserve"> and </w:t>
      </w:r>
      <w:r w:rsidR="00A247EB">
        <w:rPr>
          <w:rFonts w:eastAsia="Times New Roman" w:cs="Arial"/>
          <w:sz w:val="24"/>
          <w:szCs w:val="24"/>
          <w:lang w:val="en-GB"/>
        </w:rPr>
        <w:t>31</w:t>
      </w:r>
      <w:r w:rsidRPr="00BC1ABD">
        <w:rPr>
          <w:rFonts w:eastAsia="Times New Roman" w:cs="Arial"/>
          <w:sz w:val="24"/>
          <w:szCs w:val="24"/>
          <w:lang w:val="en-GB"/>
        </w:rPr>
        <w:t xml:space="preserve">, there are currently no retail offers for </w:t>
      </w:r>
      <w:r w:rsidR="00592449">
        <w:rPr>
          <w:rFonts w:eastAsia="Times New Roman" w:cs="Arial"/>
          <w:sz w:val="24"/>
          <w:szCs w:val="24"/>
          <w:lang w:val="en-GB"/>
        </w:rPr>
        <w:t>FTTx</w:t>
      </w:r>
      <w:r w:rsidRPr="00BC1ABD">
        <w:rPr>
          <w:rFonts w:eastAsia="Times New Roman" w:cs="Arial"/>
          <w:sz w:val="24"/>
          <w:szCs w:val="24"/>
          <w:lang w:val="en-GB"/>
        </w:rPr>
        <w:t xml:space="preserve"> at the</w:t>
      </w:r>
      <w:r w:rsidR="00824C58">
        <w:rPr>
          <w:rFonts w:eastAsia="Times New Roman" w:cs="Arial"/>
          <w:sz w:val="24"/>
          <w:szCs w:val="24"/>
          <w:lang w:val="en-GB"/>
        </w:rPr>
        <w:t>se</w:t>
      </w:r>
      <w:r w:rsidRPr="00BC1ABD">
        <w:rPr>
          <w:rFonts w:eastAsia="Times New Roman" w:cs="Arial"/>
          <w:sz w:val="24"/>
          <w:szCs w:val="24"/>
          <w:lang w:val="en-GB"/>
        </w:rPr>
        <w:t xml:space="preserve"> low-speeds.</w:t>
      </w:r>
    </w:p>
    <w:p w14:paraId="5025D5D1" w14:textId="353CE026"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Subscribers that are served on </w:t>
      </w:r>
      <w:r w:rsidR="00592449">
        <w:rPr>
          <w:rFonts w:eastAsia="Times New Roman" w:cs="Arial"/>
          <w:sz w:val="24"/>
          <w:szCs w:val="24"/>
          <w:lang w:val="en-GB"/>
        </w:rPr>
        <w:t>FTTx</w:t>
      </w:r>
      <w:r w:rsidRPr="00BC1ABD">
        <w:rPr>
          <w:rFonts w:eastAsia="Times New Roman" w:cs="Arial"/>
          <w:sz w:val="24"/>
          <w:szCs w:val="24"/>
          <w:lang w:val="en-GB"/>
        </w:rPr>
        <w:t xml:space="preserve"> access networks hold around 2% of the total share of connections up to 10 Mbps (although currently </w:t>
      </w:r>
      <w:r w:rsidR="00592449">
        <w:rPr>
          <w:rFonts w:eastAsia="Times New Roman" w:cs="Arial"/>
          <w:sz w:val="24"/>
          <w:szCs w:val="24"/>
          <w:lang w:val="en-GB"/>
        </w:rPr>
        <w:t>FTTx</w:t>
      </w:r>
      <w:r w:rsidRPr="00BC1ABD">
        <w:rPr>
          <w:rFonts w:eastAsia="Times New Roman" w:cs="Arial"/>
          <w:sz w:val="24"/>
          <w:szCs w:val="24"/>
          <w:lang w:val="en-GB"/>
        </w:rPr>
        <w:t xml:space="preserve"> is not offered as a service for speeds below 20</w:t>
      </w:r>
      <w:r w:rsidR="00F54BCD">
        <w:rPr>
          <w:rFonts w:eastAsia="Times New Roman" w:cs="Arial"/>
          <w:sz w:val="24"/>
          <w:szCs w:val="24"/>
          <w:lang w:val="en-GB"/>
        </w:rPr>
        <w:t xml:space="preserve"> </w:t>
      </w:r>
      <w:r w:rsidRPr="00BC1ABD">
        <w:rPr>
          <w:rFonts w:eastAsia="Times New Roman" w:cs="Arial"/>
          <w:sz w:val="24"/>
          <w:szCs w:val="24"/>
          <w:lang w:val="en-GB"/>
        </w:rPr>
        <w:t xml:space="preserve">Mbps). This means that those customers </w:t>
      </w:r>
      <w:r w:rsidR="00824C58">
        <w:rPr>
          <w:rFonts w:eastAsia="Times New Roman" w:cs="Arial"/>
          <w:sz w:val="24"/>
          <w:szCs w:val="24"/>
          <w:lang w:val="en-GB"/>
        </w:rPr>
        <w:t xml:space="preserve">still </w:t>
      </w:r>
      <w:r w:rsidRPr="00BC1ABD">
        <w:rPr>
          <w:rFonts w:eastAsia="Times New Roman" w:cs="Arial"/>
          <w:sz w:val="24"/>
          <w:szCs w:val="24"/>
          <w:lang w:val="en-GB"/>
        </w:rPr>
        <w:t xml:space="preserve">served by </w:t>
      </w:r>
      <w:r w:rsidR="00592449">
        <w:rPr>
          <w:rFonts w:eastAsia="Times New Roman" w:cs="Arial"/>
          <w:sz w:val="24"/>
          <w:szCs w:val="24"/>
          <w:lang w:val="en-GB"/>
        </w:rPr>
        <w:t>FTTx</w:t>
      </w:r>
      <w:r w:rsidRPr="00BC1ABD">
        <w:rPr>
          <w:rFonts w:eastAsia="Times New Roman" w:cs="Arial"/>
          <w:sz w:val="24"/>
          <w:szCs w:val="24"/>
          <w:lang w:val="en-GB"/>
        </w:rPr>
        <w:t xml:space="preserve"> access networks are:</w:t>
      </w:r>
    </w:p>
    <w:p w14:paraId="56888F76" w14:textId="7B6FE6B2" w:rsidR="009F5BF2" w:rsidRPr="00BC1ABD" w:rsidRDefault="009F5BF2" w:rsidP="009F5BF2">
      <w:pPr>
        <w:numPr>
          <w:ilvl w:val="0"/>
          <w:numId w:val="69"/>
        </w:numPr>
        <w:contextualSpacing/>
        <w:jc w:val="both"/>
        <w:rPr>
          <w:rFonts w:eastAsia="Times New Roman" w:cs="Arial"/>
          <w:sz w:val="24"/>
          <w:szCs w:val="24"/>
          <w:lang w:val="en-GB"/>
        </w:rPr>
      </w:pPr>
      <w:r w:rsidRPr="00BC1ABD">
        <w:rPr>
          <w:rFonts w:eastAsia="Times New Roman" w:cs="Arial"/>
          <w:sz w:val="24"/>
          <w:szCs w:val="24"/>
          <w:lang w:val="en-GB"/>
        </w:rPr>
        <w:t xml:space="preserve">Subscribers that contracted at lower speeds when only xDSL or FWA technology were available at their location, then placed on fibre when the </w:t>
      </w:r>
      <w:r w:rsidR="00592449">
        <w:rPr>
          <w:rFonts w:eastAsia="Times New Roman" w:cs="Arial"/>
          <w:sz w:val="24"/>
          <w:szCs w:val="24"/>
          <w:lang w:val="en-GB"/>
        </w:rPr>
        <w:t>FTTx</w:t>
      </w:r>
      <w:r w:rsidRPr="00BC1ABD">
        <w:rPr>
          <w:rFonts w:eastAsia="Times New Roman" w:cs="Arial"/>
          <w:sz w:val="24"/>
          <w:szCs w:val="24"/>
          <w:lang w:val="en-GB"/>
        </w:rPr>
        <w:t xml:space="preserve"> network became available, but without the user being upgraded to a higher speed subscription</w:t>
      </w:r>
      <w:r w:rsidR="00824C58">
        <w:rPr>
          <w:rFonts w:eastAsia="Times New Roman" w:cs="Arial"/>
          <w:sz w:val="24"/>
          <w:szCs w:val="24"/>
          <w:lang w:val="en-GB"/>
        </w:rPr>
        <w:t>; or</w:t>
      </w:r>
    </w:p>
    <w:p w14:paraId="4FF48838" w14:textId="0EF23327" w:rsidR="009F5BF2" w:rsidRDefault="009F5BF2" w:rsidP="009F5BF2">
      <w:pPr>
        <w:numPr>
          <w:ilvl w:val="0"/>
          <w:numId w:val="69"/>
        </w:numPr>
        <w:contextualSpacing/>
        <w:rPr>
          <w:rFonts w:eastAsia="Times New Roman" w:cs="Arial"/>
          <w:sz w:val="24"/>
          <w:szCs w:val="24"/>
          <w:lang w:val="en-GB"/>
        </w:rPr>
      </w:pPr>
      <w:r w:rsidRPr="00BC1ABD">
        <w:rPr>
          <w:rFonts w:eastAsia="Times New Roman" w:cs="Arial"/>
          <w:sz w:val="24"/>
          <w:szCs w:val="24"/>
          <w:lang w:val="en-GB"/>
        </w:rPr>
        <w:t xml:space="preserve">Subscribers that had previously contracted an </w:t>
      </w:r>
      <w:r w:rsidR="00592449">
        <w:rPr>
          <w:rFonts w:eastAsia="Times New Roman" w:cs="Arial"/>
          <w:sz w:val="24"/>
          <w:szCs w:val="24"/>
          <w:lang w:val="en-GB"/>
        </w:rPr>
        <w:t>FTTx</w:t>
      </w:r>
      <w:r w:rsidRPr="00BC1ABD">
        <w:rPr>
          <w:rFonts w:eastAsia="Times New Roman" w:cs="Arial"/>
          <w:sz w:val="24"/>
          <w:szCs w:val="24"/>
          <w:lang w:val="en-GB"/>
        </w:rPr>
        <w:t xml:space="preserve"> service at lower speeds but have not yet been upgraded to a higher speed.</w:t>
      </w:r>
    </w:p>
    <w:p w14:paraId="38011AB9" w14:textId="77777777" w:rsidR="008F11B7" w:rsidRPr="00BC1ABD" w:rsidRDefault="008F11B7" w:rsidP="008F11B7">
      <w:pPr>
        <w:ind w:left="720"/>
        <w:contextualSpacing/>
        <w:rPr>
          <w:rFonts w:eastAsia="Times New Roman" w:cs="Arial"/>
          <w:sz w:val="24"/>
          <w:szCs w:val="24"/>
          <w:lang w:val="en-GB"/>
        </w:rPr>
      </w:pPr>
    </w:p>
    <w:p w14:paraId="731AAAD3" w14:textId="77777777" w:rsidR="009F5BF2" w:rsidRPr="008F11B7" w:rsidRDefault="009F5BF2" w:rsidP="008F11B7">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52" w:name="_Toc97535478"/>
      <w:bookmarkStart w:id="153" w:name="_Toc169258923"/>
      <w:r w:rsidRPr="008F11B7">
        <w:rPr>
          <w:rFonts w:asciiTheme="minorHAnsi" w:hAnsiTheme="minorHAnsi" w:cstheme="minorHAnsi"/>
          <w:b w:val="0"/>
          <w:bCs w:val="0"/>
          <w:sz w:val="24"/>
          <w:szCs w:val="24"/>
          <w:lang w:val="en-GB"/>
        </w:rPr>
        <w:t>Fixed Wireless Access (FWA)</w:t>
      </w:r>
      <w:bookmarkEnd w:id="152"/>
      <w:bookmarkEnd w:id="153"/>
    </w:p>
    <w:p w14:paraId="611862BA" w14:textId="6177DCEB" w:rsidR="009F5BF2" w:rsidRPr="00BC1ABD" w:rsidRDefault="009F5BF2" w:rsidP="009F5BF2">
      <w:pPr>
        <w:jc w:val="both"/>
        <w:rPr>
          <w:rFonts w:eastAsia="Times New Roman" w:cs="Arial"/>
          <w:sz w:val="24"/>
          <w:szCs w:val="24"/>
          <w:lang w:val="en-GB"/>
        </w:rPr>
      </w:pPr>
      <w:bookmarkStart w:id="154" w:name="_Hlk120088886"/>
      <w:r w:rsidRPr="00BC1ABD">
        <w:rPr>
          <w:rFonts w:eastAsia="Times New Roman" w:cs="Arial"/>
          <w:sz w:val="24"/>
          <w:szCs w:val="24"/>
          <w:lang w:val="en-GB"/>
        </w:rPr>
        <w:t>According to the market data, in Georgia FWA technology is used for 10% of total fixed broadband access connections. T</w:t>
      </w:r>
      <w:bookmarkEnd w:id="154"/>
      <w:r w:rsidRPr="00BC1ABD">
        <w:rPr>
          <w:rFonts w:eastAsia="Times New Roman" w:cs="Arial"/>
          <w:sz w:val="24"/>
          <w:szCs w:val="24"/>
          <w:lang w:val="en-GB"/>
        </w:rPr>
        <w:t>he technologies used to provide FWA can vary from MMDS</w:t>
      </w:r>
      <w:r w:rsidRPr="00BC1ABD">
        <w:rPr>
          <w:rFonts w:eastAsia="Times New Roman" w:cs="Arial"/>
          <w:sz w:val="24"/>
          <w:szCs w:val="24"/>
          <w:vertAlign w:val="superscript"/>
          <w:lang w:val="en-GB"/>
        </w:rPr>
        <w:footnoteReference w:id="62"/>
      </w:r>
      <w:r w:rsidRPr="00BC1ABD">
        <w:rPr>
          <w:rFonts w:eastAsia="Times New Roman" w:cs="Arial"/>
          <w:sz w:val="24"/>
          <w:szCs w:val="24"/>
          <w:lang w:val="en-GB"/>
        </w:rPr>
        <w:t xml:space="preserve"> to </w:t>
      </w:r>
      <w:r w:rsidRPr="00E517D9">
        <w:rPr>
          <w:lang w:val="en-US"/>
        </w:rPr>
        <w:t>WiMax</w:t>
      </w:r>
      <w:r w:rsidRPr="00BC1ABD">
        <w:rPr>
          <w:rFonts w:eastAsia="Times New Roman" w:cs="Arial"/>
          <w:sz w:val="24"/>
          <w:szCs w:val="24"/>
          <w:vertAlign w:val="superscript"/>
          <w:lang w:val="en-GB"/>
        </w:rPr>
        <w:footnoteReference w:id="63"/>
      </w:r>
      <w:r w:rsidRPr="00BC1ABD">
        <w:rPr>
          <w:rFonts w:eastAsia="Times New Roman" w:cs="Arial"/>
          <w:sz w:val="24"/>
          <w:szCs w:val="24"/>
          <w:lang w:val="en-GB"/>
        </w:rPr>
        <w:t xml:space="preserve"> and other proprietary technologies. In general, MMDS is most often used in sparsely-populated rural areas, where the laying of fixed lines is generally not economically viable. Providing services through MMDS technology requires the use of radio frequencies that are limited in capacity, making it difficult for more end</w:t>
      </w:r>
      <w:r w:rsidR="00824C58">
        <w:rPr>
          <w:rFonts w:eastAsia="Times New Roman" w:cs="Arial"/>
          <w:sz w:val="24"/>
          <w:szCs w:val="24"/>
          <w:lang w:val="en-GB"/>
        </w:rPr>
        <w:t>-</w:t>
      </w:r>
      <w:r w:rsidRPr="00BC1ABD">
        <w:rPr>
          <w:rFonts w:eastAsia="Times New Roman" w:cs="Arial"/>
          <w:sz w:val="24"/>
          <w:szCs w:val="24"/>
          <w:lang w:val="en-GB"/>
        </w:rPr>
        <w:t xml:space="preserve">users to be added. </w:t>
      </w:r>
    </w:p>
    <w:p w14:paraId="4EA69992" w14:textId="77777777" w:rsidR="00B64539"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Due to their limited capacity and speeds, FWA technologies are generally not suitable for fixed broadband access networks where higher speeds are demanded by users. For lower speeds the technology can be quite competitive, which is seen from the price comparisons in Figure </w:t>
      </w:r>
      <w:r w:rsidR="00A247EB">
        <w:rPr>
          <w:rFonts w:eastAsia="Times New Roman" w:cs="Arial"/>
          <w:sz w:val="24"/>
          <w:szCs w:val="24"/>
          <w:lang w:val="en-GB"/>
        </w:rPr>
        <w:t>32</w:t>
      </w:r>
      <w:r w:rsidRPr="00BC1ABD">
        <w:rPr>
          <w:rFonts w:eastAsia="Times New Roman" w:cs="Arial"/>
          <w:sz w:val="24"/>
          <w:szCs w:val="24"/>
          <w:lang w:val="en-GB"/>
        </w:rPr>
        <w:t xml:space="preserve">. In general, users opt for FWA access in areas where other forms of fixed broadband access are not available. </w:t>
      </w:r>
    </w:p>
    <w:p w14:paraId="60BF9F17" w14:textId="53005415"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FWA can also be provided through mobile network technologies such as LTE. The quality and speeds available are the same as for the mobile network in the location where the fixed broadband access service is installed.</w:t>
      </w:r>
    </w:p>
    <w:p w14:paraId="32470D19" w14:textId="28FD8FA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In Georgia, it should be highlighted that most of the FWA providers are small local businesses covering only small rural areas. According to ComCom data, there are a total of 84 operators providing FWA, with only </w:t>
      </w:r>
      <w:r w:rsidR="00824C58">
        <w:rPr>
          <w:rFonts w:eastAsia="Times New Roman" w:cs="Arial"/>
          <w:sz w:val="24"/>
          <w:szCs w:val="24"/>
          <w:lang w:val="en-GB"/>
        </w:rPr>
        <w:t>five</w:t>
      </w:r>
      <w:r w:rsidRPr="00BC1ABD">
        <w:rPr>
          <w:rFonts w:eastAsia="Times New Roman" w:cs="Arial"/>
          <w:sz w:val="24"/>
          <w:szCs w:val="24"/>
          <w:lang w:val="en-GB"/>
        </w:rPr>
        <w:t xml:space="preserve"> of them having more than 3,000 subscribers and just one (Skytel) having around 30,000 subscribers.</w:t>
      </w:r>
    </w:p>
    <w:p w14:paraId="6ACE4674"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In terms of the number of active connections, the most important providers of FWA broadband access in Georgia are as follows:</w:t>
      </w:r>
    </w:p>
    <w:p w14:paraId="0671D032" w14:textId="31E83DA7" w:rsidR="009F5BF2" w:rsidRPr="00BC1ABD"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Skytel</w:t>
      </w:r>
      <w:r w:rsidR="00824C58">
        <w:rPr>
          <w:rFonts w:eastAsia="Times New Roman" w:cs="Arial"/>
          <w:sz w:val="24"/>
          <w:szCs w:val="24"/>
          <w:lang w:val="en-GB"/>
        </w:rPr>
        <w:t>;</w:t>
      </w:r>
      <w:r w:rsidRPr="00BC1ABD">
        <w:rPr>
          <w:rFonts w:eastAsia="Times New Roman" w:cs="Arial"/>
          <w:sz w:val="24"/>
          <w:szCs w:val="24"/>
          <w:lang w:val="en-GB"/>
        </w:rPr>
        <w:t xml:space="preserve"> </w:t>
      </w:r>
    </w:p>
    <w:p w14:paraId="574CD1F9" w14:textId="06F6A727" w:rsidR="009F5BF2" w:rsidRPr="00BC1ABD"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iLink</w:t>
      </w:r>
      <w:r w:rsidR="00824C58">
        <w:rPr>
          <w:rFonts w:eastAsia="Times New Roman" w:cs="Arial"/>
          <w:sz w:val="24"/>
          <w:szCs w:val="24"/>
          <w:lang w:val="en-GB"/>
        </w:rPr>
        <w:t>;</w:t>
      </w:r>
      <w:r w:rsidRPr="00BC1ABD">
        <w:rPr>
          <w:rFonts w:eastAsia="Times New Roman" w:cs="Arial"/>
          <w:sz w:val="24"/>
          <w:szCs w:val="24"/>
          <w:lang w:val="en-GB"/>
        </w:rPr>
        <w:t xml:space="preserve"> </w:t>
      </w:r>
    </w:p>
    <w:p w14:paraId="3920260F" w14:textId="239EE83C" w:rsidR="009F5BF2" w:rsidRPr="00BC1ABD"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Ordunet</w:t>
      </w:r>
      <w:r w:rsidR="00824C58">
        <w:rPr>
          <w:rFonts w:eastAsia="Times New Roman" w:cs="Arial"/>
          <w:sz w:val="24"/>
          <w:szCs w:val="24"/>
          <w:lang w:val="en-GB"/>
        </w:rPr>
        <w:t>;</w:t>
      </w:r>
    </w:p>
    <w:p w14:paraId="3FBF8537" w14:textId="5A321B32" w:rsidR="00824C58" w:rsidRPr="00723DBC" w:rsidRDefault="009F5BF2" w:rsidP="009F5BF2">
      <w:pPr>
        <w:numPr>
          <w:ilvl w:val="0"/>
          <w:numId w:val="67"/>
        </w:numPr>
        <w:contextualSpacing/>
        <w:jc w:val="both"/>
        <w:rPr>
          <w:rFonts w:eastAsia="Times New Roman" w:cs="Arial"/>
          <w:sz w:val="24"/>
          <w:szCs w:val="24"/>
          <w:lang w:val="en-GB"/>
        </w:rPr>
      </w:pPr>
      <w:r w:rsidRPr="00BC1ABD">
        <w:rPr>
          <w:rFonts w:eastAsia="Times New Roman" w:cs="Arial"/>
          <w:sz w:val="24"/>
          <w:szCs w:val="24"/>
          <w:lang w:val="en-GB"/>
        </w:rPr>
        <w:t>Georgian Airlink.</w:t>
      </w:r>
    </w:p>
    <w:p w14:paraId="1CEE5F23" w14:textId="12418E26" w:rsidR="005E16B9" w:rsidRPr="00723DBC" w:rsidRDefault="009F5BF2" w:rsidP="009F5BF2">
      <w:pPr>
        <w:jc w:val="both"/>
        <w:rPr>
          <w:rFonts w:eastAsia="Times New Roman" w:cs="Arial"/>
          <w:sz w:val="24"/>
          <w:szCs w:val="24"/>
          <w:lang w:val="en-GB"/>
        </w:rPr>
      </w:pPr>
      <w:r w:rsidRPr="00BC1ABD">
        <w:rPr>
          <w:rFonts w:eastAsia="Times New Roman" w:cs="Arial"/>
          <w:sz w:val="24"/>
          <w:szCs w:val="24"/>
          <w:lang w:val="en-GB"/>
        </w:rPr>
        <w:t>An analysis of these companies’ existing offers to retail customers</w:t>
      </w:r>
      <w:r w:rsidR="00824C58">
        <w:rPr>
          <w:rFonts w:eastAsia="Times New Roman" w:cs="Arial"/>
          <w:sz w:val="24"/>
          <w:szCs w:val="24"/>
          <w:lang w:val="en-GB"/>
        </w:rPr>
        <w:t xml:space="preserve"> shows that</w:t>
      </w:r>
      <w:r w:rsidRPr="00BC1ABD">
        <w:rPr>
          <w:rFonts w:eastAsia="Times New Roman" w:cs="Arial"/>
          <w:sz w:val="24"/>
          <w:szCs w:val="24"/>
          <w:lang w:val="en-GB"/>
        </w:rPr>
        <w:t xml:space="preserve"> FWA operators provide fixed broadband services up to 10</w:t>
      </w:r>
      <w:r w:rsidR="00824C58">
        <w:rPr>
          <w:rFonts w:eastAsia="Times New Roman" w:cs="Arial"/>
          <w:sz w:val="24"/>
          <w:szCs w:val="24"/>
          <w:lang w:val="en-GB"/>
        </w:rPr>
        <w:t xml:space="preserve"> </w:t>
      </w:r>
      <w:r w:rsidRPr="00BC1ABD">
        <w:rPr>
          <w:rFonts w:eastAsia="Times New Roman" w:cs="Arial"/>
          <w:sz w:val="24"/>
          <w:szCs w:val="24"/>
          <w:lang w:val="en-GB"/>
        </w:rPr>
        <w:t xml:space="preserve">Mbps and as such cannot be compared with </w:t>
      </w:r>
      <w:r w:rsidR="00592449">
        <w:rPr>
          <w:rFonts w:eastAsia="Times New Roman" w:cs="Arial"/>
          <w:sz w:val="24"/>
          <w:szCs w:val="24"/>
          <w:lang w:val="en-GB"/>
        </w:rPr>
        <w:t>FTTx</w:t>
      </w:r>
      <w:r w:rsidRPr="00BC1ABD">
        <w:rPr>
          <w:rFonts w:eastAsia="Times New Roman" w:cs="Arial"/>
          <w:sz w:val="24"/>
          <w:szCs w:val="24"/>
          <w:lang w:val="en-GB"/>
        </w:rPr>
        <w:t xml:space="preserve"> on the higher-speed fixed broadband access market. This is also likely to be the case at least until higher speed FWA (or 5G) become nationally available from operators</w:t>
      </w:r>
      <w:r w:rsidR="00824C58">
        <w:rPr>
          <w:rFonts w:eastAsia="Times New Roman" w:cs="Arial"/>
          <w:sz w:val="24"/>
          <w:szCs w:val="24"/>
          <w:lang w:val="en-GB"/>
        </w:rPr>
        <w:t>. This is considered to be unlikely during the forward-looking time horizon of this market analysis</w:t>
      </w:r>
      <w:r w:rsidRPr="00BC1ABD">
        <w:rPr>
          <w:rFonts w:eastAsia="Times New Roman" w:cs="Arial"/>
          <w:sz w:val="24"/>
          <w:szCs w:val="24"/>
          <w:lang w:val="en-GB"/>
        </w:rPr>
        <w:t>. For lower speeds, FWA services does offer a competitive solution and is currently the leading technology in Georgia for the speeds up to 10</w:t>
      </w:r>
      <w:r w:rsidR="00824C58">
        <w:rPr>
          <w:rFonts w:eastAsia="Times New Roman" w:cs="Arial"/>
          <w:sz w:val="24"/>
          <w:szCs w:val="24"/>
          <w:lang w:val="en-GB"/>
        </w:rPr>
        <w:t xml:space="preserve"> </w:t>
      </w:r>
      <w:r w:rsidRPr="00BC1ABD">
        <w:rPr>
          <w:rFonts w:eastAsia="Times New Roman" w:cs="Arial"/>
          <w:sz w:val="24"/>
          <w:szCs w:val="24"/>
          <w:lang w:val="en-GB"/>
        </w:rPr>
        <w:t>Mbps.</w:t>
      </w:r>
      <w:bookmarkStart w:id="155" w:name="_Toc141200272"/>
    </w:p>
    <w:p w14:paraId="535EC807" w14:textId="3C8B1CEC" w:rsidR="009F5BF2" w:rsidRPr="00BC1ABD" w:rsidRDefault="009F5BF2" w:rsidP="009F5BF2">
      <w:pPr>
        <w:spacing w:line="240" w:lineRule="auto"/>
        <w:jc w:val="center"/>
        <w:rPr>
          <w:rFonts w:asciiTheme="minorHAnsi" w:eastAsia="Times New Roman" w:hAnsiTheme="minorHAnsi" w:cs="Arial"/>
          <w:i/>
          <w:iCs/>
          <w:color w:val="44546A" w:themeColor="text2"/>
          <w:sz w:val="20"/>
          <w:szCs w:val="20"/>
          <w:lang w:val="en-GB"/>
        </w:rPr>
      </w:pPr>
      <w:bookmarkStart w:id="156" w:name="_Toc152931383"/>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32</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FWA vs </w:t>
      </w:r>
      <w:r w:rsidR="00592449">
        <w:rPr>
          <w:rFonts w:asciiTheme="minorHAnsi" w:eastAsia="Times New Roman" w:hAnsiTheme="minorHAnsi" w:cs="Arial"/>
          <w:i/>
          <w:iCs/>
          <w:color w:val="44546A" w:themeColor="text2"/>
          <w:sz w:val="20"/>
          <w:szCs w:val="20"/>
          <w:lang w:val="en-GB"/>
        </w:rPr>
        <w:t>FTTx</w:t>
      </w:r>
      <w:r w:rsidRPr="00BC1ABD">
        <w:rPr>
          <w:rFonts w:asciiTheme="minorHAnsi" w:eastAsia="Times New Roman" w:hAnsiTheme="minorHAnsi" w:cs="Arial"/>
          <w:i/>
          <w:iCs/>
          <w:color w:val="44546A" w:themeColor="text2"/>
          <w:sz w:val="20"/>
          <w:szCs w:val="20"/>
          <w:lang w:val="en-GB"/>
        </w:rPr>
        <w:t xml:space="preserve"> broadband prices per speed (in Tbilisi)</w:t>
      </w:r>
      <w:bookmarkEnd w:id="155"/>
      <w:bookmarkEnd w:id="156"/>
    </w:p>
    <w:tbl>
      <w:tblPr>
        <w:tblW w:w="6820" w:type="dxa"/>
        <w:jc w:val="center"/>
        <w:tblLook w:val="04A0" w:firstRow="1" w:lastRow="0" w:firstColumn="1" w:lastColumn="0" w:noHBand="0" w:noVBand="1"/>
      </w:tblPr>
      <w:tblGrid>
        <w:gridCol w:w="2479"/>
        <w:gridCol w:w="1065"/>
        <w:gridCol w:w="1134"/>
        <w:gridCol w:w="1134"/>
        <w:gridCol w:w="1008"/>
      </w:tblGrid>
      <w:tr w:rsidR="009F5BF2" w:rsidRPr="00355738" w14:paraId="2986D2EF" w14:textId="77777777" w:rsidTr="00E95C58">
        <w:trPr>
          <w:trHeight w:val="255"/>
          <w:jc w:val="center"/>
        </w:trPr>
        <w:tc>
          <w:tcPr>
            <w:tcW w:w="6820" w:type="dxa"/>
            <w:gridSpan w:val="5"/>
            <w:tcBorders>
              <w:top w:val="nil"/>
              <w:left w:val="nil"/>
              <w:bottom w:val="single" w:sz="4" w:space="0" w:color="auto"/>
              <w:right w:val="nil"/>
            </w:tcBorders>
            <w:noWrap/>
            <w:vAlign w:val="bottom"/>
            <w:hideMark/>
          </w:tcPr>
          <w:p w14:paraId="762CA36F" w14:textId="2A0585BD" w:rsidR="009F5BF2" w:rsidRPr="00BC1ABD" w:rsidRDefault="00592449" w:rsidP="009F5BF2">
            <w:pPr>
              <w:spacing w:after="0" w:line="240" w:lineRule="auto"/>
              <w:jc w:val="center"/>
              <w:rPr>
                <w:rFonts w:eastAsia="Times New Roman" w:cs="Calibri"/>
                <w:b/>
                <w:bCs/>
                <w:color w:val="000000"/>
                <w:sz w:val="20"/>
                <w:szCs w:val="20"/>
                <w:lang w:val="en-GB" w:eastAsia="hr-HR"/>
              </w:rPr>
            </w:pPr>
            <w:r>
              <w:rPr>
                <w:rFonts w:eastAsia="Times New Roman" w:cs="Calibri"/>
                <w:b/>
                <w:bCs/>
                <w:color w:val="000000"/>
                <w:sz w:val="20"/>
                <w:szCs w:val="20"/>
                <w:lang w:val="en-GB" w:eastAsia="hr-HR"/>
              </w:rPr>
              <w:t>FTTx</w:t>
            </w:r>
            <w:r w:rsidR="009F5BF2" w:rsidRPr="00BC1ABD">
              <w:rPr>
                <w:rFonts w:eastAsia="Times New Roman" w:cs="Calibri"/>
                <w:b/>
                <w:bCs/>
                <w:color w:val="000000"/>
                <w:sz w:val="20"/>
                <w:szCs w:val="20"/>
                <w:lang w:val="en-GB" w:eastAsia="hr-HR"/>
              </w:rPr>
              <w:t xml:space="preserve"> prices in GEL per month</w:t>
            </w:r>
          </w:p>
        </w:tc>
      </w:tr>
      <w:tr w:rsidR="009F5BF2" w:rsidRPr="00BC1ABD" w14:paraId="5B232BBE" w14:textId="77777777" w:rsidTr="00E95C58">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3456ED2C" w14:textId="77777777" w:rsidR="009F5BF2" w:rsidRPr="00BC1ABD" w:rsidRDefault="009F5BF2" w:rsidP="009F5BF2">
            <w:pPr>
              <w:spacing w:after="0" w:line="240" w:lineRule="auto"/>
              <w:rPr>
                <w:rFonts w:eastAsia="Times New Roman" w:cs="Calibri"/>
                <w:b/>
                <w:bCs/>
                <w:color w:val="000000"/>
                <w:sz w:val="20"/>
                <w:szCs w:val="20"/>
                <w:lang w:val="en-GB" w:eastAsia="hr-HR"/>
              </w:rPr>
            </w:pPr>
          </w:p>
        </w:tc>
        <w:tc>
          <w:tcPr>
            <w:tcW w:w="1065" w:type="dxa"/>
            <w:tcBorders>
              <w:top w:val="nil"/>
              <w:left w:val="nil"/>
              <w:bottom w:val="double" w:sz="6" w:space="0" w:color="auto"/>
              <w:right w:val="single" w:sz="4" w:space="0" w:color="auto"/>
            </w:tcBorders>
            <w:shd w:val="clear" w:color="000000" w:fill="D0CECE"/>
            <w:noWrap/>
            <w:vAlign w:val="center"/>
            <w:hideMark/>
          </w:tcPr>
          <w:p w14:paraId="05D57C5E"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Magticom</w:t>
            </w:r>
          </w:p>
        </w:tc>
        <w:tc>
          <w:tcPr>
            <w:tcW w:w="1134" w:type="dxa"/>
            <w:tcBorders>
              <w:top w:val="nil"/>
              <w:left w:val="nil"/>
              <w:bottom w:val="double" w:sz="6" w:space="0" w:color="auto"/>
              <w:right w:val="single" w:sz="4" w:space="0" w:color="auto"/>
            </w:tcBorders>
            <w:shd w:val="clear" w:color="000000" w:fill="D0CECE"/>
            <w:noWrap/>
            <w:vAlign w:val="center"/>
            <w:hideMark/>
          </w:tcPr>
          <w:p w14:paraId="6A10CB48"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Silknet</w:t>
            </w:r>
          </w:p>
        </w:tc>
        <w:tc>
          <w:tcPr>
            <w:tcW w:w="1134" w:type="dxa"/>
            <w:tcBorders>
              <w:top w:val="nil"/>
              <w:left w:val="nil"/>
              <w:bottom w:val="double" w:sz="6" w:space="0" w:color="auto"/>
              <w:right w:val="single" w:sz="4" w:space="0" w:color="auto"/>
            </w:tcBorders>
            <w:shd w:val="clear" w:color="000000" w:fill="D0CECE"/>
            <w:noWrap/>
            <w:vAlign w:val="center"/>
            <w:hideMark/>
          </w:tcPr>
          <w:p w14:paraId="21537EA5"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New Net</w:t>
            </w:r>
          </w:p>
        </w:tc>
        <w:tc>
          <w:tcPr>
            <w:tcW w:w="1008" w:type="dxa"/>
            <w:tcBorders>
              <w:top w:val="nil"/>
              <w:left w:val="nil"/>
              <w:bottom w:val="double" w:sz="6" w:space="0" w:color="auto"/>
              <w:right w:val="single" w:sz="4" w:space="0" w:color="auto"/>
            </w:tcBorders>
            <w:shd w:val="clear" w:color="000000" w:fill="D0CECE"/>
            <w:noWrap/>
            <w:vAlign w:val="center"/>
            <w:hideMark/>
          </w:tcPr>
          <w:p w14:paraId="1B2E5297"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Skytel</w:t>
            </w:r>
          </w:p>
        </w:tc>
      </w:tr>
      <w:tr w:rsidR="009F5BF2" w:rsidRPr="00BC1ABD" w14:paraId="28916A32" w14:textId="77777777" w:rsidTr="00E95C58">
        <w:trPr>
          <w:trHeight w:val="270"/>
          <w:jc w:val="center"/>
        </w:trPr>
        <w:tc>
          <w:tcPr>
            <w:tcW w:w="2479" w:type="dxa"/>
            <w:tcBorders>
              <w:top w:val="nil"/>
              <w:left w:val="single" w:sz="4" w:space="0" w:color="auto"/>
              <w:bottom w:val="single" w:sz="4" w:space="0" w:color="auto"/>
              <w:right w:val="single" w:sz="4" w:space="0" w:color="auto"/>
            </w:tcBorders>
            <w:noWrap/>
            <w:vAlign w:val="bottom"/>
            <w:hideMark/>
          </w:tcPr>
          <w:p w14:paraId="6F51FD6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20Mbps</w:t>
            </w:r>
          </w:p>
        </w:tc>
        <w:tc>
          <w:tcPr>
            <w:tcW w:w="1065" w:type="dxa"/>
            <w:tcBorders>
              <w:top w:val="nil"/>
              <w:left w:val="nil"/>
              <w:bottom w:val="single" w:sz="4" w:space="0" w:color="auto"/>
              <w:right w:val="single" w:sz="4" w:space="0" w:color="auto"/>
            </w:tcBorders>
            <w:noWrap/>
            <w:vAlign w:val="bottom"/>
            <w:hideMark/>
          </w:tcPr>
          <w:p w14:paraId="3773290B"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57FA4F8E"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38CADC25"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596C3DF3"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w:t>
            </w:r>
          </w:p>
        </w:tc>
      </w:tr>
      <w:tr w:rsidR="009F5BF2" w:rsidRPr="00BC1ABD" w14:paraId="29B46A8F"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6DA3CE9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25Mbps</w:t>
            </w:r>
          </w:p>
        </w:tc>
        <w:tc>
          <w:tcPr>
            <w:tcW w:w="1065" w:type="dxa"/>
            <w:tcBorders>
              <w:top w:val="nil"/>
              <w:left w:val="nil"/>
              <w:bottom w:val="single" w:sz="4" w:space="0" w:color="auto"/>
              <w:right w:val="single" w:sz="4" w:space="0" w:color="auto"/>
            </w:tcBorders>
            <w:noWrap/>
            <w:vAlign w:val="bottom"/>
            <w:hideMark/>
          </w:tcPr>
          <w:p w14:paraId="403A3DB1"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155D956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134" w:type="dxa"/>
            <w:tcBorders>
              <w:top w:val="nil"/>
              <w:left w:val="nil"/>
              <w:bottom w:val="single" w:sz="4" w:space="0" w:color="auto"/>
              <w:right w:val="single" w:sz="4" w:space="0" w:color="auto"/>
            </w:tcBorders>
            <w:noWrap/>
            <w:vAlign w:val="bottom"/>
            <w:hideMark/>
          </w:tcPr>
          <w:p w14:paraId="423A668A"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557CA435"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6292A938"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0968B99B"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30Mbps</w:t>
            </w:r>
          </w:p>
        </w:tc>
        <w:tc>
          <w:tcPr>
            <w:tcW w:w="1065" w:type="dxa"/>
            <w:tcBorders>
              <w:top w:val="nil"/>
              <w:left w:val="nil"/>
              <w:bottom w:val="single" w:sz="4" w:space="0" w:color="auto"/>
              <w:right w:val="single" w:sz="4" w:space="0" w:color="auto"/>
            </w:tcBorders>
            <w:noWrap/>
            <w:vAlign w:val="bottom"/>
            <w:hideMark/>
          </w:tcPr>
          <w:p w14:paraId="11A537F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37</w:t>
            </w:r>
          </w:p>
        </w:tc>
        <w:tc>
          <w:tcPr>
            <w:tcW w:w="1134" w:type="dxa"/>
            <w:tcBorders>
              <w:top w:val="nil"/>
              <w:left w:val="nil"/>
              <w:bottom w:val="single" w:sz="4" w:space="0" w:color="auto"/>
              <w:right w:val="single" w:sz="4" w:space="0" w:color="auto"/>
            </w:tcBorders>
            <w:noWrap/>
            <w:vAlign w:val="bottom"/>
            <w:hideMark/>
          </w:tcPr>
          <w:p w14:paraId="0A61C619"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63F950B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c>
          <w:tcPr>
            <w:tcW w:w="1008" w:type="dxa"/>
            <w:tcBorders>
              <w:top w:val="nil"/>
              <w:left w:val="nil"/>
              <w:bottom w:val="single" w:sz="4" w:space="0" w:color="auto"/>
              <w:right w:val="single" w:sz="4" w:space="0" w:color="auto"/>
            </w:tcBorders>
            <w:noWrap/>
            <w:vAlign w:val="bottom"/>
            <w:hideMark/>
          </w:tcPr>
          <w:p w14:paraId="6E9B9AE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w:t>
            </w:r>
          </w:p>
        </w:tc>
      </w:tr>
      <w:tr w:rsidR="009F5BF2" w:rsidRPr="00BC1ABD" w14:paraId="164B44D5"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2F72BBC3"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35Mbps</w:t>
            </w:r>
          </w:p>
        </w:tc>
        <w:tc>
          <w:tcPr>
            <w:tcW w:w="1065" w:type="dxa"/>
            <w:tcBorders>
              <w:top w:val="nil"/>
              <w:left w:val="nil"/>
              <w:bottom w:val="single" w:sz="4" w:space="0" w:color="auto"/>
              <w:right w:val="single" w:sz="4" w:space="0" w:color="auto"/>
            </w:tcBorders>
            <w:noWrap/>
            <w:vAlign w:val="bottom"/>
            <w:hideMark/>
          </w:tcPr>
          <w:p w14:paraId="5F99E953"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E990BE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c>
          <w:tcPr>
            <w:tcW w:w="1134" w:type="dxa"/>
            <w:tcBorders>
              <w:top w:val="nil"/>
              <w:left w:val="nil"/>
              <w:bottom w:val="single" w:sz="4" w:space="0" w:color="auto"/>
              <w:right w:val="single" w:sz="4" w:space="0" w:color="auto"/>
            </w:tcBorders>
            <w:noWrap/>
            <w:vAlign w:val="bottom"/>
            <w:hideMark/>
          </w:tcPr>
          <w:p w14:paraId="406AE607"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60076219"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5F862635"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609C5A7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40Mbps</w:t>
            </w:r>
          </w:p>
        </w:tc>
        <w:tc>
          <w:tcPr>
            <w:tcW w:w="1065" w:type="dxa"/>
            <w:tcBorders>
              <w:top w:val="nil"/>
              <w:left w:val="nil"/>
              <w:bottom w:val="single" w:sz="4" w:space="0" w:color="auto"/>
              <w:right w:val="single" w:sz="4" w:space="0" w:color="auto"/>
            </w:tcBorders>
            <w:noWrap/>
            <w:vAlign w:val="bottom"/>
            <w:hideMark/>
          </w:tcPr>
          <w:p w14:paraId="6948A009"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2307AAC"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38DEE68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008" w:type="dxa"/>
            <w:tcBorders>
              <w:top w:val="nil"/>
              <w:left w:val="nil"/>
              <w:bottom w:val="single" w:sz="4" w:space="0" w:color="auto"/>
              <w:right w:val="single" w:sz="4" w:space="0" w:color="auto"/>
            </w:tcBorders>
            <w:noWrap/>
            <w:vAlign w:val="bottom"/>
            <w:hideMark/>
          </w:tcPr>
          <w:p w14:paraId="5A3FE02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r>
      <w:tr w:rsidR="009F5BF2" w:rsidRPr="00BC1ABD" w14:paraId="17DFAE42"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38749F63"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50Mbps</w:t>
            </w:r>
          </w:p>
        </w:tc>
        <w:tc>
          <w:tcPr>
            <w:tcW w:w="1065" w:type="dxa"/>
            <w:tcBorders>
              <w:top w:val="nil"/>
              <w:left w:val="nil"/>
              <w:bottom w:val="single" w:sz="4" w:space="0" w:color="auto"/>
              <w:right w:val="single" w:sz="4" w:space="0" w:color="auto"/>
            </w:tcBorders>
            <w:noWrap/>
            <w:vAlign w:val="bottom"/>
            <w:hideMark/>
          </w:tcPr>
          <w:p w14:paraId="6D13748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1E6A378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6BE14A2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008" w:type="dxa"/>
            <w:tcBorders>
              <w:top w:val="nil"/>
              <w:left w:val="nil"/>
              <w:bottom w:val="single" w:sz="4" w:space="0" w:color="auto"/>
              <w:right w:val="single" w:sz="4" w:space="0" w:color="auto"/>
            </w:tcBorders>
            <w:noWrap/>
            <w:vAlign w:val="bottom"/>
            <w:hideMark/>
          </w:tcPr>
          <w:p w14:paraId="3CE77E2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r>
      <w:tr w:rsidR="009F5BF2" w:rsidRPr="00BC1ABD" w14:paraId="209F98EB"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7B2CD8C3"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70Mbps</w:t>
            </w:r>
          </w:p>
        </w:tc>
        <w:tc>
          <w:tcPr>
            <w:tcW w:w="1065" w:type="dxa"/>
            <w:tcBorders>
              <w:top w:val="nil"/>
              <w:left w:val="nil"/>
              <w:bottom w:val="single" w:sz="4" w:space="0" w:color="auto"/>
              <w:right w:val="single" w:sz="4" w:space="0" w:color="auto"/>
            </w:tcBorders>
            <w:noWrap/>
            <w:vAlign w:val="bottom"/>
            <w:hideMark/>
          </w:tcPr>
          <w:p w14:paraId="0284B94A"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38C4F685"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77320D5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w:t>
            </w:r>
          </w:p>
        </w:tc>
        <w:tc>
          <w:tcPr>
            <w:tcW w:w="1008" w:type="dxa"/>
            <w:tcBorders>
              <w:top w:val="nil"/>
              <w:left w:val="nil"/>
              <w:bottom w:val="single" w:sz="4" w:space="0" w:color="auto"/>
              <w:right w:val="single" w:sz="4" w:space="0" w:color="auto"/>
            </w:tcBorders>
            <w:noWrap/>
            <w:vAlign w:val="bottom"/>
            <w:hideMark/>
          </w:tcPr>
          <w:p w14:paraId="56374003"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4A8A2425"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25BA437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100Mbps</w:t>
            </w:r>
          </w:p>
        </w:tc>
        <w:tc>
          <w:tcPr>
            <w:tcW w:w="1065" w:type="dxa"/>
            <w:tcBorders>
              <w:top w:val="nil"/>
              <w:left w:val="nil"/>
              <w:bottom w:val="single" w:sz="4" w:space="0" w:color="auto"/>
              <w:right w:val="single" w:sz="4" w:space="0" w:color="auto"/>
            </w:tcBorders>
            <w:noWrap/>
            <w:vAlign w:val="bottom"/>
            <w:hideMark/>
          </w:tcPr>
          <w:p w14:paraId="75BA183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7F410CB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7D90BA0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008" w:type="dxa"/>
            <w:tcBorders>
              <w:top w:val="nil"/>
              <w:left w:val="nil"/>
              <w:bottom w:val="single" w:sz="4" w:space="0" w:color="auto"/>
              <w:right w:val="single" w:sz="4" w:space="0" w:color="auto"/>
            </w:tcBorders>
            <w:noWrap/>
            <w:vAlign w:val="bottom"/>
            <w:hideMark/>
          </w:tcPr>
          <w:p w14:paraId="343E0672"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bl>
    <w:p w14:paraId="30998C63" w14:textId="77777777" w:rsidR="009F5BF2" w:rsidRDefault="009F5BF2" w:rsidP="009F5BF2">
      <w:pPr>
        <w:rPr>
          <w:rFonts w:eastAsia="Times New Roman" w:cs="Arial"/>
          <w:sz w:val="20"/>
          <w:szCs w:val="20"/>
          <w:lang w:val="en-GB"/>
        </w:rPr>
      </w:pPr>
    </w:p>
    <w:tbl>
      <w:tblPr>
        <w:tblW w:w="3280" w:type="dxa"/>
        <w:jc w:val="center"/>
        <w:tblLook w:val="04A0" w:firstRow="1" w:lastRow="0" w:firstColumn="1" w:lastColumn="0" w:noHBand="0" w:noVBand="1"/>
      </w:tblPr>
      <w:tblGrid>
        <w:gridCol w:w="2340"/>
        <w:gridCol w:w="940"/>
      </w:tblGrid>
      <w:tr w:rsidR="009F5BF2" w:rsidRPr="00355738" w14:paraId="09BA6887" w14:textId="77777777" w:rsidTr="00E95C58">
        <w:trPr>
          <w:trHeight w:val="255"/>
          <w:jc w:val="center"/>
        </w:trPr>
        <w:tc>
          <w:tcPr>
            <w:tcW w:w="3280" w:type="dxa"/>
            <w:gridSpan w:val="2"/>
            <w:tcBorders>
              <w:top w:val="nil"/>
              <w:left w:val="nil"/>
              <w:bottom w:val="single" w:sz="4" w:space="0" w:color="auto"/>
              <w:right w:val="nil"/>
            </w:tcBorders>
            <w:noWrap/>
            <w:vAlign w:val="bottom"/>
            <w:hideMark/>
          </w:tcPr>
          <w:p w14:paraId="0DAB8FDA"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FWA prices in GEL per month</w:t>
            </w:r>
          </w:p>
        </w:tc>
      </w:tr>
      <w:tr w:rsidR="009F5BF2" w:rsidRPr="00BC1ABD" w14:paraId="654EC1CD" w14:textId="77777777" w:rsidTr="00E95C58">
        <w:trPr>
          <w:trHeight w:val="570"/>
          <w:jc w:val="center"/>
        </w:trPr>
        <w:tc>
          <w:tcPr>
            <w:tcW w:w="2340" w:type="dxa"/>
            <w:tcBorders>
              <w:top w:val="nil"/>
              <w:left w:val="single" w:sz="4" w:space="0" w:color="auto"/>
              <w:bottom w:val="single" w:sz="4" w:space="0" w:color="auto"/>
              <w:right w:val="single" w:sz="4" w:space="0" w:color="auto"/>
            </w:tcBorders>
            <w:shd w:val="clear" w:color="000000" w:fill="D0CECE"/>
            <w:vAlign w:val="center"/>
            <w:hideMark/>
          </w:tcPr>
          <w:p w14:paraId="4F48BDB6"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p>
        </w:tc>
        <w:tc>
          <w:tcPr>
            <w:tcW w:w="940" w:type="dxa"/>
            <w:tcBorders>
              <w:top w:val="nil"/>
              <w:left w:val="nil"/>
              <w:bottom w:val="single" w:sz="4" w:space="0" w:color="auto"/>
              <w:right w:val="single" w:sz="4" w:space="0" w:color="auto"/>
            </w:tcBorders>
            <w:shd w:val="clear" w:color="000000" w:fill="D0CECE"/>
            <w:noWrap/>
            <w:vAlign w:val="center"/>
            <w:hideMark/>
          </w:tcPr>
          <w:p w14:paraId="34A2D193"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Skytel</w:t>
            </w:r>
          </w:p>
        </w:tc>
      </w:tr>
      <w:tr w:rsidR="009F5BF2" w:rsidRPr="00BC1ABD" w14:paraId="2375B127"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196DC7AB"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2Mbps</w:t>
            </w:r>
          </w:p>
        </w:tc>
        <w:tc>
          <w:tcPr>
            <w:tcW w:w="940" w:type="dxa"/>
            <w:tcBorders>
              <w:top w:val="nil"/>
              <w:left w:val="nil"/>
              <w:bottom w:val="single" w:sz="4" w:space="0" w:color="auto"/>
              <w:right w:val="single" w:sz="4" w:space="0" w:color="auto"/>
            </w:tcBorders>
            <w:noWrap/>
            <w:vAlign w:val="bottom"/>
            <w:hideMark/>
          </w:tcPr>
          <w:p w14:paraId="239197B5"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 </w:t>
            </w:r>
          </w:p>
        </w:tc>
      </w:tr>
      <w:tr w:rsidR="009F5BF2" w:rsidRPr="00BC1ABD" w14:paraId="56D8F2A9"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7519FA0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3Mbps</w:t>
            </w:r>
          </w:p>
        </w:tc>
        <w:tc>
          <w:tcPr>
            <w:tcW w:w="940" w:type="dxa"/>
            <w:tcBorders>
              <w:top w:val="nil"/>
              <w:left w:val="nil"/>
              <w:bottom w:val="single" w:sz="4" w:space="0" w:color="auto"/>
              <w:right w:val="single" w:sz="4" w:space="0" w:color="auto"/>
            </w:tcBorders>
            <w:noWrap/>
            <w:vAlign w:val="bottom"/>
            <w:hideMark/>
          </w:tcPr>
          <w:p w14:paraId="009B09F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 </w:t>
            </w:r>
          </w:p>
        </w:tc>
      </w:tr>
      <w:tr w:rsidR="009F5BF2" w:rsidRPr="00BC1ABD" w14:paraId="0A690E3F"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5BE21942"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4Mbps</w:t>
            </w:r>
          </w:p>
        </w:tc>
        <w:tc>
          <w:tcPr>
            <w:tcW w:w="940" w:type="dxa"/>
            <w:tcBorders>
              <w:top w:val="nil"/>
              <w:left w:val="nil"/>
              <w:bottom w:val="single" w:sz="4" w:space="0" w:color="auto"/>
              <w:right w:val="single" w:sz="4" w:space="0" w:color="auto"/>
            </w:tcBorders>
            <w:noWrap/>
            <w:vAlign w:val="bottom"/>
            <w:hideMark/>
          </w:tcPr>
          <w:p w14:paraId="0BEFD272"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w:t>
            </w:r>
          </w:p>
        </w:tc>
      </w:tr>
      <w:tr w:rsidR="009F5BF2" w:rsidRPr="00BC1ABD" w14:paraId="166D4D8F"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7B544E84"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5Mbps</w:t>
            </w:r>
          </w:p>
        </w:tc>
        <w:tc>
          <w:tcPr>
            <w:tcW w:w="940" w:type="dxa"/>
            <w:tcBorders>
              <w:top w:val="nil"/>
              <w:left w:val="nil"/>
              <w:bottom w:val="single" w:sz="4" w:space="0" w:color="auto"/>
              <w:right w:val="single" w:sz="4" w:space="0" w:color="auto"/>
            </w:tcBorders>
            <w:noWrap/>
            <w:vAlign w:val="bottom"/>
            <w:hideMark/>
          </w:tcPr>
          <w:p w14:paraId="6C5510A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 </w:t>
            </w:r>
          </w:p>
        </w:tc>
      </w:tr>
      <w:tr w:rsidR="009F5BF2" w:rsidRPr="00BC1ABD" w14:paraId="326F512E"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7A452DE7"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6Mbps</w:t>
            </w:r>
          </w:p>
        </w:tc>
        <w:tc>
          <w:tcPr>
            <w:tcW w:w="940" w:type="dxa"/>
            <w:tcBorders>
              <w:top w:val="nil"/>
              <w:left w:val="nil"/>
              <w:bottom w:val="single" w:sz="4" w:space="0" w:color="auto"/>
              <w:right w:val="single" w:sz="4" w:space="0" w:color="auto"/>
            </w:tcBorders>
            <w:noWrap/>
            <w:vAlign w:val="bottom"/>
            <w:hideMark/>
          </w:tcPr>
          <w:p w14:paraId="4AFEF7A5"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w:t>
            </w:r>
          </w:p>
        </w:tc>
      </w:tr>
      <w:tr w:rsidR="009F5BF2" w:rsidRPr="00BC1ABD" w14:paraId="00480C13"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738A1C3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8Mbps</w:t>
            </w:r>
          </w:p>
        </w:tc>
        <w:tc>
          <w:tcPr>
            <w:tcW w:w="940" w:type="dxa"/>
            <w:tcBorders>
              <w:top w:val="nil"/>
              <w:left w:val="nil"/>
              <w:bottom w:val="single" w:sz="4" w:space="0" w:color="auto"/>
              <w:right w:val="single" w:sz="4" w:space="0" w:color="auto"/>
            </w:tcBorders>
            <w:noWrap/>
            <w:vAlign w:val="bottom"/>
            <w:hideMark/>
          </w:tcPr>
          <w:p w14:paraId="14684C6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r>
      <w:tr w:rsidR="009F5BF2" w:rsidRPr="00BC1ABD" w14:paraId="3C809D4F" w14:textId="77777777" w:rsidTr="00E95C58">
        <w:trPr>
          <w:trHeight w:val="255"/>
          <w:jc w:val="center"/>
        </w:trPr>
        <w:tc>
          <w:tcPr>
            <w:tcW w:w="2340" w:type="dxa"/>
            <w:tcBorders>
              <w:top w:val="nil"/>
              <w:left w:val="single" w:sz="4" w:space="0" w:color="auto"/>
              <w:bottom w:val="single" w:sz="4" w:space="0" w:color="auto"/>
              <w:right w:val="single" w:sz="4" w:space="0" w:color="auto"/>
            </w:tcBorders>
            <w:noWrap/>
            <w:vAlign w:val="bottom"/>
            <w:hideMark/>
          </w:tcPr>
          <w:p w14:paraId="6703E3A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10Mbps</w:t>
            </w:r>
          </w:p>
        </w:tc>
        <w:tc>
          <w:tcPr>
            <w:tcW w:w="940" w:type="dxa"/>
            <w:tcBorders>
              <w:top w:val="nil"/>
              <w:left w:val="nil"/>
              <w:bottom w:val="single" w:sz="4" w:space="0" w:color="auto"/>
              <w:right w:val="single" w:sz="4" w:space="0" w:color="auto"/>
            </w:tcBorders>
            <w:noWrap/>
            <w:vAlign w:val="bottom"/>
            <w:hideMark/>
          </w:tcPr>
          <w:p w14:paraId="1B418B1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r>
    </w:tbl>
    <w:p w14:paraId="2D1FB7E4" w14:textId="4BC5A82E" w:rsidR="009F5BF2" w:rsidRPr="00BC1ABD" w:rsidRDefault="009F5BF2" w:rsidP="009F5BF2">
      <w:pPr>
        <w:spacing w:before="240"/>
        <w:jc w:val="center"/>
        <w:rPr>
          <w:rFonts w:eastAsia="Times New Roman" w:cs="Arial"/>
          <w:sz w:val="20"/>
          <w:szCs w:val="20"/>
          <w:lang w:val="en-GB"/>
        </w:rPr>
      </w:pPr>
      <w:r w:rsidRPr="00BC1ABD">
        <w:rPr>
          <w:rFonts w:eastAsia="Times New Roman" w:cs="Arial"/>
          <w:sz w:val="20"/>
          <w:szCs w:val="20"/>
          <w:lang w:val="en-GB"/>
        </w:rPr>
        <w:t>Source: Operators’ websites</w:t>
      </w:r>
      <w:r w:rsidR="00E93DA5">
        <w:rPr>
          <w:rFonts w:eastAsia="Times New Roman" w:cs="Arial"/>
          <w:sz w:val="20"/>
          <w:szCs w:val="20"/>
          <w:lang w:val="en-GB"/>
        </w:rPr>
        <w:t xml:space="preserve"> </w:t>
      </w:r>
      <w:r w:rsidR="00E93DA5" w:rsidRPr="00E93DA5">
        <w:rPr>
          <w:rFonts w:eastAsia="Times New Roman" w:cs="Arial"/>
          <w:sz w:val="20"/>
          <w:szCs w:val="20"/>
          <w:lang w:val="en-GB"/>
        </w:rPr>
        <w:t>(Q1 2023)</w:t>
      </w:r>
    </w:p>
    <w:p w14:paraId="34DE77A7" w14:textId="21C18AD5"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The largest FWA network operator (Skytel) is the only one of the five main </w:t>
      </w:r>
      <w:r w:rsidR="00592449">
        <w:rPr>
          <w:rFonts w:eastAsia="Times New Roman" w:cs="Arial"/>
          <w:sz w:val="24"/>
          <w:szCs w:val="24"/>
          <w:lang w:val="en-GB"/>
        </w:rPr>
        <w:t>FTTx</w:t>
      </w:r>
      <w:r w:rsidRPr="00BC1ABD">
        <w:rPr>
          <w:rFonts w:eastAsia="Times New Roman" w:cs="Arial"/>
          <w:sz w:val="24"/>
          <w:szCs w:val="24"/>
          <w:lang w:val="en-GB"/>
        </w:rPr>
        <w:t xml:space="preserve"> operators that </w:t>
      </w:r>
      <w:r w:rsidR="007E65BE">
        <w:rPr>
          <w:rFonts w:eastAsia="Times New Roman" w:cs="Arial"/>
          <w:sz w:val="24"/>
          <w:szCs w:val="24"/>
          <w:lang w:val="en-GB"/>
        </w:rPr>
        <w:t xml:space="preserve">also </w:t>
      </w:r>
      <w:r w:rsidRPr="00BC1ABD">
        <w:rPr>
          <w:rFonts w:eastAsia="Times New Roman" w:cs="Arial"/>
          <w:sz w:val="24"/>
          <w:szCs w:val="24"/>
          <w:lang w:val="en-GB"/>
        </w:rPr>
        <w:t xml:space="preserve">provides FWA services. Skytel provides FWA mainly in the areas where </w:t>
      </w:r>
      <w:r w:rsidR="007E65BE">
        <w:rPr>
          <w:rFonts w:eastAsia="Times New Roman" w:cs="Arial"/>
          <w:sz w:val="24"/>
          <w:szCs w:val="24"/>
          <w:lang w:val="en-GB"/>
        </w:rPr>
        <w:t xml:space="preserve">their </w:t>
      </w:r>
      <w:r w:rsidRPr="00BC1ABD">
        <w:rPr>
          <w:rFonts w:eastAsia="Times New Roman" w:cs="Arial"/>
          <w:sz w:val="24"/>
          <w:szCs w:val="24"/>
          <w:lang w:val="en-GB"/>
        </w:rPr>
        <w:t xml:space="preserve">fibre access infrastructure does not exist. The geographical coverage chart in Figure </w:t>
      </w:r>
      <w:r w:rsidR="00F04437">
        <w:rPr>
          <w:rFonts w:eastAsia="Times New Roman" w:cs="Arial"/>
          <w:sz w:val="24"/>
          <w:szCs w:val="24"/>
          <w:lang w:val="en-GB"/>
        </w:rPr>
        <w:t>11</w:t>
      </w:r>
      <w:r w:rsidRPr="00BC1ABD">
        <w:rPr>
          <w:rFonts w:eastAsia="Times New Roman" w:cs="Arial"/>
          <w:sz w:val="24"/>
          <w:szCs w:val="24"/>
          <w:lang w:val="en-GB"/>
        </w:rPr>
        <w:t xml:space="preserve"> shows that FWA does not generally overlap with </w:t>
      </w:r>
      <w:r w:rsidR="00592449">
        <w:rPr>
          <w:rFonts w:eastAsia="Times New Roman" w:cs="Arial"/>
          <w:sz w:val="24"/>
          <w:szCs w:val="24"/>
          <w:lang w:val="en-GB"/>
        </w:rPr>
        <w:t>FTTx</w:t>
      </w:r>
      <w:r w:rsidRPr="00BC1ABD">
        <w:rPr>
          <w:rFonts w:eastAsia="Times New Roman" w:cs="Arial"/>
          <w:sz w:val="24"/>
          <w:szCs w:val="24"/>
          <w:lang w:val="en-GB"/>
        </w:rPr>
        <w:t xml:space="preserve"> coverage. 28,340 FWA subscriptions are in settlements where no other technology is present (31% of all FWA subscribers, compared with 3% for </w:t>
      </w:r>
      <w:r w:rsidR="00592449">
        <w:rPr>
          <w:rFonts w:eastAsia="Times New Roman" w:cs="Arial"/>
          <w:sz w:val="24"/>
          <w:szCs w:val="24"/>
          <w:lang w:val="en-GB"/>
        </w:rPr>
        <w:t>FTTx</w:t>
      </w:r>
      <w:r w:rsidRPr="00BC1ABD">
        <w:rPr>
          <w:rFonts w:eastAsia="Times New Roman" w:cs="Arial"/>
          <w:sz w:val="24"/>
          <w:szCs w:val="24"/>
          <w:lang w:val="en-GB"/>
        </w:rPr>
        <w:t xml:space="preserve"> and less than 1% for xDSL). Even in settlements, where more technologies are present, it generally happens that the different technologies do not fully overlap.</w:t>
      </w:r>
    </w:p>
    <w:p w14:paraId="55A102A1" w14:textId="7429FDA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Given its limitations on quality and speed, FWA technology is not a real substitute to the leading broadband access </w:t>
      </w:r>
      <w:r w:rsidR="00D06480">
        <w:rPr>
          <w:rFonts w:eastAsia="Times New Roman" w:cs="Arial"/>
          <w:sz w:val="24"/>
          <w:szCs w:val="24"/>
          <w:lang w:val="en-GB"/>
        </w:rPr>
        <w:t>technology</w:t>
      </w:r>
      <w:r w:rsidRPr="00BC1ABD">
        <w:rPr>
          <w:rFonts w:eastAsia="Times New Roman" w:cs="Arial"/>
          <w:sz w:val="24"/>
          <w:szCs w:val="24"/>
          <w:lang w:val="en-GB"/>
        </w:rPr>
        <w:t xml:space="preserve"> (</w:t>
      </w:r>
      <w:r w:rsidR="00592449">
        <w:rPr>
          <w:rFonts w:eastAsia="Times New Roman"/>
          <w:sz w:val="24"/>
          <w:szCs w:val="24"/>
          <w:lang w:val="en-GB"/>
        </w:rPr>
        <w:t>FTTx</w:t>
      </w:r>
      <w:r w:rsidRPr="00BC1ABD">
        <w:rPr>
          <w:rFonts w:eastAsia="Times New Roman"/>
          <w:sz w:val="24"/>
          <w:szCs w:val="24"/>
          <w:lang w:val="en-GB"/>
        </w:rPr>
        <w:t xml:space="preserve">) </w:t>
      </w:r>
      <w:r w:rsidRPr="00BC1ABD">
        <w:rPr>
          <w:rFonts w:eastAsia="Times New Roman" w:cs="Arial"/>
          <w:sz w:val="24"/>
          <w:szCs w:val="24"/>
          <w:lang w:val="en-GB"/>
        </w:rPr>
        <w:t xml:space="preserve">for higher-speed fixed broadband access services. This conclusion is also supported by the data on technologies of each group of speeds (see figure </w:t>
      </w:r>
      <w:r w:rsidR="00F04437">
        <w:rPr>
          <w:rFonts w:eastAsia="Times New Roman" w:cs="Arial"/>
          <w:sz w:val="24"/>
          <w:szCs w:val="24"/>
          <w:lang w:val="en-GB"/>
        </w:rPr>
        <w:t>26</w:t>
      </w:r>
      <w:r w:rsidRPr="00BC1ABD">
        <w:rPr>
          <w:rFonts w:eastAsia="Times New Roman" w:cs="Arial"/>
          <w:sz w:val="24"/>
          <w:szCs w:val="24"/>
          <w:lang w:val="en-GB"/>
        </w:rPr>
        <w:t>) which shows that most FWA subscribers use speeds below 30 Mbps (the lowest two groups of speeds), and only a few use services in speed range 30 Mbps – 100 Mbps and above 100 Mbps.</w:t>
      </w:r>
    </w:p>
    <w:p w14:paraId="1CEEC6D6"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 most important disadvantage of FWA is that the available transmission capacity is shared between multiple users, which can significantly affect the level of service especially at times of peak usage when multiple users are on-line at the same time. This disadvantage is of lower importance for the basic fixed broadband access market (i.e. up to 10 Mbps).</w:t>
      </w:r>
    </w:p>
    <w:p w14:paraId="0F4ECC3F" w14:textId="456190BA"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Taking into account the prices, offered speeds, market trends, the technical limitations of FWA fixed broadband technology and taking </w:t>
      </w:r>
      <w:r w:rsidR="00D06480">
        <w:rPr>
          <w:rFonts w:eastAsia="Times New Roman" w:cs="Arial"/>
          <w:sz w:val="24"/>
          <w:szCs w:val="24"/>
          <w:lang w:val="en-GB"/>
        </w:rPr>
        <w:t xml:space="preserve">a </w:t>
      </w:r>
      <w:r w:rsidRPr="00BC1ABD">
        <w:rPr>
          <w:rFonts w:eastAsia="Times New Roman" w:cs="Arial"/>
          <w:sz w:val="24"/>
          <w:szCs w:val="24"/>
          <w:lang w:val="en-GB"/>
        </w:rPr>
        <w:t xml:space="preserve">forward-looking view, it is considered that FWA is not a substitute service to </w:t>
      </w:r>
      <w:r w:rsidR="00592449">
        <w:rPr>
          <w:rFonts w:eastAsia="Times New Roman" w:cs="Arial"/>
          <w:sz w:val="24"/>
          <w:szCs w:val="24"/>
          <w:lang w:val="en-GB"/>
        </w:rPr>
        <w:t>FTTx</w:t>
      </w:r>
      <w:r w:rsidRPr="00BC1ABD">
        <w:rPr>
          <w:rFonts w:eastAsia="Times New Roman" w:cs="Arial"/>
          <w:sz w:val="24"/>
          <w:szCs w:val="24"/>
          <w:lang w:val="en-GB"/>
        </w:rPr>
        <w:t xml:space="preserve"> for the higher-speed fixed broadband access market. FWA cannot compete with </w:t>
      </w:r>
      <w:r w:rsidR="00592449">
        <w:rPr>
          <w:rFonts w:eastAsia="Times New Roman" w:cs="Arial"/>
          <w:sz w:val="24"/>
          <w:szCs w:val="24"/>
          <w:lang w:val="en-GB"/>
        </w:rPr>
        <w:t>FTTx</w:t>
      </w:r>
      <w:r w:rsidRPr="00BC1ABD">
        <w:rPr>
          <w:rFonts w:eastAsia="Times New Roman" w:cs="Arial"/>
          <w:sz w:val="24"/>
          <w:szCs w:val="24"/>
          <w:lang w:val="en-GB"/>
        </w:rPr>
        <w:t xml:space="preserve"> in terms of service quality and speeds. FWA is more a complementary service to the </w:t>
      </w:r>
      <w:r w:rsidR="00592449">
        <w:rPr>
          <w:rFonts w:eastAsia="Times New Roman" w:cs="Arial"/>
          <w:sz w:val="24"/>
          <w:szCs w:val="24"/>
          <w:lang w:val="en-GB"/>
        </w:rPr>
        <w:t>FTTx</w:t>
      </w:r>
      <w:r w:rsidRPr="00BC1ABD">
        <w:rPr>
          <w:rFonts w:eastAsia="Times New Roman" w:cs="Arial"/>
          <w:sz w:val="24"/>
          <w:szCs w:val="24"/>
          <w:lang w:val="en-GB"/>
        </w:rPr>
        <w:t xml:space="preserve"> broadband access, especially in areas where </w:t>
      </w:r>
      <w:r w:rsidR="00592449">
        <w:rPr>
          <w:rFonts w:eastAsia="Times New Roman" w:cs="Arial"/>
          <w:sz w:val="24"/>
          <w:szCs w:val="24"/>
          <w:lang w:val="en-GB"/>
        </w:rPr>
        <w:t>FTTx</w:t>
      </w:r>
      <w:r w:rsidRPr="00BC1ABD">
        <w:rPr>
          <w:rFonts w:eastAsia="Times New Roman" w:cs="Arial"/>
          <w:sz w:val="24"/>
          <w:szCs w:val="24"/>
          <w:lang w:val="en-GB"/>
        </w:rPr>
        <w:t xml:space="preserve"> coverage is limited.</w:t>
      </w:r>
    </w:p>
    <w:p w14:paraId="5CFE51D2" w14:textId="4AFA1446"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It is therefore concluded that FWA is not a demand-side substitute for </w:t>
      </w:r>
      <w:r w:rsidR="00592449">
        <w:rPr>
          <w:rFonts w:eastAsia="Times New Roman" w:cs="Arial"/>
          <w:sz w:val="24"/>
          <w:szCs w:val="24"/>
          <w:lang w:val="en-GB"/>
        </w:rPr>
        <w:t>FTTx</w:t>
      </w:r>
      <w:r w:rsidRPr="00BC1ABD">
        <w:rPr>
          <w:rFonts w:eastAsia="Times New Roman" w:cs="Arial"/>
          <w:sz w:val="24"/>
          <w:szCs w:val="24"/>
          <w:lang w:val="en-GB"/>
        </w:rPr>
        <w:t xml:space="preserve"> in the higher-speed broadband access market and does not therefore form a part of the same relevant retail market related to higher-speed fixed broadband access.</w:t>
      </w:r>
    </w:p>
    <w:p w14:paraId="2395C353" w14:textId="302DE034"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For the basic fixed broadband access market, as stated in Figure </w:t>
      </w:r>
      <w:r w:rsidR="000E5518">
        <w:rPr>
          <w:rFonts w:eastAsia="Times New Roman" w:cs="Arial"/>
          <w:sz w:val="24"/>
          <w:szCs w:val="24"/>
          <w:lang w:val="en-GB"/>
        </w:rPr>
        <w:t>26</w:t>
      </w:r>
      <w:r w:rsidRPr="00BC1ABD">
        <w:rPr>
          <w:rFonts w:eastAsia="Times New Roman" w:cs="Arial"/>
          <w:sz w:val="24"/>
          <w:szCs w:val="24"/>
          <w:lang w:val="en-GB"/>
        </w:rPr>
        <w:t xml:space="preserve">, FWA is the leading technology, mainly competing with xDSL in terms of access speeds and prices. The speed disadvantages of FWA do not apply to the basic market. In addition, there are no current offers for </w:t>
      </w:r>
      <w:r w:rsidR="00592449">
        <w:rPr>
          <w:rFonts w:eastAsia="Times New Roman" w:cs="Arial"/>
          <w:sz w:val="24"/>
          <w:szCs w:val="24"/>
          <w:lang w:val="en-GB"/>
        </w:rPr>
        <w:t>FTTx</w:t>
      </w:r>
      <w:r w:rsidRPr="00BC1ABD">
        <w:rPr>
          <w:rFonts w:eastAsia="Times New Roman" w:cs="Arial"/>
          <w:sz w:val="24"/>
          <w:szCs w:val="24"/>
          <w:lang w:val="en-GB"/>
        </w:rPr>
        <w:t xml:space="preserve"> for the speeds below 20 Mbps. It can be considered that at present there is no competitive pressure applied to FWA from </w:t>
      </w:r>
      <w:r w:rsidR="00592449">
        <w:rPr>
          <w:rFonts w:eastAsia="Times New Roman" w:cs="Arial"/>
          <w:sz w:val="24"/>
          <w:szCs w:val="24"/>
          <w:lang w:val="en-GB"/>
        </w:rPr>
        <w:t>FTTx</w:t>
      </w:r>
      <w:r w:rsidRPr="00BC1ABD">
        <w:rPr>
          <w:rFonts w:eastAsia="Times New Roman" w:cs="Arial"/>
          <w:sz w:val="24"/>
          <w:szCs w:val="24"/>
          <w:lang w:val="en-GB"/>
        </w:rPr>
        <w:t xml:space="preserve"> in the basic fixed broadband access market and therefore </w:t>
      </w:r>
      <w:r w:rsidR="00592449">
        <w:rPr>
          <w:rFonts w:eastAsia="Times New Roman" w:cs="Arial"/>
          <w:sz w:val="24"/>
          <w:szCs w:val="24"/>
          <w:lang w:val="en-GB"/>
        </w:rPr>
        <w:t>FTTx</w:t>
      </w:r>
      <w:r w:rsidRPr="00BC1ABD">
        <w:rPr>
          <w:rFonts w:eastAsia="Times New Roman" w:cs="Arial"/>
          <w:sz w:val="24"/>
          <w:szCs w:val="24"/>
          <w:lang w:val="en-GB"/>
        </w:rPr>
        <w:t xml:space="preserve"> is not a current substitute to FWA in that market. </w:t>
      </w:r>
    </w:p>
    <w:p w14:paraId="43731F6B" w14:textId="72C9BA60"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From the supply</w:t>
      </w:r>
      <w:r w:rsidR="00F54BCD">
        <w:rPr>
          <w:rFonts w:eastAsia="Times New Roman" w:cs="Arial"/>
          <w:sz w:val="24"/>
          <w:szCs w:val="24"/>
          <w:lang w:val="en-GB"/>
        </w:rPr>
        <w:t>-</w:t>
      </w:r>
      <w:r w:rsidRPr="00BC1ABD">
        <w:rPr>
          <w:rFonts w:eastAsia="Times New Roman" w:cs="Arial"/>
          <w:sz w:val="24"/>
          <w:szCs w:val="24"/>
          <w:lang w:val="en-GB"/>
        </w:rPr>
        <w:t xml:space="preserve">side, these services are potentially substitutable, but there is a low likelihood that </w:t>
      </w:r>
      <w:r w:rsidR="00592449">
        <w:rPr>
          <w:rFonts w:eastAsia="Times New Roman" w:cs="Arial"/>
          <w:sz w:val="24"/>
          <w:szCs w:val="24"/>
          <w:lang w:val="en-GB"/>
        </w:rPr>
        <w:t>FTTx</w:t>
      </w:r>
      <w:r w:rsidRPr="00BC1ABD">
        <w:rPr>
          <w:rFonts w:eastAsia="Times New Roman" w:cs="Arial"/>
          <w:sz w:val="24"/>
          <w:szCs w:val="24"/>
          <w:lang w:val="en-GB"/>
        </w:rPr>
        <w:t xml:space="preserve"> providers would offer lower speeds because their business model is based on high-speed usage.</w:t>
      </w:r>
    </w:p>
    <w:p w14:paraId="328924AA" w14:textId="6002E664"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It is therefore concluded that </w:t>
      </w:r>
      <w:r w:rsidR="00592449">
        <w:rPr>
          <w:rFonts w:eastAsia="Times New Roman" w:cs="Arial"/>
          <w:sz w:val="24"/>
          <w:szCs w:val="24"/>
          <w:lang w:val="en-GB"/>
        </w:rPr>
        <w:t>FTTx</w:t>
      </w:r>
      <w:r w:rsidRPr="00BC1ABD">
        <w:rPr>
          <w:rFonts w:eastAsia="Times New Roman" w:cs="Arial"/>
          <w:sz w:val="24"/>
          <w:szCs w:val="24"/>
          <w:lang w:val="en-GB"/>
        </w:rPr>
        <w:t xml:space="preserve"> does not form part of the basic fixed broadband access market, but as already mentioned, FWA is more a complementary service to the </w:t>
      </w:r>
      <w:r w:rsidR="00592449">
        <w:rPr>
          <w:rFonts w:eastAsia="Times New Roman" w:cs="Arial"/>
          <w:sz w:val="24"/>
          <w:szCs w:val="24"/>
          <w:lang w:val="en-GB"/>
        </w:rPr>
        <w:t>FTTx</w:t>
      </w:r>
      <w:r w:rsidRPr="00BC1ABD">
        <w:rPr>
          <w:rFonts w:eastAsia="Times New Roman" w:cs="Arial"/>
          <w:sz w:val="24"/>
          <w:szCs w:val="24"/>
          <w:lang w:val="en-GB"/>
        </w:rPr>
        <w:t xml:space="preserve"> broadband access, especially in areas where </w:t>
      </w:r>
      <w:r w:rsidR="00592449">
        <w:rPr>
          <w:rFonts w:eastAsia="Times New Roman" w:cs="Arial"/>
          <w:sz w:val="24"/>
          <w:szCs w:val="24"/>
          <w:lang w:val="en-GB"/>
        </w:rPr>
        <w:t>FTTx</w:t>
      </w:r>
      <w:r w:rsidRPr="00BC1ABD">
        <w:rPr>
          <w:rFonts w:eastAsia="Times New Roman" w:cs="Arial"/>
          <w:sz w:val="24"/>
          <w:szCs w:val="24"/>
          <w:lang w:val="en-GB"/>
        </w:rPr>
        <w:t xml:space="preserve"> coverage is limited.</w:t>
      </w:r>
    </w:p>
    <w:p w14:paraId="52504A99" w14:textId="77777777" w:rsidR="009F5BF2" w:rsidRPr="008F11B7" w:rsidRDefault="009F5BF2" w:rsidP="008F11B7">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57" w:name="_Toc97535477"/>
      <w:bookmarkStart w:id="158" w:name="_Toc169258924"/>
      <w:bookmarkEnd w:id="146"/>
      <w:r w:rsidRPr="008F11B7">
        <w:rPr>
          <w:rFonts w:asciiTheme="minorHAnsi" w:hAnsiTheme="minorHAnsi" w:cstheme="minorHAnsi"/>
          <w:b w:val="0"/>
          <w:bCs w:val="0"/>
          <w:sz w:val="24"/>
          <w:szCs w:val="24"/>
          <w:lang w:val="en-GB"/>
        </w:rPr>
        <w:t>xDSL access over copper pair (ADSL and VDSL)</w:t>
      </w:r>
      <w:bookmarkEnd w:id="157"/>
      <w:bookmarkEnd w:id="158"/>
      <w:r w:rsidRPr="008F11B7">
        <w:rPr>
          <w:rFonts w:asciiTheme="minorHAnsi" w:hAnsiTheme="minorHAnsi" w:cstheme="minorHAnsi"/>
          <w:b w:val="0"/>
          <w:bCs w:val="0"/>
          <w:sz w:val="24"/>
          <w:szCs w:val="24"/>
          <w:lang w:val="en-GB"/>
        </w:rPr>
        <w:t xml:space="preserve"> </w:t>
      </w:r>
    </w:p>
    <w:p w14:paraId="6D4ABC4D" w14:textId="77777777" w:rsidR="009F5BF2" w:rsidRPr="00BC1ABD" w:rsidRDefault="009F5BF2" w:rsidP="009F5BF2">
      <w:pPr>
        <w:jc w:val="both"/>
        <w:rPr>
          <w:rFonts w:eastAsia="Times New Roman" w:cs="Arial"/>
          <w:sz w:val="24"/>
          <w:szCs w:val="24"/>
          <w:lang w:val="en-GB"/>
        </w:rPr>
      </w:pPr>
      <w:bookmarkStart w:id="159" w:name="_Toc97535479"/>
      <w:r w:rsidRPr="00BC1ABD">
        <w:rPr>
          <w:rFonts w:eastAsia="Times New Roman" w:cs="Arial"/>
          <w:sz w:val="24"/>
          <w:szCs w:val="24"/>
          <w:lang w:val="en-GB"/>
        </w:rPr>
        <w:t>According to the market data, xDSL access over copper access networks accounts for only 1.4% of the total subscriptions for fixed broadband access in Georgia.</w:t>
      </w:r>
    </w:p>
    <w:p w14:paraId="6726C550" w14:textId="2316EADA"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As in other countries, the former incumbent operator deployed a copper access network, primarily for fixed voice telephony. Silknet, the former incumbent operato</w:t>
      </w:r>
      <w:r w:rsidR="00D06480">
        <w:rPr>
          <w:rFonts w:eastAsia="Times New Roman" w:cs="Arial"/>
          <w:sz w:val="24"/>
          <w:szCs w:val="24"/>
          <w:lang w:val="en-GB"/>
        </w:rPr>
        <w:t>r</w:t>
      </w:r>
      <w:r w:rsidRPr="00BC1ABD">
        <w:rPr>
          <w:rFonts w:eastAsia="Times New Roman" w:cs="Arial"/>
          <w:sz w:val="24"/>
          <w:szCs w:val="24"/>
          <w:lang w:val="en-GB"/>
        </w:rPr>
        <w:t xml:space="preserve">, has inherited this copper access infrastructure in Georgia. Apart from Silknet, some other operators have deployed their own local copper access infrastructure, but on </w:t>
      </w:r>
      <w:r w:rsidR="00D06480">
        <w:rPr>
          <w:rFonts w:eastAsia="Times New Roman" w:cs="Arial"/>
          <w:sz w:val="24"/>
          <w:szCs w:val="24"/>
          <w:lang w:val="en-GB"/>
        </w:rPr>
        <w:t xml:space="preserve">a </w:t>
      </w:r>
      <w:r w:rsidRPr="00BC1ABD">
        <w:rPr>
          <w:rFonts w:eastAsia="Times New Roman" w:cs="Arial"/>
          <w:sz w:val="24"/>
          <w:szCs w:val="24"/>
          <w:lang w:val="en-GB"/>
        </w:rPr>
        <w:t xml:space="preserve">much smaller scale. In terms of </w:t>
      </w:r>
      <w:r w:rsidR="00975125">
        <w:rPr>
          <w:rFonts w:eastAsia="Times New Roman" w:cs="Arial"/>
          <w:sz w:val="24"/>
          <w:szCs w:val="24"/>
          <w:lang w:val="en-GB"/>
        </w:rPr>
        <w:t xml:space="preserve">the </w:t>
      </w:r>
      <w:r w:rsidRPr="00BC1ABD">
        <w:rPr>
          <w:rFonts w:eastAsia="Times New Roman" w:cs="Arial"/>
          <w:sz w:val="24"/>
          <w:szCs w:val="24"/>
          <w:lang w:val="en-GB"/>
        </w:rPr>
        <w:t>number of active connections, the most important providers of xDSL broadband access in Georgia are:</w:t>
      </w:r>
    </w:p>
    <w:p w14:paraId="556C8B44" w14:textId="3F7674CD" w:rsidR="009F5BF2" w:rsidRPr="00BC1ABD" w:rsidRDefault="009F5BF2" w:rsidP="009F5BF2">
      <w:pPr>
        <w:numPr>
          <w:ilvl w:val="0"/>
          <w:numId w:val="70"/>
        </w:numPr>
        <w:contextualSpacing/>
        <w:jc w:val="both"/>
        <w:rPr>
          <w:rFonts w:eastAsia="Times New Roman" w:cs="Arial"/>
          <w:sz w:val="24"/>
          <w:szCs w:val="24"/>
          <w:lang w:val="en-GB"/>
        </w:rPr>
      </w:pPr>
      <w:r w:rsidRPr="00BC1ABD">
        <w:rPr>
          <w:rFonts w:eastAsia="Times New Roman" w:cs="Arial"/>
          <w:sz w:val="24"/>
          <w:szCs w:val="24"/>
          <w:lang w:val="en-GB"/>
        </w:rPr>
        <w:t>S</w:t>
      </w:r>
      <w:r w:rsidR="002A21CD">
        <w:rPr>
          <w:rFonts w:eastAsia="Times New Roman" w:cs="Arial"/>
          <w:sz w:val="24"/>
          <w:szCs w:val="24"/>
          <w:lang w:val="en-GB"/>
        </w:rPr>
        <w:t>i</w:t>
      </w:r>
      <w:r w:rsidRPr="00BC1ABD">
        <w:rPr>
          <w:rFonts w:eastAsia="Times New Roman" w:cs="Arial"/>
          <w:sz w:val="24"/>
          <w:szCs w:val="24"/>
          <w:lang w:val="en-GB"/>
        </w:rPr>
        <w:t>lknet</w:t>
      </w:r>
      <w:r w:rsidR="00975125">
        <w:rPr>
          <w:rFonts w:eastAsia="Times New Roman" w:cs="Arial"/>
          <w:sz w:val="24"/>
          <w:szCs w:val="24"/>
          <w:lang w:val="en-GB"/>
        </w:rPr>
        <w:t>;</w:t>
      </w:r>
    </w:p>
    <w:p w14:paraId="40279D8C" w14:textId="3E6BB590" w:rsidR="009F5BF2" w:rsidRPr="00BC1ABD" w:rsidRDefault="001A02CA" w:rsidP="009F5BF2">
      <w:pPr>
        <w:numPr>
          <w:ilvl w:val="0"/>
          <w:numId w:val="70"/>
        </w:numPr>
        <w:contextualSpacing/>
        <w:jc w:val="both"/>
        <w:rPr>
          <w:rFonts w:eastAsia="Times New Roman" w:cs="Arial"/>
          <w:sz w:val="24"/>
          <w:szCs w:val="24"/>
          <w:lang w:val="en-GB"/>
        </w:rPr>
      </w:pPr>
      <w:r>
        <w:rPr>
          <w:rFonts w:eastAsia="Times New Roman" w:cs="Arial"/>
          <w:sz w:val="24"/>
          <w:szCs w:val="24"/>
          <w:lang w:val="en-GB"/>
        </w:rPr>
        <w:t>Akhali Kselebi</w:t>
      </w:r>
    </w:p>
    <w:p w14:paraId="6D4C7B83" w14:textId="77777777" w:rsidR="000F5A70" w:rsidRDefault="000F5A70" w:rsidP="009F5BF2">
      <w:pPr>
        <w:jc w:val="both"/>
        <w:rPr>
          <w:rFonts w:eastAsia="Times New Roman" w:cs="Arial"/>
          <w:sz w:val="24"/>
          <w:szCs w:val="24"/>
          <w:lang w:val="en-GB"/>
        </w:rPr>
      </w:pPr>
    </w:p>
    <w:p w14:paraId="4AD3E8A3" w14:textId="1EA773C5"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xDSL technology enables data transmission at high speeds (from 24 Mbps using </w:t>
      </w:r>
      <w:r w:rsidRPr="00E517D9">
        <w:rPr>
          <w:lang w:val="en-US"/>
        </w:rPr>
        <w:t>ADSL2+</w:t>
      </w:r>
      <w:r w:rsidRPr="00BC1ABD">
        <w:rPr>
          <w:rFonts w:eastAsia="Times New Roman" w:cs="Arial"/>
          <w:sz w:val="24"/>
          <w:szCs w:val="24"/>
          <w:vertAlign w:val="superscript"/>
          <w:lang w:val="en-GB"/>
        </w:rPr>
        <w:footnoteReference w:id="64"/>
      </w:r>
      <w:r w:rsidRPr="00BC1ABD">
        <w:rPr>
          <w:rFonts w:eastAsia="Times New Roman" w:cs="Arial"/>
          <w:sz w:val="24"/>
          <w:szCs w:val="24"/>
          <w:lang w:val="en-GB"/>
        </w:rPr>
        <w:t xml:space="preserve">) to 300 Mbps using </w:t>
      </w:r>
      <w:r w:rsidRPr="00E517D9">
        <w:rPr>
          <w:lang w:val="en-US"/>
        </w:rPr>
        <w:t>VDSL2</w:t>
      </w:r>
      <w:r w:rsidRPr="00BC1ABD">
        <w:rPr>
          <w:rFonts w:eastAsia="Times New Roman" w:cs="Arial"/>
          <w:sz w:val="24"/>
          <w:szCs w:val="24"/>
          <w:lang w:val="en-GB"/>
        </w:rPr>
        <w:t xml:space="preserve"> vectoring</w:t>
      </w:r>
      <w:r w:rsidRPr="00BC1ABD">
        <w:rPr>
          <w:rFonts w:eastAsia="Times New Roman" w:cs="Arial"/>
          <w:sz w:val="24"/>
          <w:szCs w:val="24"/>
          <w:vertAlign w:val="superscript"/>
          <w:lang w:val="en-GB"/>
        </w:rPr>
        <w:footnoteReference w:id="65"/>
      </w:r>
      <w:r w:rsidRPr="00BC1ABD">
        <w:rPr>
          <w:rFonts w:eastAsia="Times New Roman" w:cs="Arial"/>
          <w:sz w:val="24"/>
          <w:szCs w:val="24"/>
          <w:lang w:val="en-GB"/>
        </w:rPr>
        <w:t xml:space="preserve">). The higher speeds can only be achieved for fixed broadband access on </w:t>
      </w:r>
      <w:r w:rsidR="000F5A70">
        <w:rPr>
          <w:rFonts w:eastAsia="Times New Roman" w:cs="Arial"/>
          <w:sz w:val="24"/>
          <w:szCs w:val="24"/>
          <w:lang w:val="en-GB"/>
        </w:rPr>
        <w:t xml:space="preserve">good quality </w:t>
      </w:r>
      <w:r w:rsidRPr="00BC1ABD">
        <w:rPr>
          <w:rFonts w:eastAsia="Times New Roman" w:cs="Arial"/>
          <w:sz w:val="24"/>
          <w:szCs w:val="24"/>
          <w:lang w:val="en-GB"/>
        </w:rPr>
        <w:t xml:space="preserve">short copper pairs. The shorter the copper pair, the faster the speed that can be achieved. In the case of </w:t>
      </w:r>
      <w:r w:rsidRPr="00E517D9">
        <w:rPr>
          <w:lang w:val="en-US"/>
        </w:rPr>
        <w:t>FTTC</w:t>
      </w:r>
      <w:r w:rsidR="000F5A70" w:rsidRPr="00E517D9">
        <w:rPr>
          <w:lang w:val="en-US"/>
        </w:rPr>
        <w:t>/ FTTB</w:t>
      </w:r>
      <w:r w:rsidRPr="00BC1ABD">
        <w:rPr>
          <w:rFonts w:eastAsia="Times New Roman" w:cs="Arial"/>
          <w:sz w:val="24"/>
          <w:szCs w:val="24"/>
          <w:vertAlign w:val="superscript"/>
          <w:lang w:val="en-GB"/>
        </w:rPr>
        <w:footnoteReference w:id="66"/>
      </w:r>
      <w:r w:rsidRPr="00BC1ABD">
        <w:rPr>
          <w:rFonts w:eastAsia="Times New Roman" w:cs="Arial"/>
          <w:sz w:val="24"/>
          <w:szCs w:val="24"/>
          <w:lang w:val="en-GB"/>
        </w:rPr>
        <w:t>, operators expand the coverage of fibre in their network by installing the fibre up to a street cabinet or to the wall of a building. In these cases, the final connection to the end-user is still provided over a copper pair. These limited fibre deployments aim to shorten the length of the copper part of the connections in order to allow greater speeds. Different VDSL solutions can be implemented on shorter pairs. Solutions based on vectoring technology can also be implemented to increase the utilisation of a copper pair in terms of significantly higher speeds.</w:t>
      </w:r>
    </w:p>
    <w:p w14:paraId="3E909AD1" w14:textId="2B6332A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According to ComCom data, most xDSL connections in Georgia are related to the lower speed </w:t>
      </w:r>
      <w:r w:rsidRPr="00E517D9">
        <w:rPr>
          <w:lang w:val="en-US"/>
        </w:rPr>
        <w:t>ADSL</w:t>
      </w:r>
      <w:r w:rsidRPr="00BC1ABD">
        <w:rPr>
          <w:rFonts w:eastAsia="Times New Roman" w:cs="Arial"/>
          <w:sz w:val="24"/>
          <w:szCs w:val="24"/>
          <w:vertAlign w:val="superscript"/>
          <w:lang w:val="en-GB"/>
        </w:rPr>
        <w:footnoteReference w:id="67"/>
      </w:r>
      <w:r w:rsidRPr="00BC1ABD">
        <w:rPr>
          <w:rFonts w:eastAsia="Times New Roman" w:cs="Arial"/>
          <w:sz w:val="24"/>
          <w:szCs w:val="24"/>
          <w:lang w:val="en-GB"/>
        </w:rPr>
        <w:t xml:space="preserve"> type of access. The number of xDSL connections continues to decrease each year (see Figure </w:t>
      </w:r>
      <w:r w:rsidR="001F3071">
        <w:rPr>
          <w:rFonts w:eastAsia="Times New Roman" w:cs="Arial"/>
          <w:sz w:val="24"/>
          <w:szCs w:val="24"/>
          <w:lang w:val="en-GB"/>
        </w:rPr>
        <w:t>20</w:t>
      </w:r>
      <w:r w:rsidRPr="00BC1ABD">
        <w:rPr>
          <w:rFonts w:eastAsia="Times New Roman" w:cs="Arial"/>
          <w:sz w:val="24"/>
          <w:szCs w:val="24"/>
          <w:lang w:val="en-GB"/>
        </w:rPr>
        <w:t xml:space="preserve">). Most of the previous users of xDSL fixed broadband access have switched to an </w:t>
      </w:r>
      <w:r w:rsidR="00592449">
        <w:rPr>
          <w:rFonts w:eastAsia="Times New Roman" w:cs="Arial"/>
          <w:sz w:val="24"/>
          <w:szCs w:val="24"/>
          <w:lang w:val="en-GB"/>
        </w:rPr>
        <w:t>FTTx</w:t>
      </w:r>
      <w:r w:rsidRPr="00BC1ABD">
        <w:rPr>
          <w:rFonts w:eastAsia="Times New Roman" w:cs="Arial"/>
          <w:sz w:val="24"/>
          <w:szCs w:val="24"/>
          <w:lang w:val="en-GB"/>
        </w:rPr>
        <w:t xml:space="preserve"> service. xDSL access is only offered at the retail level by those operators who have their own copper access networks. ComCom have introduced a regulation obliging copper infrastructure owners to offer wholesale access to other retail providers</w:t>
      </w:r>
      <w:r w:rsidRPr="00BC1ABD">
        <w:rPr>
          <w:rFonts w:eastAsia="Times New Roman" w:cs="Arial"/>
          <w:sz w:val="24"/>
          <w:szCs w:val="24"/>
          <w:vertAlign w:val="superscript"/>
          <w:lang w:val="en-GB"/>
        </w:rPr>
        <w:footnoteReference w:id="68"/>
      </w:r>
      <w:r w:rsidRPr="00BC1ABD">
        <w:rPr>
          <w:rFonts w:eastAsia="Times New Roman" w:cs="Arial"/>
          <w:sz w:val="24"/>
          <w:szCs w:val="24"/>
          <w:lang w:val="en-GB"/>
        </w:rPr>
        <w:t xml:space="preserve"> (unbundled local loop access). However, no wholesale copper access has been used by alternative operators to offer fixed broadband services at a retail level. So unlike in EU Member States, although the enabling regulation exists, the facility is not used by any competitors in Georgia.</w:t>
      </w:r>
    </w:p>
    <w:p w14:paraId="4C902974" w14:textId="4349E9B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One of the possible reasons for this difference in fixed broadband markets between the EU and Georgia is that there is a much more widespread coverage of </w:t>
      </w:r>
      <w:r w:rsidR="00592449">
        <w:rPr>
          <w:rFonts w:eastAsia="Times New Roman" w:cs="Arial"/>
          <w:sz w:val="24"/>
          <w:szCs w:val="24"/>
          <w:lang w:val="en-GB"/>
        </w:rPr>
        <w:t>FTTx</w:t>
      </w:r>
      <w:r w:rsidRPr="00BC1ABD">
        <w:rPr>
          <w:rFonts w:eastAsia="Times New Roman" w:cs="Arial"/>
          <w:sz w:val="24"/>
          <w:szCs w:val="24"/>
          <w:lang w:val="en-GB"/>
        </w:rPr>
        <w:t xml:space="preserve"> in Georgia (see Figure </w:t>
      </w:r>
      <w:r w:rsidR="001F3071">
        <w:rPr>
          <w:rFonts w:eastAsia="Times New Roman" w:cs="Arial"/>
          <w:sz w:val="24"/>
          <w:szCs w:val="24"/>
          <w:lang w:val="en-GB"/>
        </w:rPr>
        <w:t>23</w:t>
      </w:r>
      <w:r w:rsidRPr="00BC1ABD">
        <w:rPr>
          <w:rFonts w:eastAsia="Times New Roman" w:cs="Arial"/>
          <w:sz w:val="24"/>
          <w:szCs w:val="24"/>
          <w:lang w:val="en-GB"/>
        </w:rPr>
        <w:t xml:space="preserve">). Georgian operators have focused mainly on building their own fibre infrastructures. For those operators that already have legacy copper access networks, these fibre investments are not only being used to expand their geographical coverage but are also being used as a future-proof replacement for their </w:t>
      </w:r>
      <w:r w:rsidR="000F5A70">
        <w:rPr>
          <w:rFonts w:eastAsia="Times New Roman" w:cs="Arial"/>
          <w:sz w:val="24"/>
          <w:szCs w:val="24"/>
          <w:lang w:val="en-GB"/>
        </w:rPr>
        <w:t xml:space="preserve">existing </w:t>
      </w:r>
      <w:r w:rsidRPr="00BC1ABD">
        <w:rPr>
          <w:rFonts w:eastAsia="Times New Roman" w:cs="Arial"/>
          <w:sz w:val="24"/>
          <w:szCs w:val="24"/>
          <w:lang w:val="en-GB"/>
        </w:rPr>
        <w:t xml:space="preserve">copper infrastructures. This means that these fibre-investing companies do not need to use the regulated copper unbundling facility in the areas they cover. The only wholesale service operators tend to use is for access to physical infrastructure (mainly ducts and poles) in order to deploy their own fibre networks. This leads to the conclusion that in Georgia, competition </w:t>
      </w:r>
      <w:r w:rsidR="000F5A70">
        <w:rPr>
          <w:rFonts w:eastAsia="Times New Roman" w:cs="Arial"/>
          <w:sz w:val="24"/>
          <w:szCs w:val="24"/>
          <w:lang w:val="en-GB"/>
        </w:rPr>
        <w:t>has taken</w:t>
      </w:r>
      <w:r w:rsidRPr="00BC1ABD">
        <w:rPr>
          <w:rFonts w:eastAsia="Times New Roman" w:cs="Arial"/>
          <w:sz w:val="24"/>
          <w:szCs w:val="24"/>
          <w:lang w:val="en-GB"/>
        </w:rPr>
        <w:t xml:space="preserve"> place mainly at the infrastructure level.</w:t>
      </w:r>
    </w:p>
    <w:p w14:paraId="519325B3"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This is a different situation from the EU, where widespread use is made of wholesale fixed broadband access services, including copper loop unbundling. In this way, the EU’s extensive legacy copper networks have been widely used to provide the infrastructure for competition at the retail level in the fixed broadband access market.</w:t>
      </w:r>
    </w:p>
    <w:p w14:paraId="151A26B6" w14:textId="176A376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According to the data on fixed broadband market speeds, services based on xDSL access in Georgia are provided only in two speed ranges (up to 10 Mbps and from 10 to 30 Mbps). Even in those ranges, xDSL holds very small market shares. The speeds offered via xDSL broadband access are limited by the technical capabilities of copper networks. There appear to be no investments in shortening the longer copper pairs, for example by using </w:t>
      </w:r>
      <w:r w:rsidRPr="00E517D9">
        <w:rPr>
          <w:lang w:val="en-US"/>
        </w:rPr>
        <w:t>FTTC</w:t>
      </w:r>
      <w:r w:rsidR="008968EB">
        <w:rPr>
          <w:rStyle w:val="FootnoteReference"/>
          <w:rFonts w:eastAsia="Times New Roman" w:cs="Arial"/>
          <w:sz w:val="24"/>
          <w:szCs w:val="24"/>
          <w:lang w:val="en-GB"/>
        </w:rPr>
        <w:footnoteReference w:id="69"/>
      </w:r>
      <w:r w:rsidRPr="00BC1ABD">
        <w:rPr>
          <w:rFonts w:eastAsia="Times New Roman" w:cs="Arial"/>
          <w:sz w:val="24"/>
          <w:szCs w:val="24"/>
          <w:lang w:val="en-GB"/>
        </w:rPr>
        <w:t>. The owners of Georgia’s copper access networks have instead focussed their investments on full fibre access (FTTH).</w:t>
      </w:r>
    </w:p>
    <w:p w14:paraId="274BD010" w14:textId="4841450F" w:rsidR="009F5BF2"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Examining the existing fixed broadband offers to retail customers, operators provide access via xDSL just for the lower speeds. The prices here are </w:t>
      </w:r>
      <w:r w:rsidR="006637F6">
        <w:rPr>
          <w:rFonts w:eastAsia="Times New Roman" w:cs="Arial"/>
          <w:sz w:val="24"/>
          <w:szCs w:val="24"/>
          <w:lang w:val="en-GB"/>
        </w:rPr>
        <w:t>higher than</w:t>
      </w:r>
      <w:r w:rsidRPr="00BC1ABD">
        <w:rPr>
          <w:rFonts w:eastAsia="Times New Roman" w:cs="Arial"/>
          <w:sz w:val="24"/>
          <w:szCs w:val="24"/>
          <w:lang w:val="en-GB"/>
        </w:rPr>
        <w:t xml:space="preserve"> </w:t>
      </w:r>
      <w:r w:rsidR="00592449">
        <w:rPr>
          <w:rFonts w:eastAsia="Times New Roman" w:cs="Arial"/>
          <w:sz w:val="24"/>
          <w:szCs w:val="24"/>
          <w:lang w:val="en-GB"/>
        </w:rPr>
        <w:t>FTTx</w:t>
      </w:r>
      <w:r w:rsidRPr="00BC1ABD">
        <w:rPr>
          <w:rFonts w:eastAsia="Times New Roman" w:cs="Arial"/>
          <w:sz w:val="24"/>
          <w:szCs w:val="24"/>
          <w:lang w:val="en-GB"/>
        </w:rPr>
        <w:t xml:space="preserve"> offers at some higher speeds. </w:t>
      </w:r>
    </w:p>
    <w:p w14:paraId="2279B547" w14:textId="4BF318DD" w:rsidR="009F5BF2" w:rsidRPr="00BC1ABD" w:rsidRDefault="009F5BF2" w:rsidP="009F5BF2">
      <w:pPr>
        <w:spacing w:line="240" w:lineRule="auto"/>
        <w:jc w:val="center"/>
        <w:rPr>
          <w:rFonts w:asciiTheme="minorHAnsi" w:eastAsia="Times New Roman" w:hAnsiTheme="minorHAnsi" w:cs="Arial"/>
          <w:i/>
          <w:iCs/>
          <w:color w:val="44546A" w:themeColor="text2"/>
          <w:sz w:val="20"/>
          <w:szCs w:val="20"/>
          <w:lang w:val="en-GB"/>
        </w:rPr>
      </w:pPr>
      <w:bookmarkStart w:id="160" w:name="_Toc141200273"/>
      <w:bookmarkStart w:id="161" w:name="_Toc152931384"/>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33</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xDSL vs </w:t>
      </w:r>
      <w:r w:rsidR="00592449">
        <w:rPr>
          <w:rFonts w:asciiTheme="minorHAnsi" w:eastAsia="Times New Roman" w:hAnsiTheme="minorHAnsi" w:cs="Arial"/>
          <w:i/>
          <w:iCs/>
          <w:color w:val="44546A" w:themeColor="text2"/>
          <w:sz w:val="20"/>
          <w:szCs w:val="20"/>
          <w:lang w:val="en-GB"/>
        </w:rPr>
        <w:t>FTTx</w:t>
      </w:r>
      <w:r w:rsidRPr="00BC1ABD">
        <w:rPr>
          <w:rFonts w:asciiTheme="minorHAnsi" w:eastAsia="Times New Roman" w:hAnsiTheme="minorHAnsi" w:cs="Arial"/>
          <w:i/>
          <w:iCs/>
          <w:color w:val="44546A" w:themeColor="text2"/>
          <w:sz w:val="20"/>
          <w:szCs w:val="20"/>
          <w:lang w:val="en-GB"/>
        </w:rPr>
        <w:t xml:space="preserve"> fixed broadband access prices per speed (in Tbilisi)</w:t>
      </w:r>
      <w:bookmarkEnd w:id="160"/>
      <w:bookmarkEnd w:id="161"/>
    </w:p>
    <w:tbl>
      <w:tblPr>
        <w:tblW w:w="6820" w:type="dxa"/>
        <w:jc w:val="center"/>
        <w:tblLook w:val="04A0" w:firstRow="1" w:lastRow="0" w:firstColumn="1" w:lastColumn="0" w:noHBand="0" w:noVBand="1"/>
      </w:tblPr>
      <w:tblGrid>
        <w:gridCol w:w="2479"/>
        <w:gridCol w:w="1065"/>
        <w:gridCol w:w="1134"/>
        <w:gridCol w:w="1134"/>
        <w:gridCol w:w="1008"/>
      </w:tblGrid>
      <w:tr w:rsidR="009F5BF2" w:rsidRPr="00355738" w14:paraId="658E487B" w14:textId="77777777" w:rsidTr="00E95C58">
        <w:trPr>
          <w:trHeight w:val="255"/>
          <w:jc w:val="center"/>
        </w:trPr>
        <w:tc>
          <w:tcPr>
            <w:tcW w:w="6820" w:type="dxa"/>
            <w:gridSpan w:val="5"/>
            <w:tcBorders>
              <w:top w:val="nil"/>
              <w:left w:val="nil"/>
              <w:bottom w:val="single" w:sz="4" w:space="0" w:color="auto"/>
              <w:right w:val="nil"/>
            </w:tcBorders>
            <w:noWrap/>
            <w:vAlign w:val="bottom"/>
            <w:hideMark/>
          </w:tcPr>
          <w:p w14:paraId="322C38DD" w14:textId="10FEE724" w:rsidR="009F5BF2" w:rsidRPr="00BC1ABD" w:rsidRDefault="00592449" w:rsidP="009F5BF2">
            <w:pPr>
              <w:spacing w:after="0" w:line="240" w:lineRule="auto"/>
              <w:jc w:val="center"/>
              <w:rPr>
                <w:rFonts w:eastAsia="Times New Roman" w:cs="Calibri"/>
                <w:b/>
                <w:bCs/>
                <w:color w:val="000000"/>
                <w:sz w:val="20"/>
                <w:szCs w:val="20"/>
                <w:lang w:val="en-GB" w:eastAsia="hr-HR"/>
              </w:rPr>
            </w:pPr>
            <w:r>
              <w:rPr>
                <w:rFonts w:eastAsia="Times New Roman" w:cs="Calibri"/>
                <w:b/>
                <w:bCs/>
                <w:color w:val="000000"/>
                <w:sz w:val="20"/>
                <w:szCs w:val="20"/>
                <w:lang w:val="en-GB" w:eastAsia="hr-HR"/>
              </w:rPr>
              <w:t>FTTx</w:t>
            </w:r>
            <w:r w:rsidR="009F5BF2" w:rsidRPr="00BC1ABD">
              <w:rPr>
                <w:rFonts w:eastAsia="Times New Roman" w:cs="Calibri"/>
                <w:b/>
                <w:bCs/>
                <w:color w:val="000000"/>
                <w:sz w:val="20"/>
                <w:szCs w:val="20"/>
                <w:lang w:val="en-GB" w:eastAsia="hr-HR"/>
              </w:rPr>
              <w:t xml:space="preserve"> prices in GEL per month</w:t>
            </w:r>
          </w:p>
        </w:tc>
      </w:tr>
      <w:tr w:rsidR="009F5BF2" w:rsidRPr="00BC1ABD" w14:paraId="4E2E4B9E" w14:textId="77777777" w:rsidTr="00E95C58">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1E7F7A7E" w14:textId="77777777" w:rsidR="009F5BF2" w:rsidRPr="00BC1ABD" w:rsidRDefault="009F5BF2" w:rsidP="009F5BF2">
            <w:pPr>
              <w:spacing w:after="0" w:line="240" w:lineRule="auto"/>
              <w:rPr>
                <w:rFonts w:eastAsia="Times New Roman" w:cs="Calibri"/>
                <w:b/>
                <w:bCs/>
                <w:color w:val="000000"/>
                <w:sz w:val="20"/>
                <w:szCs w:val="20"/>
                <w:lang w:val="en-GB" w:eastAsia="hr-HR"/>
              </w:rPr>
            </w:pPr>
          </w:p>
        </w:tc>
        <w:tc>
          <w:tcPr>
            <w:tcW w:w="1065" w:type="dxa"/>
            <w:tcBorders>
              <w:top w:val="nil"/>
              <w:left w:val="nil"/>
              <w:bottom w:val="double" w:sz="6" w:space="0" w:color="auto"/>
              <w:right w:val="single" w:sz="4" w:space="0" w:color="auto"/>
            </w:tcBorders>
            <w:shd w:val="clear" w:color="000000" w:fill="D0CECE"/>
            <w:noWrap/>
            <w:vAlign w:val="center"/>
            <w:hideMark/>
          </w:tcPr>
          <w:p w14:paraId="1B8AE527"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Magticom</w:t>
            </w:r>
          </w:p>
        </w:tc>
        <w:tc>
          <w:tcPr>
            <w:tcW w:w="1134" w:type="dxa"/>
            <w:tcBorders>
              <w:top w:val="nil"/>
              <w:left w:val="nil"/>
              <w:bottom w:val="double" w:sz="6" w:space="0" w:color="auto"/>
              <w:right w:val="single" w:sz="4" w:space="0" w:color="auto"/>
            </w:tcBorders>
            <w:shd w:val="clear" w:color="000000" w:fill="D0CECE"/>
            <w:noWrap/>
            <w:vAlign w:val="center"/>
            <w:hideMark/>
          </w:tcPr>
          <w:p w14:paraId="3A85D78B"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Silknet</w:t>
            </w:r>
          </w:p>
        </w:tc>
        <w:tc>
          <w:tcPr>
            <w:tcW w:w="1134" w:type="dxa"/>
            <w:tcBorders>
              <w:top w:val="nil"/>
              <w:left w:val="nil"/>
              <w:bottom w:val="double" w:sz="6" w:space="0" w:color="auto"/>
              <w:right w:val="single" w:sz="4" w:space="0" w:color="auto"/>
            </w:tcBorders>
            <w:shd w:val="clear" w:color="000000" w:fill="D0CECE"/>
            <w:noWrap/>
            <w:vAlign w:val="center"/>
            <w:hideMark/>
          </w:tcPr>
          <w:p w14:paraId="3BAAC930"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New Net</w:t>
            </w:r>
          </w:p>
        </w:tc>
        <w:tc>
          <w:tcPr>
            <w:tcW w:w="1008" w:type="dxa"/>
            <w:tcBorders>
              <w:top w:val="nil"/>
              <w:left w:val="nil"/>
              <w:bottom w:val="double" w:sz="6" w:space="0" w:color="auto"/>
              <w:right w:val="single" w:sz="4" w:space="0" w:color="auto"/>
            </w:tcBorders>
            <w:shd w:val="clear" w:color="000000" w:fill="D0CECE"/>
            <w:noWrap/>
            <w:vAlign w:val="center"/>
            <w:hideMark/>
          </w:tcPr>
          <w:p w14:paraId="21F4FA2D"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Skytel</w:t>
            </w:r>
          </w:p>
        </w:tc>
      </w:tr>
      <w:tr w:rsidR="009F5BF2" w:rsidRPr="00BC1ABD" w14:paraId="46802810" w14:textId="77777777" w:rsidTr="00E95C58">
        <w:trPr>
          <w:trHeight w:val="270"/>
          <w:jc w:val="center"/>
        </w:trPr>
        <w:tc>
          <w:tcPr>
            <w:tcW w:w="2479" w:type="dxa"/>
            <w:tcBorders>
              <w:top w:val="nil"/>
              <w:left w:val="single" w:sz="4" w:space="0" w:color="auto"/>
              <w:bottom w:val="single" w:sz="4" w:space="0" w:color="auto"/>
              <w:right w:val="single" w:sz="4" w:space="0" w:color="auto"/>
            </w:tcBorders>
            <w:noWrap/>
            <w:vAlign w:val="bottom"/>
            <w:hideMark/>
          </w:tcPr>
          <w:p w14:paraId="6117B9D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20Mbps</w:t>
            </w:r>
          </w:p>
        </w:tc>
        <w:tc>
          <w:tcPr>
            <w:tcW w:w="1065" w:type="dxa"/>
            <w:tcBorders>
              <w:top w:val="nil"/>
              <w:left w:val="nil"/>
              <w:bottom w:val="single" w:sz="4" w:space="0" w:color="auto"/>
              <w:right w:val="single" w:sz="4" w:space="0" w:color="auto"/>
            </w:tcBorders>
            <w:noWrap/>
            <w:vAlign w:val="bottom"/>
            <w:hideMark/>
          </w:tcPr>
          <w:p w14:paraId="6642992B"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3FAFBD0"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6E9B1155"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4DF4E19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20</w:t>
            </w:r>
          </w:p>
        </w:tc>
      </w:tr>
      <w:tr w:rsidR="009F5BF2" w:rsidRPr="00BC1ABD" w14:paraId="0F020848"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3D8DDA7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25Mbps</w:t>
            </w:r>
          </w:p>
        </w:tc>
        <w:tc>
          <w:tcPr>
            <w:tcW w:w="1065" w:type="dxa"/>
            <w:tcBorders>
              <w:top w:val="nil"/>
              <w:left w:val="nil"/>
              <w:bottom w:val="single" w:sz="4" w:space="0" w:color="auto"/>
              <w:right w:val="single" w:sz="4" w:space="0" w:color="auto"/>
            </w:tcBorders>
            <w:noWrap/>
            <w:vAlign w:val="bottom"/>
            <w:hideMark/>
          </w:tcPr>
          <w:p w14:paraId="0602A2E2"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E2F6C8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134" w:type="dxa"/>
            <w:tcBorders>
              <w:top w:val="nil"/>
              <w:left w:val="nil"/>
              <w:bottom w:val="single" w:sz="4" w:space="0" w:color="auto"/>
              <w:right w:val="single" w:sz="4" w:space="0" w:color="auto"/>
            </w:tcBorders>
            <w:noWrap/>
            <w:vAlign w:val="bottom"/>
            <w:hideMark/>
          </w:tcPr>
          <w:p w14:paraId="6C643CC1"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5C7BA8A7"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6DD49E6E"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5C045E1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30Mbps</w:t>
            </w:r>
          </w:p>
        </w:tc>
        <w:tc>
          <w:tcPr>
            <w:tcW w:w="1065" w:type="dxa"/>
            <w:tcBorders>
              <w:top w:val="nil"/>
              <w:left w:val="nil"/>
              <w:bottom w:val="single" w:sz="4" w:space="0" w:color="auto"/>
              <w:right w:val="single" w:sz="4" w:space="0" w:color="auto"/>
            </w:tcBorders>
            <w:noWrap/>
            <w:vAlign w:val="bottom"/>
            <w:hideMark/>
          </w:tcPr>
          <w:p w14:paraId="2E99769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37</w:t>
            </w:r>
          </w:p>
        </w:tc>
        <w:tc>
          <w:tcPr>
            <w:tcW w:w="1134" w:type="dxa"/>
            <w:tcBorders>
              <w:top w:val="nil"/>
              <w:left w:val="nil"/>
              <w:bottom w:val="single" w:sz="4" w:space="0" w:color="auto"/>
              <w:right w:val="single" w:sz="4" w:space="0" w:color="auto"/>
            </w:tcBorders>
            <w:noWrap/>
            <w:vAlign w:val="bottom"/>
            <w:hideMark/>
          </w:tcPr>
          <w:p w14:paraId="50672C1D"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2114234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c>
          <w:tcPr>
            <w:tcW w:w="1008" w:type="dxa"/>
            <w:tcBorders>
              <w:top w:val="nil"/>
              <w:left w:val="nil"/>
              <w:bottom w:val="single" w:sz="4" w:space="0" w:color="auto"/>
              <w:right w:val="single" w:sz="4" w:space="0" w:color="auto"/>
            </w:tcBorders>
            <w:noWrap/>
            <w:vAlign w:val="bottom"/>
            <w:hideMark/>
          </w:tcPr>
          <w:p w14:paraId="1C9A7DB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25</w:t>
            </w:r>
          </w:p>
        </w:tc>
      </w:tr>
      <w:tr w:rsidR="009F5BF2" w:rsidRPr="00BC1ABD" w14:paraId="6C8814B8"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0CEC57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35Mbps</w:t>
            </w:r>
          </w:p>
        </w:tc>
        <w:tc>
          <w:tcPr>
            <w:tcW w:w="1065" w:type="dxa"/>
            <w:tcBorders>
              <w:top w:val="nil"/>
              <w:left w:val="nil"/>
              <w:bottom w:val="single" w:sz="4" w:space="0" w:color="auto"/>
              <w:right w:val="single" w:sz="4" w:space="0" w:color="auto"/>
            </w:tcBorders>
            <w:noWrap/>
            <w:vAlign w:val="bottom"/>
            <w:hideMark/>
          </w:tcPr>
          <w:p w14:paraId="677A4876"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593AB5BA"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c>
          <w:tcPr>
            <w:tcW w:w="1134" w:type="dxa"/>
            <w:tcBorders>
              <w:top w:val="nil"/>
              <w:left w:val="nil"/>
              <w:bottom w:val="single" w:sz="4" w:space="0" w:color="auto"/>
              <w:right w:val="single" w:sz="4" w:space="0" w:color="auto"/>
            </w:tcBorders>
            <w:noWrap/>
            <w:vAlign w:val="bottom"/>
            <w:hideMark/>
          </w:tcPr>
          <w:p w14:paraId="3C5A78C3"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008" w:type="dxa"/>
            <w:tcBorders>
              <w:top w:val="nil"/>
              <w:left w:val="nil"/>
              <w:bottom w:val="single" w:sz="4" w:space="0" w:color="auto"/>
              <w:right w:val="single" w:sz="4" w:space="0" w:color="auto"/>
            </w:tcBorders>
            <w:noWrap/>
            <w:vAlign w:val="bottom"/>
            <w:hideMark/>
          </w:tcPr>
          <w:p w14:paraId="75D7A2A9"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36C6B32F"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3B8FC344"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40Mbps</w:t>
            </w:r>
          </w:p>
        </w:tc>
        <w:tc>
          <w:tcPr>
            <w:tcW w:w="1065" w:type="dxa"/>
            <w:tcBorders>
              <w:top w:val="nil"/>
              <w:left w:val="nil"/>
              <w:bottom w:val="single" w:sz="4" w:space="0" w:color="auto"/>
              <w:right w:val="single" w:sz="4" w:space="0" w:color="auto"/>
            </w:tcBorders>
            <w:noWrap/>
            <w:vAlign w:val="bottom"/>
            <w:hideMark/>
          </w:tcPr>
          <w:p w14:paraId="1542DB40"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40E1EE08"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36758332"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35</w:t>
            </w:r>
          </w:p>
        </w:tc>
        <w:tc>
          <w:tcPr>
            <w:tcW w:w="1008" w:type="dxa"/>
            <w:tcBorders>
              <w:top w:val="nil"/>
              <w:left w:val="nil"/>
              <w:bottom w:val="single" w:sz="4" w:space="0" w:color="auto"/>
              <w:right w:val="single" w:sz="4" w:space="0" w:color="auto"/>
            </w:tcBorders>
            <w:noWrap/>
            <w:vAlign w:val="bottom"/>
            <w:hideMark/>
          </w:tcPr>
          <w:p w14:paraId="5536EA4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30</w:t>
            </w:r>
          </w:p>
        </w:tc>
      </w:tr>
      <w:tr w:rsidR="009F5BF2" w:rsidRPr="00BC1ABD" w14:paraId="7F23D99B"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7FD4E28B"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50Mbps</w:t>
            </w:r>
          </w:p>
        </w:tc>
        <w:tc>
          <w:tcPr>
            <w:tcW w:w="1065" w:type="dxa"/>
            <w:tcBorders>
              <w:top w:val="nil"/>
              <w:left w:val="nil"/>
              <w:bottom w:val="single" w:sz="4" w:space="0" w:color="auto"/>
              <w:right w:val="single" w:sz="4" w:space="0" w:color="auto"/>
            </w:tcBorders>
            <w:noWrap/>
            <w:vAlign w:val="bottom"/>
            <w:hideMark/>
          </w:tcPr>
          <w:p w14:paraId="2503F1D9"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2361D55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134" w:type="dxa"/>
            <w:tcBorders>
              <w:top w:val="nil"/>
              <w:left w:val="nil"/>
              <w:bottom w:val="single" w:sz="4" w:space="0" w:color="auto"/>
              <w:right w:val="single" w:sz="4" w:space="0" w:color="auto"/>
            </w:tcBorders>
            <w:noWrap/>
            <w:vAlign w:val="bottom"/>
            <w:hideMark/>
          </w:tcPr>
          <w:p w14:paraId="7B425DB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50</w:t>
            </w:r>
          </w:p>
        </w:tc>
        <w:tc>
          <w:tcPr>
            <w:tcW w:w="1008" w:type="dxa"/>
            <w:tcBorders>
              <w:top w:val="nil"/>
              <w:left w:val="nil"/>
              <w:bottom w:val="single" w:sz="4" w:space="0" w:color="auto"/>
              <w:right w:val="single" w:sz="4" w:space="0" w:color="auto"/>
            </w:tcBorders>
            <w:noWrap/>
            <w:vAlign w:val="bottom"/>
            <w:hideMark/>
          </w:tcPr>
          <w:p w14:paraId="3C114F8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40</w:t>
            </w:r>
          </w:p>
        </w:tc>
      </w:tr>
      <w:tr w:rsidR="009F5BF2" w:rsidRPr="00BC1ABD" w14:paraId="10BDD0C1"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1D60160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70Mbps</w:t>
            </w:r>
          </w:p>
        </w:tc>
        <w:tc>
          <w:tcPr>
            <w:tcW w:w="1065" w:type="dxa"/>
            <w:tcBorders>
              <w:top w:val="nil"/>
              <w:left w:val="nil"/>
              <w:bottom w:val="single" w:sz="4" w:space="0" w:color="auto"/>
              <w:right w:val="single" w:sz="4" w:space="0" w:color="auto"/>
            </w:tcBorders>
            <w:noWrap/>
            <w:vAlign w:val="bottom"/>
            <w:hideMark/>
          </w:tcPr>
          <w:p w14:paraId="0A39FB2A"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6D652DF5"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34" w:type="dxa"/>
            <w:tcBorders>
              <w:top w:val="nil"/>
              <w:left w:val="nil"/>
              <w:bottom w:val="single" w:sz="4" w:space="0" w:color="auto"/>
              <w:right w:val="single" w:sz="4" w:space="0" w:color="auto"/>
            </w:tcBorders>
            <w:noWrap/>
            <w:vAlign w:val="bottom"/>
            <w:hideMark/>
          </w:tcPr>
          <w:p w14:paraId="5DA0F694"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70</w:t>
            </w:r>
          </w:p>
        </w:tc>
        <w:tc>
          <w:tcPr>
            <w:tcW w:w="1008" w:type="dxa"/>
            <w:tcBorders>
              <w:top w:val="nil"/>
              <w:left w:val="nil"/>
              <w:bottom w:val="single" w:sz="4" w:space="0" w:color="auto"/>
              <w:right w:val="single" w:sz="4" w:space="0" w:color="auto"/>
            </w:tcBorders>
            <w:noWrap/>
            <w:vAlign w:val="bottom"/>
            <w:hideMark/>
          </w:tcPr>
          <w:p w14:paraId="03207F3C"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7546A240" w14:textId="77777777" w:rsidTr="00E95C58">
        <w:trPr>
          <w:trHeight w:val="255"/>
          <w:jc w:val="center"/>
        </w:trPr>
        <w:tc>
          <w:tcPr>
            <w:tcW w:w="2479" w:type="dxa"/>
            <w:tcBorders>
              <w:top w:val="nil"/>
              <w:left w:val="single" w:sz="4" w:space="0" w:color="auto"/>
              <w:bottom w:val="single" w:sz="4" w:space="0" w:color="auto"/>
              <w:right w:val="single" w:sz="4" w:space="0" w:color="auto"/>
            </w:tcBorders>
            <w:noWrap/>
            <w:vAlign w:val="bottom"/>
            <w:hideMark/>
          </w:tcPr>
          <w:p w14:paraId="5CFE392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100Mbps</w:t>
            </w:r>
          </w:p>
        </w:tc>
        <w:tc>
          <w:tcPr>
            <w:tcW w:w="1065" w:type="dxa"/>
            <w:tcBorders>
              <w:top w:val="nil"/>
              <w:left w:val="nil"/>
              <w:bottom w:val="single" w:sz="4" w:space="0" w:color="auto"/>
              <w:right w:val="single" w:sz="4" w:space="0" w:color="auto"/>
            </w:tcBorders>
            <w:noWrap/>
            <w:vAlign w:val="bottom"/>
            <w:hideMark/>
          </w:tcPr>
          <w:p w14:paraId="1FE48BFB"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1DDACFBD"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134" w:type="dxa"/>
            <w:tcBorders>
              <w:top w:val="nil"/>
              <w:left w:val="nil"/>
              <w:bottom w:val="single" w:sz="4" w:space="0" w:color="auto"/>
              <w:right w:val="single" w:sz="4" w:space="0" w:color="auto"/>
            </w:tcBorders>
            <w:noWrap/>
            <w:vAlign w:val="bottom"/>
            <w:hideMark/>
          </w:tcPr>
          <w:p w14:paraId="6E6037E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100</w:t>
            </w:r>
          </w:p>
        </w:tc>
        <w:tc>
          <w:tcPr>
            <w:tcW w:w="1008" w:type="dxa"/>
            <w:tcBorders>
              <w:top w:val="nil"/>
              <w:left w:val="nil"/>
              <w:bottom w:val="single" w:sz="4" w:space="0" w:color="auto"/>
              <w:right w:val="single" w:sz="4" w:space="0" w:color="auto"/>
            </w:tcBorders>
            <w:noWrap/>
            <w:vAlign w:val="bottom"/>
            <w:hideMark/>
          </w:tcPr>
          <w:p w14:paraId="7C4EC774"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bl>
    <w:p w14:paraId="31CB6DDB" w14:textId="77777777" w:rsidR="009F5BF2" w:rsidRPr="00BC1ABD" w:rsidRDefault="009F5BF2" w:rsidP="009F5BF2">
      <w:pPr>
        <w:jc w:val="both"/>
        <w:rPr>
          <w:rFonts w:eastAsia="Times New Roman" w:cs="Arial"/>
          <w:sz w:val="24"/>
          <w:szCs w:val="24"/>
          <w:lang w:val="en-GB"/>
        </w:rPr>
      </w:pPr>
    </w:p>
    <w:tbl>
      <w:tblPr>
        <w:tblW w:w="4460" w:type="dxa"/>
        <w:jc w:val="center"/>
        <w:tblLook w:val="04A0" w:firstRow="1" w:lastRow="0" w:firstColumn="1" w:lastColumn="0" w:noHBand="0" w:noVBand="1"/>
      </w:tblPr>
      <w:tblGrid>
        <w:gridCol w:w="2398"/>
        <w:gridCol w:w="908"/>
        <w:gridCol w:w="1154"/>
      </w:tblGrid>
      <w:tr w:rsidR="009F5BF2" w:rsidRPr="00355738" w14:paraId="5DAE4A12" w14:textId="77777777" w:rsidTr="00E95C58">
        <w:trPr>
          <w:trHeight w:val="255"/>
          <w:jc w:val="center"/>
        </w:trPr>
        <w:tc>
          <w:tcPr>
            <w:tcW w:w="4460" w:type="dxa"/>
            <w:gridSpan w:val="3"/>
            <w:tcBorders>
              <w:top w:val="nil"/>
              <w:left w:val="nil"/>
              <w:bottom w:val="single" w:sz="4" w:space="0" w:color="auto"/>
              <w:right w:val="nil"/>
            </w:tcBorders>
            <w:noWrap/>
            <w:vAlign w:val="bottom"/>
            <w:hideMark/>
          </w:tcPr>
          <w:p w14:paraId="64424718"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xDSL prices in GEL per month</w:t>
            </w:r>
          </w:p>
        </w:tc>
      </w:tr>
      <w:tr w:rsidR="009F5BF2" w:rsidRPr="00BC1ABD" w14:paraId="6AA5AF11" w14:textId="77777777" w:rsidTr="00E95C58">
        <w:trPr>
          <w:trHeight w:val="570"/>
          <w:jc w:val="center"/>
        </w:trPr>
        <w:tc>
          <w:tcPr>
            <w:tcW w:w="2398" w:type="dxa"/>
            <w:tcBorders>
              <w:top w:val="nil"/>
              <w:left w:val="single" w:sz="4" w:space="0" w:color="auto"/>
              <w:bottom w:val="single" w:sz="4" w:space="0" w:color="auto"/>
              <w:right w:val="single" w:sz="4" w:space="0" w:color="auto"/>
            </w:tcBorders>
            <w:shd w:val="clear" w:color="000000" w:fill="D0CECE"/>
            <w:vAlign w:val="center"/>
            <w:hideMark/>
          </w:tcPr>
          <w:p w14:paraId="025C7307"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Company Name</w:t>
            </w:r>
          </w:p>
        </w:tc>
        <w:tc>
          <w:tcPr>
            <w:tcW w:w="908" w:type="dxa"/>
            <w:tcBorders>
              <w:top w:val="nil"/>
              <w:left w:val="nil"/>
              <w:bottom w:val="single" w:sz="4" w:space="0" w:color="auto"/>
              <w:right w:val="single" w:sz="4" w:space="0" w:color="auto"/>
            </w:tcBorders>
            <w:shd w:val="clear" w:color="000000" w:fill="D0CECE"/>
            <w:noWrap/>
            <w:vAlign w:val="center"/>
            <w:hideMark/>
          </w:tcPr>
          <w:p w14:paraId="2FB588E5"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Silknet</w:t>
            </w:r>
          </w:p>
        </w:tc>
        <w:tc>
          <w:tcPr>
            <w:tcW w:w="1154" w:type="dxa"/>
            <w:tcBorders>
              <w:top w:val="nil"/>
              <w:left w:val="nil"/>
              <w:bottom w:val="single" w:sz="4" w:space="0" w:color="auto"/>
              <w:right w:val="single" w:sz="4" w:space="0" w:color="auto"/>
            </w:tcBorders>
            <w:shd w:val="clear" w:color="000000" w:fill="D0CECE"/>
            <w:noWrap/>
            <w:vAlign w:val="center"/>
            <w:hideMark/>
          </w:tcPr>
          <w:p w14:paraId="62517941" w14:textId="77777777" w:rsidR="009F5BF2" w:rsidRPr="00BC1ABD" w:rsidRDefault="009F5BF2" w:rsidP="009F5BF2">
            <w:pPr>
              <w:spacing w:after="0" w:line="240" w:lineRule="auto"/>
              <w:jc w:val="center"/>
              <w:rPr>
                <w:rFonts w:eastAsia="Times New Roman" w:cs="Calibri"/>
                <w:b/>
                <w:bCs/>
                <w:color w:val="000000"/>
                <w:sz w:val="20"/>
                <w:szCs w:val="20"/>
                <w:lang w:val="en-GB" w:eastAsia="hr-HR"/>
              </w:rPr>
            </w:pPr>
            <w:r w:rsidRPr="00BC1ABD">
              <w:rPr>
                <w:rFonts w:eastAsia="Times New Roman" w:cs="Calibri"/>
                <w:b/>
                <w:bCs/>
                <w:color w:val="000000"/>
                <w:sz w:val="20"/>
                <w:szCs w:val="20"/>
                <w:lang w:val="en-GB" w:eastAsia="hr-HR"/>
              </w:rPr>
              <w:t>New Net</w:t>
            </w:r>
          </w:p>
        </w:tc>
      </w:tr>
      <w:tr w:rsidR="009F5BF2" w:rsidRPr="00BC1ABD" w14:paraId="6BC631BF"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713A141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2Mbps</w:t>
            </w:r>
          </w:p>
        </w:tc>
        <w:tc>
          <w:tcPr>
            <w:tcW w:w="908" w:type="dxa"/>
            <w:tcBorders>
              <w:top w:val="nil"/>
              <w:left w:val="nil"/>
              <w:bottom w:val="single" w:sz="4" w:space="0" w:color="auto"/>
              <w:right w:val="single" w:sz="4" w:space="0" w:color="auto"/>
            </w:tcBorders>
            <w:noWrap/>
            <w:vAlign w:val="bottom"/>
            <w:hideMark/>
          </w:tcPr>
          <w:p w14:paraId="5C209170"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54" w:type="dxa"/>
            <w:tcBorders>
              <w:top w:val="nil"/>
              <w:left w:val="nil"/>
              <w:bottom w:val="single" w:sz="4" w:space="0" w:color="auto"/>
              <w:right w:val="single" w:sz="4" w:space="0" w:color="auto"/>
            </w:tcBorders>
            <w:noWrap/>
            <w:vAlign w:val="bottom"/>
            <w:hideMark/>
          </w:tcPr>
          <w:p w14:paraId="6878579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22</w:t>
            </w:r>
          </w:p>
        </w:tc>
      </w:tr>
      <w:tr w:rsidR="009F5BF2" w:rsidRPr="00BC1ABD" w14:paraId="3D515CC6"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2D6F551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3Mbps</w:t>
            </w:r>
          </w:p>
        </w:tc>
        <w:tc>
          <w:tcPr>
            <w:tcW w:w="908" w:type="dxa"/>
            <w:tcBorders>
              <w:top w:val="nil"/>
              <w:left w:val="nil"/>
              <w:bottom w:val="single" w:sz="4" w:space="0" w:color="auto"/>
              <w:right w:val="single" w:sz="4" w:space="0" w:color="auto"/>
            </w:tcBorders>
            <w:noWrap/>
            <w:vAlign w:val="bottom"/>
            <w:hideMark/>
          </w:tcPr>
          <w:p w14:paraId="231F173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24</w:t>
            </w:r>
          </w:p>
        </w:tc>
        <w:tc>
          <w:tcPr>
            <w:tcW w:w="1154" w:type="dxa"/>
            <w:tcBorders>
              <w:top w:val="nil"/>
              <w:left w:val="nil"/>
              <w:bottom w:val="single" w:sz="4" w:space="0" w:color="auto"/>
              <w:right w:val="single" w:sz="4" w:space="0" w:color="auto"/>
            </w:tcBorders>
            <w:noWrap/>
            <w:vAlign w:val="bottom"/>
            <w:hideMark/>
          </w:tcPr>
          <w:p w14:paraId="7ACA48A2"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32</w:t>
            </w:r>
          </w:p>
        </w:tc>
      </w:tr>
      <w:tr w:rsidR="009F5BF2" w:rsidRPr="00BC1ABD" w14:paraId="5E436509"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7560DD63"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4Mbps</w:t>
            </w:r>
          </w:p>
        </w:tc>
        <w:tc>
          <w:tcPr>
            <w:tcW w:w="908" w:type="dxa"/>
            <w:tcBorders>
              <w:top w:val="nil"/>
              <w:left w:val="nil"/>
              <w:bottom w:val="single" w:sz="4" w:space="0" w:color="auto"/>
              <w:right w:val="single" w:sz="4" w:space="0" w:color="auto"/>
            </w:tcBorders>
            <w:noWrap/>
            <w:vAlign w:val="bottom"/>
            <w:hideMark/>
          </w:tcPr>
          <w:p w14:paraId="201A076B"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33</w:t>
            </w:r>
          </w:p>
        </w:tc>
        <w:tc>
          <w:tcPr>
            <w:tcW w:w="1154" w:type="dxa"/>
            <w:tcBorders>
              <w:top w:val="nil"/>
              <w:left w:val="nil"/>
              <w:bottom w:val="single" w:sz="4" w:space="0" w:color="auto"/>
              <w:right w:val="single" w:sz="4" w:space="0" w:color="auto"/>
            </w:tcBorders>
            <w:noWrap/>
            <w:vAlign w:val="bottom"/>
            <w:hideMark/>
          </w:tcPr>
          <w:p w14:paraId="219B4F7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39</w:t>
            </w:r>
          </w:p>
        </w:tc>
      </w:tr>
      <w:tr w:rsidR="009F5BF2" w:rsidRPr="00BC1ABD" w14:paraId="2524984C"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5A87F2F1"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5Mbps</w:t>
            </w:r>
          </w:p>
        </w:tc>
        <w:tc>
          <w:tcPr>
            <w:tcW w:w="908" w:type="dxa"/>
            <w:tcBorders>
              <w:top w:val="nil"/>
              <w:left w:val="nil"/>
              <w:bottom w:val="single" w:sz="4" w:space="0" w:color="auto"/>
              <w:right w:val="single" w:sz="4" w:space="0" w:color="auto"/>
            </w:tcBorders>
            <w:noWrap/>
            <w:vAlign w:val="bottom"/>
            <w:hideMark/>
          </w:tcPr>
          <w:p w14:paraId="2C7FFE3D"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c>
          <w:tcPr>
            <w:tcW w:w="1154" w:type="dxa"/>
            <w:tcBorders>
              <w:top w:val="nil"/>
              <w:left w:val="nil"/>
              <w:bottom w:val="single" w:sz="4" w:space="0" w:color="auto"/>
              <w:right w:val="single" w:sz="4" w:space="0" w:color="auto"/>
            </w:tcBorders>
            <w:noWrap/>
            <w:vAlign w:val="bottom"/>
            <w:hideMark/>
          </w:tcPr>
          <w:p w14:paraId="45493936"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49</w:t>
            </w:r>
          </w:p>
        </w:tc>
      </w:tr>
      <w:tr w:rsidR="009F5BF2" w:rsidRPr="00BC1ABD" w14:paraId="4E9A467A"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07F3609F"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6Mbps</w:t>
            </w:r>
          </w:p>
        </w:tc>
        <w:tc>
          <w:tcPr>
            <w:tcW w:w="908" w:type="dxa"/>
            <w:tcBorders>
              <w:top w:val="nil"/>
              <w:left w:val="nil"/>
              <w:bottom w:val="single" w:sz="4" w:space="0" w:color="auto"/>
              <w:right w:val="single" w:sz="4" w:space="0" w:color="auto"/>
            </w:tcBorders>
            <w:noWrap/>
            <w:vAlign w:val="bottom"/>
            <w:hideMark/>
          </w:tcPr>
          <w:p w14:paraId="1ECE7267"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45</w:t>
            </w:r>
          </w:p>
        </w:tc>
        <w:tc>
          <w:tcPr>
            <w:tcW w:w="1154" w:type="dxa"/>
            <w:tcBorders>
              <w:top w:val="nil"/>
              <w:left w:val="nil"/>
              <w:bottom w:val="single" w:sz="4" w:space="0" w:color="auto"/>
              <w:right w:val="single" w:sz="4" w:space="0" w:color="auto"/>
            </w:tcBorders>
            <w:noWrap/>
            <w:vAlign w:val="bottom"/>
            <w:hideMark/>
          </w:tcPr>
          <w:p w14:paraId="7107AD8F"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4A3A24B2"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0F8E962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8Mbps</w:t>
            </w:r>
          </w:p>
        </w:tc>
        <w:tc>
          <w:tcPr>
            <w:tcW w:w="908" w:type="dxa"/>
            <w:tcBorders>
              <w:top w:val="nil"/>
              <w:left w:val="nil"/>
              <w:bottom w:val="single" w:sz="4" w:space="0" w:color="auto"/>
              <w:right w:val="single" w:sz="4" w:space="0" w:color="auto"/>
            </w:tcBorders>
            <w:noWrap/>
            <w:vAlign w:val="bottom"/>
            <w:hideMark/>
          </w:tcPr>
          <w:p w14:paraId="6C233C38"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65</w:t>
            </w:r>
          </w:p>
        </w:tc>
        <w:tc>
          <w:tcPr>
            <w:tcW w:w="1154" w:type="dxa"/>
            <w:tcBorders>
              <w:top w:val="nil"/>
              <w:left w:val="nil"/>
              <w:bottom w:val="single" w:sz="4" w:space="0" w:color="auto"/>
              <w:right w:val="single" w:sz="4" w:space="0" w:color="auto"/>
            </w:tcBorders>
            <w:noWrap/>
            <w:vAlign w:val="bottom"/>
            <w:hideMark/>
          </w:tcPr>
          <w:p w14:paraId="1ECA1952"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r w:rsidR="009F5BF2" w:rsidRPr="00BC1ABD" w14:paraId="402588FD" w14:textId="77777777" w:rsidTr="00E95C58">
        <w:trPr>
          <w:trHeight w:val="255"/>
          <w:jc w:val="center"/>
        </w:trPr>
        <w:tc>
          <w:tcPr>
            <w:tcW w:w="2398" w:type="dxa"/>
            <w:tcBorders>
              <w:top w:val="nil"/>
              <w:left w:val="single" w:sz="4" w:space="0" w:color="auto"/>
              <w:bottom w:val="single" w:sz="4" w:space="0" w:color="auto"/>
              <w:right w:val="single" w:sz="4" w:space="0" w:color="auto"/>
            </w:tcBorders>
            <w:noWrap/>
            <w:vAlign w:val="bottom"/>
            <w:hideMark/>
          </w:tcPr>
          <w:p w14:paraId="339EAC90"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10Mbps</w:t>
            </w:r>
          </w:p>
        </w:tc>
        <w:tc>
          <w:tcPr>
            <w:tcW w:w="908" w:type="dxa"/>
            <w:tcBorders>
              <w:top w:val="nil"/>
              <w:left w:val="nil"/>
              <w:bottom w:val="single" w:sz="4" w:space="0" w:color="auto"/>
              <w:right w:val="single" w:sz="4" w:space="0" w:color="auto"/>
            </w:tcBorders>
            <w:noWrap/>
            <w:vAlign w:val="bottom"/>
            <w:hideMark/>
          </w:tcPr>
          <w:p w14:paraId="694ED95E" w14:textId="77777777" w:rsidR="009F5BF2" w:rsidRPr="00BC1ABD" w:rsidRDefault="009F5BF2" w:rsidP="009F5BF2">
            <w:pPr>
              <w:spacing w:after="0" w:line="240" w:lineRule="auto"/>
              <w:jc w:val="center"/>
              <w:rPr>
                <w:rFonts w:eastAsia="Times New Roman" w:cs="Calibri"/>
                <w:color w:val="000000"/>
                <w:sz w:val="20"/>
                <w:szCs w:val="20"/>
                <w:lang w:val="en-GB" w:eastAsia="hr-HR"/>
              </w:rPr>
            </w:pPr>
            <w:r w:rsidRPr="00BC1ABD">
              <w:rPr>
                <w:rFonts w:eastAsia="Times New Roman" w:cs="Calibri"/>
                <w:color w:val="000000"/>
                <w:sz w:val="20"/>
                <w:szCs w:val="20"/>
                <w:lang w:val="en-GB" w:eastAsia="hr-HR"/>
              </w:rPr>
              <w:t> </w:t>
            </w:r>
          </w:p>
        </w:tc>
        <w:tc>
          <w:tcPr>
            <w:tcW w:w="1154" w:type="dxa"/>
            <w:tcBorders>
              <w:top w:val="nil"/>
              <w:left w:val="nil"/>
              <w:bottom w:val="single" w:sz="4" w:space="0" w:color="auto"/>
              <w:right w:val="single" w:sz="4" w:space="0" w:color="auto"/>
            </w:tcBorders>
            <w:noWrap/>
            <w:vAlign w:val="bottom"/>
            <w:hideMark/>
          </w:tcPr>
          <w:p w14:paraId="10F5C8D0" w14:textId="77777777" w:rsidR="009F5BF2" w:rsidRPr="00BC1ABD" w:rsidRDefault="009F5BF2" w:rsidP="009F5BF2">
            <w:pPr>
              <w:spacing w:after="0" w:line="240" w:lineRule="auto"/>
              <w:jc w:val="center"/>
              <w:rPr>
                <w:rFonts w:eastAsia="Times New Roman" w:cs="Calibri"/>
                <w:color w:val="BFBFBF"/>
                <w:sz w:val="20"/>
                <w:szCs w:val="20"/>
                <w:lang w:val="en-GB" w:eastAsia="hr-HR"/>
              </w:rPr>
            </w:pPr>
            <w:r w:rsidRPr="00BC1ABD">
              <w:rPr>
                <w:rFonts w:eastAsia="Times New Roman" w:cs="Calibri"/>
                <w:color w:val="BFBFBF"/>
                <w:sz w:val="20"/>
                <w:szCs w:val="20"/>
                <w:lang w:val="en-GB" w:eastAsia="hr-HR"/>
              </w:rPr>
              <w:t> </w:t>
            </w:r>
          </w:p>
        </w:tc>
      </w:tr>
    </w:tbl>
    <w:p w14:paraId="7B0518F0" w14:textId="486F95F4" w:rsidR="009F5BF2" w:rsidRPr="00BC1ABD" w:rsidRDefault="009F5BF2" w:rsidP="009F5BF2">
      <w:pPr>
        <w:spacing w:before="240"/>
        <w:jc w:val="center"/>
        <w:rPr>
          <w:rFonts w:eastAsia="Times New Roman" w:cs="Arial"/>
          <w:sz w:val="24"/>
          <w:szCs w:val="24"/>
          <w:lang w:val="en-GB"/>
        </w:rPr>
      </w:pPr>
      <w:r w:rsidRPr="00BC1ABD">
        <w:rPr>
          <w:rFonts w:eastAsia="Times New Roman" w:cs="Arial"/>
          <w:sz w:val="20"/>
          <w:szCs w:val="20"/>
          <w:lang w:val="en-GB"/>
        </w:rPr>
        <w:t>Source: Operators’ websites</w:t>
      </w:r>
      <w:r w:rsidR="00DF1429">
        <w:rPr>
          <w:rFonts w:eastAsia="Times New Roman" w:cs="Arial"/>
          <w:sz w:val="20"/>
          <w:szCs w:val="20"/>
          <w:lang w:val="en-GB"/>
        </w:rPr>
        <w:t xml:space="preserve"> </w:t>
      </w:r>
      <w:r w:rsidR="00DF1429" w:rsidRPr="00DF1429">
        <w:rPr>
          <w:rFonts w:eastAsia="Times New Roman" w:cs="Arial"/>
          <w:sz w:val="20"/>
          <w:szCs w:val="20"/>
          <w:lang w:val="en-GB"/>
        </w:rPr>
        <w:t>(Q1 2023)</w:t>
      </w:r>
    </w:p>
    <w:p w14:paraId="0D9AB6E3" w14:textId="45212E07" w:rsidR="009F5BF2" w:rsidRPr="00BC1ABD" w:rsidRDefault="006637F6" w:rsidP="009F5BF2">
      <w:pPr>
        <w:jc w:val="both"/>
        <w:rPr>
          <w:rFonts w:eastAsia="Times New Roman" w:cs="Arial"/>
          <w:sz w:val="24"/>
          <w:szCs w:val="24"/>
          <w:lang w:val="en-GB"/>
        </w:rPr>
      </w:pPr>
      <w:r>
        <w:rPr>
          <w:rFonts w:eastAsia="Times New Roman" w:cs="Arial"/>
          <w:sz w:val="24"/>
          <w:szCs w:val="24"/>
          <w:lang w:val="en-GB"/>
        </w:rPr>
        <w:t>O</w:t>
      </w:r>
      <w:r w:rsidR="009F5BF2" w:rsidRPr="00BC1ABD">
        <w:rPr>
          <w:rFonts w:eastAsia="Times New Roman" w:cs="Arial"/>
          <w:sz w:val="24"/>
          <w:szCs w:val="24"/>
          <w:lang w:val="en-GB"/>
        </w:rPr>
        <w:t xml:space="preserve">nly Silknet and </w:t>
      </w:r>
      <w:r w:rsidR="001A02CA">
        <w:rPr>
          <w:rFonts w:eastAsia="Times New Roman" w:cs="Arial"/>
          <w:sz w:val="24"/>
          <w:szCs w:val="24"/>
          <w:lang w:val="en-GB"/>
        </w:rPr>
        <w:t>Akhali Kselebi</w:t>
      </w:r>
      <w:r w:rsidR="009F5BF2" w:rsidRPr="00BC1ABD">
        <w:rPr>
          <w:rFonts w:eastAsia="Times New Roman" w:cs="Arial"/>
          <w:sz w:val="24"/>
          <w:szCs w:val="24"/>
          <w:lang w:val="en-GB"/>
        </w:rPr>
        <w:t xml:space="preserve"> offer xDSL services. Silknet is able to do this because it operates the legacy copper local access network</w:t>
      </w:r>
      <w:r>
        <w:rPr>
          <w:rFonts w:eastAsia="Times New Roman" w:cs="Arial"/>
          <w:sz w:val="24"/>
          <w:szCs w:val="24"/>
          <w:lang w:val="en-GB"/>
        </w:rPr>
        <w:t xml:space="preserve"> in Georgia</w:t>
      </w:r>
      <w:r w:rsidR="009F5BF2" w:rsidRPr="00BC1ABD">
        <w:rPr>
          <w:rFonts w:eastAsia="Times New Roman" w:cs="Arial"/>
          <w:sz w:val="24"/>
          <w:szCs w:val="24"/>
          <w:lang w:val="en-GB"/>
        </w:rPr>
        <w:t>. Silknet has now invested i</w:t>
      </w:r>
      <w:r>
        <w:rPr>
          <w:rFonts w:eastAsia="Times New Roman" w:cs="Arial"/>
          <w:sz w:val="24"/>
          <w:szCs w:val="24"/>
          <w:lang w:val="en-GB"/>
        </w:rPr>
        <w:t>n</w:t>
      </w:r>
      <w:r w:rsidRPr="00BC1ABD">
        <w:rPr>
          <w:rFonts w:eastAsia="Times New Roman" w:cs="Arial"/>
          <w:sz w:val="24"/>
          <w:szCs w:val="24"/>
          <w:lang w:val="en-GB"/>
        </w:rPr>
        <w:t xml:space="preserve"> </w:t>
      </w:r>
      <w:r w:rsidR="00592449">
        <w:rPr>
          <w:rFonts w:eastAsia="Times New Roman" w:cs="Arial"/>
          <w:sz w:val="24"/>
          <w:szCs w:val="24"/>
          <w:lang w:val="en-GB"/>
        </w:rPr>
        <w:t>FTTx</w:t>
      </w:r>
      <w:r w:rsidR="009F5BF2" w:rsidRPr="00BC1ABD">
        <w:rPr>
          <w:rFonts w:eastAsia="Times New Roman" w:cs="Arial"/>
          <w:sz w:val="24"/>
          <w:szCs w:val="24"/>
          <w:lang w:val="en-GB"/>
        </w:rPr>
        <w:t xml:space="preserve"> </w:t>
      </w:r>
      <w:r>
        <w:rPr>
          <w:rFonts w:eastAsia="Times New Roman" w:cs="Arial"/>
          <w:sz w:val="24"/>
          <w:szCs w:val="24"/>
          <w:lang w:val="en-GB"/>
        </w:rPr>
        <w:t xml:space="preserve">local access </w:t>
      </w:r>
      <w:r w:rsidR="009F5BF2" w:rsidRPr="00BC1ABD">
        <w:rPr>
          <w:rFonts w:eastAsia="Times New Roman" w:cs="Arial"/>
          <w:sz w:val="24"/>
          <w:szCs w:val="24"/>
          <w:lang w:val="en-GB"/>
        </w:rPr>
        <w:t>network</w:t>
      </w:r>
      <w:r>
        <w:rPr>
          <w:rFonts w:eastAsia="Times New Roman" w:cs="Arial"/>
          <w:sz w:val="24"/>
          <w:szCs w:val="24"/>
          <w:lang w:val="en-GB"/>
        </w:rPr>
        <w:t>s</w:t>
      </w:r>
      <w:r w:rsidR="009F5BF2" w:rsidRPr="00BC1ABD">
        <w:rPr>
          <w:rFonts w:eastAsia="Times New Roman" w:cs="Arial"/>
          <w:sz w:val="24"/>
          <w:szCs w:val="24"/>
          <w:lang w:val="en-GB"/>
        </w:rPr>
        <w:t xml:space="preserve"> in all the areas covered with xDSL. This indicates an intention to decommission the legacy copper infrastructure and move fully to a future-proof </w:t>
      </w:r>
      <w:r w:rsidR="00592449">
        <w:rPr>
          <w:rFonts w:eastAsia="Times New Roman" w:cs="Arial"/>
          <w:sz w:val="24"/>
          <w:szCs w:val="24"/>
          <w:lang w:val="en-GB"/>
        </w:rPr>
        <w:t>FTTx</w:t>
      </w:r>
      <w:r w:rsidR="009F5BF2" w:rsidRPr="00BC1ABD">
        <w:rPr>
          <w:rFonts w:eastAsia="Times New Roman" w:cs="Arial"/>
          <w:sz w:val="24"/>
          <w:szCs w:val="24"/>
          <w:lang w:val="en-GB"/>
        </w:rPr>
        <w:t xml:space="preserve"> network. The main driving force behind this strategy is that copper networks cannot offer the same quality and high-speed characteristics as fibre. This reinforces the case that, at least for the higher speed ranges, xDSL cannot be a demand-side substitute for </w:t>
      </w:r>
      <w:r w:rsidR="00592449">
        <w:rPr>
          <w:rFonts w:eastAsia="Times New Roman" w:cs="Arial"/>
          <w:sz w:val="24"/>
          <w:szCs w:val="24"/>
          <w:lang w:val="en-GB"/>
        </w:rPr>
        <w:t>FTTx</w:t>
      </w:r>
      <w:r w:rsidR="009F5BF2" w:rsidRPr="00BC1ABD">
        <w:rPr>
          <w:rFonts w:eastAsia="Times New Roman" w:cs="Arial"/>
          <w:sz w:val="24"/>
          <w:szCs w:val="24"/>
          <w:lang w:val="en-GB"/>
        </w:rPr>
        <w:t>.</w:t>
      </w:r>
    </w:p>
    <w:p w14:paraId="0366D425" w14:textId="34FB84C4"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 copper access network is still widely in use for ordinary telephony services. There are still around 218,000 subscribers for fixed telephony using copper access in Georgia. These lines have the potential to be upgraded to xDSL</w:t>
      </w:r>
      <w:r w:rsidR="006637F6">
        <w:rPr>
          <w:rFonts w:eastAsia="Times New Roman" w:cs="Arial"/>
          <w:sz w:val="24"/>
          <w:szCs w:val="24"/>
          <w:lang w:val="en-GB"/>
        </w:rPr>
        <w:t xml:space="preserve"> but t</w:t>
      </w:r>
      <w:r w:rsidRPr="00BC1ABD">
        <w:rPr>
          <w:rFonts w:eastAsia="Times New Roman" w:cs="Arial"/>
          <w:sz w:val="24"/>
          <w:szCs w:val="24"/>
          <w:lang w:val="en-GB"/>
        </w:rPr>
        <w:t>he number of xDSL fixed broadband subscribers is declining and there appears to be no further investments in xDSL. Georgian operators are instead focusing on investing in fibre networks.</w:t>
      </w:r>
    </w:p>
    <w:p w14:paraId="1AE55354" w14:textId="14086FF2" w:rsidR="009F5BF2" w:rsidRPr="00BC1ABD" w:rsidRDefault="009F5BF2" w:rsidP="009F5BF2">
      <w:pPr>
        <w:jc w:val="both"/>
        <w:rPr>
          <w:rFonts w:eastAsia="Times New Roman"/>
          <w:lang w:val="en-GB"/>
        </w:rPr>
      </w:pPr>
      <w:r w:rsidRPr="00BC1ABD">
        <w:rPr>
          <w:rFonts w:eastAsia="Times New Roman" w:cs="Arial"/>
          <w:sz w:val="24"/>
          <w:szCs w:val="24"/>
          <w:lang w:val="en-GB"/>
        </w:rPr>
        <w:t>Taking into account these market trends, the limited coverage, the higher xDSL price</w:t>
      </w:r>
      <w:r w:rsidR="006637F6">
        <w:rPr>
          <w:rFonts w:eastAsia="Times New Roman" w:cs="Arial"/>
          <w:sz w:val="24"/>
          <w:szCs w:val="24"/>
          <w:lang w:val="en-GB"/>
        </w:rPr>
        <w:t xml:space="preserve"> at some fixed broadband speeds</w:t>
      </w:r>
      <w:r w:rsidRPr="00BC1ABD">
        <w:rPr>
          <w:rFonts w:eastAsia="Times New Roman" w:cs="Arial"/>
          <w:sz w:val="24"/>
          <w:szCs w:val="24"/>
          <w:lang w:val="en-GB"/>
        </w:rPr>
        <w:t>, the trends in investment</w:t>
      </w:r>
      <w:r w:rsidR="006637F6">
        <w:rPr>
          <w:rFonts w:eastAsia="Times New Roman" w:cs="Arial"/>
          <w:sz w:val="24"/>
          <w:szCs w:val="24"/>
          <w:lang w:val="en-GB"/>
        </w:rPr>
        <w:t>s towards</w:t>
      </w:r>
      <w:r w:rsidRPr="00BC1ABD">
        <w:rPr>
          <w:rFonts w:eastAsia="Times New Roman" w:cs="Arial"/>
          <w:sz w:val="24"/>
          <w:szCs w:val="24"/>
          <w:lang w:val="en-GB"/>
        </w:rPr>
        <w:t xml:space="preserve"> </w:t>
      </w:r>
      <w:r w:rsidR="00592449">
        <w:rPr>
          <w:rFonts w:eastAsia="Times New Roman" w:cs="Arial"/>
          <w:sz w:val="24"/>
          <w:szCs w:val="24"/>
          <w:lang w:val="en-GB"/>
        </w:rPr>
        <w:t>FTTx</w:t>
      </w:r>
      <w:r w:rsidRPr="00BC1ABD">
        <w:rPr>
          <w:rFonts w:eastAsia="Times New Roman" w:cs="Arial"/>
          <w:sz w:val="24"/>
          <w:szCs w:val="24"/>
          <w:lang w:val="en-GB"/>
        </w:rPr>
        <w:t xml:space="preserve">, the technical limitations of xDSL and the low quality of the copper pair access network in Georgia, and taking a forward-looking view, it is considered that xDSL is not a demand-side substitute for </w:t>
      </w:r>
      <w:r w:rsidR="00592449">
        <w:rPr>
          <w:rFonts w:eastAsia="Times New Roman" w:cs="Arial"/>
          <w:sz w:val="24"/>
          <w:szCs w:val="24"/>
          <w:lang w:val="en-GB"/>
        </w:rPr>
        <w:t>FTTx</w:t>
      </w:r>
      <w:r w:rsidRPr="00BC1ABD">
        <w:rPr>
          <w:rFonts w:eastAsia="Times New Roman" w:cs="Arial"/>
          <w:sz w:val="24"/>
          <w:szCs w:val="24"/>
          <w:lang w:val="en-GB"/>
        </w:rPr>
        <w:t xml:space="preserve"> in the higher-speed fixed broadband access market</w:t>
      </w:r>
      <w:r w:rsidRPr="00BC1ABD">
        <w:rPr>
          <w:rFonts w:eastAsia="Times New Roman"/>
          <w:lang w:val="en-GB"/>
        </w:rPr>
        <w:t xml:space="preserve">. </w:t>
      </w:r>
      <w:r w:rsidRPr="00BC1ABD">
        <w:rPr>
          <w:rFonts w:eastAsia="Times New Roman" w:cs="Arial"/>
          <w:sz w:val="24"/>
          <w:szCs w:val="24"/>
          <w:lang w:val="en-GB"/>
        </w:rPr>
        <w:t>It is therefore concluded that xDSL is not part of the same higher-speed fixed broadband access retail market.</w:t>
      </w:r>
    </w:p>
    <w:p w14:paraId="6ABA86B8" w14:textId="461E465D"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For the basic fixed broadband access market, xDSL is </w:t>
      </w:r>
      <w:r w:rsidR="006637F6">
        <w:rPr>
          <w:rFonts w:eastAsia="Times New Roman" w:cs="Arial"/>
          <w:sz w:val="24"/>
          <w:szCs w:val="24"/>
          <w:lang w:val="en-GB"/>
        </w:rPr>
        <w:t xml:space="preserve">the </w:t>
      </w:r>
      <w:r w:rsidRPr="00BC1ABD">
        <w:rPr>
          <w:rFonts w:eastAsia="Times New Roman" w:cs="Arial"/>
          <w:sz w:val="24"/>
          <w:szCs w:val="24"/>
          <w:lang w:val="en-GB"/>
        </w:rPr>
        <w:t xml:space="preserve">second technology in terms of the number of subscriptions, behind FWA. As it was stated in previous sections, although </w:t>
      </w:r>
      <w:r w:rsidR="00592449">
        <w:rPr>
          <w:rFonts w:eastAsia="Times New Roman" w:cs="Arial"/>
          <w:sz w:val="24"/>
          <w:szCs w:val="24"/>
          <w:lang w:val="en-GB"/>
        </w:rPr>
        <w:t>FTTx</w:t>
      </w:r>
      <w:r w:rsidRPr="00BC1ABD">
        <w:rPr>
          <w:rFonts w:eastAsia="Times New Roman" w:cs="Arial"/>
          <w:sz w:val="24"/>
          <w:szCs w:val="24"/>
          <w:lang w:val="en-GB"/>
        </w:rPr>
        <w:t xml:space="preserve"> is not currently offered in this market, it is currently used by operators only in some specific cases. </w:t>
      </w:r>
      <w:r w:rsidR="00592449">
        <w:rPr>
          <w:rFonts w:eastAsia="Times New Roman" w:cs="Arial"/>
          <w:sz w:val="24"/>
          <w:szCs w:val="24"/>
          <w:lang w:val="en-GB"/>
        </w:rPr>
        <w:t>FTTx</w:t>
      </w:r>
      <w:r w:rsidRPr="00BC1ABD">
        <w:rPr>
          <w:rFonts w:eastAsia="Times New Roman" w:cs="Arial"/>
          <w:sz w:val="24"/>
          <w:szCs w:val="24"/>
          <w:lang w:val="en-GB"/>
        </w:rPr>
        <w:t xml:space="preserve"> </w:t>
      </w:r>
      <w:r w:rsidR="006637F6">
        <w:rPr>
          <w:rFonts w:eastAsia="Times New Roman" w:cs="Arial"/>
          <w:sz w:val="24"/>
          <w:szCs w:val="24"/>
          <w:lang w:val="en-GB"/>
        </w:rPr>
        <w:t>makes up only</w:t>
      </w:r>
      <w:r w:rsidRPr="00BC1ABD">
        <w:rPr>
          <w:rFonts w:eastAsia="Times New Roman" w:cs="Arial"/>
          <w:sz w:val="24"/>
          <w:szCs w:val="24"/>
          <w:lang w:val="en-GB"/>
        </w:rPr>
        <w:t xml:space="preserve"> 2% of the subscriptions for speeds up to 10 Mbps. The retail prices for xDSL are generally higher than for FWA, reflecting the generally higher costs of supply and </w:t>
      </w:r>
      <w:r w:rsidR="006637F6">
        <w:rPr>
          <w:rFonts w:eastAsia="Times New Roman" w:cs="Arial"/>
          <w:sz w:val="24"/>
          <w:szCs w:val="24"/>
          <w:lang w:val="en-GB"/>
        </w:rPr>
        <w:t xml:space="preserve">the </w:t>
      </w:r>
      <w:r w:rsidRPr="00BC1ABD">
        <w:rPr>
          <w:rFonts w:eastAsia="Times New Roman" w:cs="Arial"/>
          <w:sz w:val="24"/>
          <w:szCs w:val="24"/>
          <w:lang w:val="en-GB"/>
        </w:rPr>
        <w:t>higher quality of the delivered service. It is therefore considered that xDSL based on copper pairs is a substitute to FWA in the basic fixed broadband access market. It is therefore concluded that xDSL is in the same basic fixed broadband access market.</w:t>
      </w:r>
    </w:p>
    <w:p w14:paraId="10CF2C72" w14:textId="77777777" w:rsidR="009F5BF2" w:rsidRPr="008F11B7" w:rsidRDefault="009F5BF2" w:rsidP="008F11B7">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62" w:name="_Toc169258925"/>
      <w:r w:rsidRPr="008F11B7">
        <w:rPr>
          <w:rFonts w:asciiTheme="minorHAnsi" w:hAnsiTheme="minorHAnsi" w:cstheme="minorHAnsi"/>
          <w:b w:val="0"/>
          <w:bCs w:val="0"/>
          <w:sz w:val="24"/>
          <w:szCs w:val="24"/>
          <w:lang w:val="en-GB"/>
        </w:rPr>
        <w:t>Mobile broadband access</w:t>
      </w:r>
      <w:bookmarkEnd w:id="159"/>
      <w:r w:rsidRPr="008F11B7">
        <w:rPr>
          <w:rFonts w:asciiTheme="minorHAnsi" w:hAnsiTheme="minorHAnsi" w:cstheme="minorHAnsi"/>
          <w:b w:val="0"/>
          <w:bCs w:val="0"/>
          <w:sz w:val="24"/>
          <w:szCs w:val="24"/>
          <w:lang w:val="en-GB"/>
        </w:rPr>
        <w:t xml:space="preserve"> (including fixed LTE)</w:t>
      </w:r>
      <w:bookmarkEnd w:id="162"/>
    </w:p>
    <w:p w14:paraId="76E8BE98" w14:textId="447136FF"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Although this market analysis is related to the fixed broadband access service, it is necessary to analyse the impact of access via mobile networks in order to understand whether it puts competitive pressure on </w:t>
      </w:r>
      <w:r w:rsidR="00592449">
        <w:rPr>
          <w:rFonts w:eastAsia="Times New Roman" w:cs="Arial"/>
          <w:sz w:val="24"/>
          <w:szCs w:val="24"/>
          <w:lang w:val="en-GB"/>
        </w:rPr>
        <w:t>FTTx</w:t>
      </w:r>
      <w:r w:rsidRPr="00BC1ABD">
        <w:rPr>
          <w:rFonts w:eastAsia="Times New Roman" w:cs="Arial"/>
          <w:sz w:val="24"/>
          <w:szCs w:val="24"/>
          <w:lang w:val="en-GB"/>
        </w:rPr>
        <w:t xml:space="preserve"> access as </w:t>
      </w:r>
      <w:r w:rsidR="006637F6">
        <w:rPr>
          <w:rFonts w:eastAsia="Times New Roman" w:cs="Arial"/>
          <w:sz w:val="24"/>
          <w:szCs w:val="24"/>
          <w:lang w:val="en-GB"/>
        </w:rPr>
        <w:t xml:space="preserve">a </w:t>
      </w:r>
      <w:r w:rsidRPr="00BC1ABD">
        <w:rPr>
          <w:rFonts w:eastAsia="Times New Roman" w:cs="Arial"/>
          <w:sz w:val="24"/>
          <w:szCs w:val="24"/>
          <w:lang w:val="en-GB"/>
        </w:rPr>
        <w:t xml:space="preserve">substitute service. Additionally, with the analysis made in this chapter, the option of a fixed LTE technology solution exists in Georgia </w:t>
      </w:r>
      <w:r w:rsidR="006637F6">
        <w:rPr>
          <w:rFonts w:eastAsia="Times New Roman" w:cs="Arial"/>
          <w:sz w:val="24"/>
          <w:szCs w:val="24"/>
          <w:lang w:val="en-GB"/>
        </w:rPr>
        <w:t>should</w:t>
      </w:r>
      <w:r w:rsidR="006637F6" w:rsidRPr="00BC1ABD">
        <w:rPr>
          <w:rFonts w:eastAsia="Times New Roman" w:cs="Arial"/>
          <w:sz w:val="24"/>
          <w:szCs w:val="24"/>
          <w:lang w:val="en-GB"/>
        </w:rPr>
        <w:t xml:space="preserve"> </w:t>
      </w:r>
      <w:r w:rsidRPr="00BC1ABD">
        <w:rPr>
          <w:rFonts w:eastAsia="Times New Roman" w:cs="Arial"/>
          <w:sz w:val="24"/>
          <w:szCs w:val="24"/>
          <w:lang w:val="en-GB"/>
        </w:rPr>
        <w:t xml:space="preserve">also be </w:t>
      </w:r>
      <w:r w:rsidR="006637F6">
        <w:rPr>
          <w:rFonts w:eastAsia="Times New Roman" w:cs="Arial"/>
          <w:sz w:val="24"/>
          <w:szCs w:val="24"/>
          <w:lang w:val="en-GB"/>
        </w:rPr>
        <w:t>included</w:t>
      </w:r>
      <w:r w:rsidRPr="00BC1ABD">
        <w:rPr>
          <w:rFonts w:eastAsia="Times New Roman" w:cs="Arial"/>
          <w:sz w:val="24"/>
          <w:szCs w:val="24"/>
          <w:lang w:val="en-GB"/>
        </w:rPr>
        <w:t>.</w:t>
      </w:r>
    </w:p>
    <w:p w14:paraId="59E4BB5D" w14:textId="2CA06D99"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In general, the transmission speeds in a mobile network depend mostly on the technology used. UMTS, HSDPA, HSUPA and </w:t>
      </w:r>
      <w:r w:rsidRPr="00E517D9">
        <w:rPr>
          <w:lang w:val="en-US"/>
        </w:rPr>
        <w:t>HSPA+</w:t>
      </w:r>
      <w:r w:rsidRPr="00BC1ABD">
        <w:rPr>
          <w:rFonts w:eastAsia="Times New Roman" w:cs="Arial"/>
          <w:sz w:val="24"/>
          <w:szCs w:val="24"/>
          <w:vertAlign w:val="superscript"/>
          <w:lang w:val="en-GB"/>
        </w:rPr>
        <w:footnoteReference w:id="70"/>
      </w:r>
      <w:r w:rsidRPr="00BC1ABD">
        <w:rPr>
          <w:rFonts w:eastAsia="Times New Roman" w:cs="Arial"/>
          <w:sz w:val="24"/>
          <w:szCs w:val="24"/>
          <w:lang w:val="en-GB"/>
        </w:rPr>
        <w:t xml:space="preserve"> technologies are used in 3G networks, while LTE and LTE+ are currently the most represented transmission technologies in 4G networks. 5G technologies are expected to play an increasingly important role in Georgia in the future</w:t>
      </w:r>
      <w:r w:rsidR="00EA6A11">
        <w:rPr>
          <w:rFonts w:eastAsia="Times New Roman" w:cs="Arial"/>
          <w:sz w:val="24"/>
          <w:szCs w:val="24"/>
          <w:lang w:val="en-GB"/>
        </w:rPr>
        <w:t>, including the improvements in quality of service</w:t>
      </w:r>
      <w:r w:rsidR="00FB5E86">
        <w:rPr>
          <w:rFonts w:eastAsia="Times New Roman" w:cs="Arial"/>
          <w:sz w:val="24"/>
          <w:szCs w:val="24"/>
          <w:lang w:val="en-GB"/>
        </w:rPr>
        <w:t>, but not within the forward-looking time</w:t>
      </w:r>
      <w:r w:rsidR="00C8432D">
        <w:rPr>
          <w:rFonts w:eastAsia="Times New Roman" w:cs="Arial"/>
          <w:sz w:val="24"/>
          <w:szCs w:val="24"/>
          <w:lang w:val="en-GB"/>
        </w:rPr>
        <w:t xml:space="preserve"> horizon </w:t>
      </w:r>
      <w:r w:rsidR="00FB5E86">
        <w:rPr>
          <w:rFonts w:eastAsia="Times New Roman" w:cs="Arial"/>
          <w:sz w:val="24"/>
          <w:szCs w:val="24"/>
          <w:lang w:val="en-GB"/>
        </w:rPr>
        <w:t>of this market analysis</w:t>
      </w:r>
      <w:r w:rsidR="004E0DC7">
        <w:rPr>
          <w:rFonts w:eastAsia="Times New Roman" w:cs="Arial"/>
          <w:sz w:val="24"/>
          <w:szCs w:val="24"/>
          <w:lang w:val="en-GB"/>
        </w:rPr>
        <w:t xml:space="preserve"> (3 years)</w:t>
      </w:r>
      <w:r w:rsidRPr="00BC1ABD">
        <w:rPr>
          <w:rFonts w:eastAsia="Times New Roman" w:cs="Arial"/>
          <w:sz w:val="24"/>
          <w:szCs w:val="24"/>
          <w:lang w:val="en-GB"/>
        </w:rPr>
        <w:t>. Mobile operators provide end</w:t>
      </w:r>
      <w:r w:rsidR="006637F6">
        <w:rPr>
          <w:rFonts w:eastAsia="Times New Roman" w:cs="Arial"/>
          <w:sz w:val="24"/>
          <w:szCs w:val="24"/>
          <w:lang w:val="en-GB"/>
        </w:rPr>
        <w:t>-</w:t>
      </w:r>
      <w:r w:rsidRPr="00BC1ABD">
        <w:rPr>
          <w:rFonts w:eastAsia="Times New Roman" w:cs="Arial"/>
          <w:sz w:val="24"/>
          <w:szCs w:val="24"/>
          <w:lang w:val="en-GB"/>
        </w:rPr>
        <w:t>users in Georgia with broadband access using mobile networks, giving user speeds generally up to 20</w:t>
      </w:r>
      <w:r w:rsidR="00F54BCD">
        <w:rPr>
          <w:rFonts w:eastAsia="Times New Roman" w:cs="Arial"/>
          <w:sz w:val="24"/>
          <w:szCs w:val="24"/>
          <w:lang w:val="en-GB"/>
        </w:rPr>
        <w:t xml:space="preserve"> </w:t>
      </w:r>
      <w:r w:rsidRPr="00BC1ABD">
        <w:rPr>
          <w:rFonts w:eastAsia="Times New Roman" w:cs="Arial"/>
          <w:sz w:val="24"/>
          <w:szCs w:val="24"/>
          <w:lang w:val="en-GB"/>
        </w:rPr>
        <w:t>Mbps (although theoretical speeds can be higher, depending on the location of the mobile user’s device in relation to the mobile transmitter and other network-related conditions). These relevant factors in comparing fixed and mobile broadband access services are further considered in the remainder of this Chapter.</w:t>
      </w:r>
    </w:p>
    <w:p w14:paraId="36F4B939" w14:textId="1634D78F"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Broadband access via mobile networks is generally made available using smartphone devices. Other forms of access include various types of data modems that are used with computing devices (for example </w:t>
      </w:r>
      <w:r w:rsidRPr="00E517D9">
        <w:rPr>
          <w:lang w:val="en-US"/>
        </w:rPr>
        <w:t>USB dongles</w:t>
      </w:r>
      <w:r w:rsidRPr="00BC1ABD">
        <w:rPr>
          <w:rFonts w:eastAsia="Times New Roman" w:cs="Arial"/>
          <w:sz w:val="24"/>
          <w:szCs w:val="24"/>
          <w:vertAlign w:val="superscript"/>
          <w:lang w:val="en-GB"/>
        </w:rPr>
        <w:footnoteReference w:id="71"/>
      </w:r>
      <w:r w:rsidRPr="00BC1ABD">
        <w:rPr>
          <w:rFonts w:eastAsia="Times New Roman" w:cs="Arial"/>
          <w:sz w:val="24"/>
          <w:szCs w:val="24"/>
          <w:lang w:val="en-GB"/>
        </w:rPr>
        <w:t xml:space="preserve">). For the purposes of this analysis, all types of access need to be taken into account because smartphones, can act as a local Wi-Fi router for connecting different devices to the internet and for accessing various web-based services (for example OTT and streaming services). Users now </w:t>
      </w:r>
      <w:r w:rsidR="00334D90">
        <w:rPr>
          <w:rFonts w:eastAsia="Times New Roman" w:cs="Arial"/>
          <w:sz w:val="24"/>
          <w:szCs w:val="24"/>
          <w:lang w:val="en-GB"/>
        </w:rPr>
        <w:t>are increasingly expecting</w:t>
      </w:r>
      <w:r w:rsidRPr="00BC1ABD">
        <w:rPr>
          <w:rFonts w:eastAsia="Times New Roman" w:cs="Arial"/>
          <w:sz w:val="24"/>
          <w:szCs w:val="24"/>
          <w:lang w:val="en-GB"/>
        </w:rPr>
        <w:t xml:space="preserve"> unlimited traffic usage and a high quality of service.</w:t>
      </w:r>
    </w:p>
    <w:p w14:paraId="6572A2C3"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Analysing the offers of mobile operators in Georgia, it can be concluded that two out of the three mobile operators (Magticom and Silknet) offer tariffs with unlimited data included (so-called ‘flat rate’ broadband services)</w:t>
      </w:r>
      <w:r w:rsidRPr="00BC1ABD">
        <w:rPr>
          <w:rFonts w:eastAsia="Times New Roman"/>
          <w:lang w:val="en-GB"/>
        </w:rPr>
        <w:t xml:space="preserve"> </w:t>
      </w:r>
      <w:r w:rsidRPr="00BC1ABD">
        <w:rPr>
          <w:rFonts w:eastAsia="Times New Roman" w:cs="Arial"/>
          <w:sz w:val="24"/>
          <w:szCs w:val="24"/>
          <w:lang w:val="en-GB"/>
        </w:rPr>
        <w:t xml:space="preserve">or with a data cap set so high that it can be considered as unlimited. The third mobile operator (Cellfie) has stopped offering unlimited data usage. </w:t>
      </w:r>
    </w:p>
    <w:p w14:paraId="79DAF19F"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In other countries, even if it is offered, unlimited data is only generally a theoretical possibility because the maximum speed allowed only operates until the data usage cap is reached. The rest of any data used is provided at a reduced speed. This limitation significantly affects the quality of service and end-user experience. This type of service limitation is not used in Georgia.</w:t>
      </w:r>
    </w:p>
    <w:p w14:paraId="5F745858" w14:textId="219945E6"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Broadband access services provided by mobile operators can only be compared directly with the broadband access services offered by fixed operators if there is no speed downgrading if a user reaches their data cap. In the case where there is no speed downgrade, the comparability of fixed and mobile broadband access services also involves other quality of service aspects and guaranteed speed</w:t>
      </w:r>
      <w:r w:rsidR="00334D90">
        <w:rPr>
          <w:rFonts w:eastAsia="Times New Roman" w:cs="Arial"/>
          <w:sz w:val="24"/>
          <w:szCs w:val="24"/>
          <w:lang w:val="en-GB"/>
        </w:rPr>
        <w:t>s</w:t>
      </w:r>
      <w:r w:rsidRPr="00BC1ABD">
        <w:rPr>
          <w:rFonts w:eastAsia="Times New Roman" w:cs="Arial"/>
          <w:sz w:val="24"/>
          <w:szCs w:val="24"/>
          <w:lang w:val="en-GB"/>
        </w:rPr>
        <w:t>. The speed of Internet access via mobile networks, within each technology category (3G, LTE or 5G), depends on several factors, the most important being the quality of signal reception, the proximity of the base station of the mobile network operator and the number of end</w:t>
      </w:r>
      <w:r w:rsidR="00334D90">
        <w:rPr>
          <w:rFonts w:eastAsia="Times New Roman" w:cs="Arial"/>
          <w:sz w:val="24"/>
          <w:szCs w:val="24"/>
          <w:lang w:val="en-GB"/>
        </w:rPr>
        <w:t>-</w:t>
      </w:r>
      <w:r w:rsidRPr="00BC1ABD">
        <w:rPr>
          <w:rFonts w:eastAsia="Times New Roman" w:cs="Arial"/>
          <w:sz w:val="24"/>
          <w:szCs w:val="24"/>
          <w:lang w:val="en-GB"/>
        </w:rPr>
        <w:t xml:space="preserve">users connected to the base station at </w:t>
      </w:r>
      <w:r w:rsidR="00334D90">
        <w:rPr>
          <w:rFonts w:eastAsia="Times New Roman" w:cs="Arial"/>
          <w:sz w:val="24"/>
          <w:szCs w:val="24"/>
          <w:lang w:val="en-GB"/>
        </w:rPr>
        <w:t>any</w:t>
      </w:r>
      <w:r w:rsidRPr="00BC1ABD">
        <w:rPr>
          <w:rFonts w:eastAsia="Times New Roman" w:cs="Arial"/>
          <w:sz w:val="24"/>
          <w:szCs w:val="24"/>
          <w:lang w:val="en-GB"/>
        </w:rPr>
        <w:t xml:space="preserve"> time.</w:t>
      </w:r>
    </w:p>
    <w:p w14:paraId="0D6E2447" w14:textId="2A9DD215"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These factors have a significant impact on the quality of service and the access speeds experienced by users. Unlike fixed operators, mobile operators cannot guarantee their end-users a minimum access speed. The same applies to FWA services if mobile network technologies are used to provide FWA, as discussed in Chapter </w:t>
      </w:r>
      <w:r w:rsidR="00DC6F1A">
        <w:rPr>
          <w:rFonts w:eastAsia="Times New Roman" w:cs="Arial"/>
          <w:sz w:val="24"/>
          <w:szCs w:val="24"/>
          <w:lang w:val="en-GB"/>
        </w:rPr>
        <w:t>3</w:t>
      </w:r>
      <w:r w:rsidRPr="00BC1ABD">
        <w:rPr>
          <w:rFonts w:eastAsia="Times New Roman" w:cs="Arial"/>
          <w:sz w:val="24"/>
          <w:szCs w:val="24"/>
          <w:lang w:val="en-GB"/>
        </w:rPr>
        <w:t>.3.1.2. The speed volatility of mobile networks is especially problematic when a user wishes to access high-resolution video content or when several devices are sharing the same connection (for example in a home Wi</w:t>
      </w:r>
      <w:r w:rsidR="002A21CD">
        <w:rPr>
          <w:rFonts w:eastAsia="Times New Roman" w:cs="Arial"/>
          <w:sz w:val="24"/>
          <w:szCs w:val="24"/>
          <w:lang w:val="en-GB"/>
        </w:rPr>
        <w:t>-F</w:t>
      </w:r>
      <w:r w:rsidRPr="00BC1ABD">
        <w:rPr>
          <w:rFonts w:eastAsia="Times New Roman" w:cs="Arial"/>
          <w:sz w:val="24"/>
          <w:szCs w:val="24"/>
          <w:lang w:val="en-GB"/>
        </w:rPr>
        <w:t>i network).</w:t>
      </w:r>
    </w:p>
    <w:p w14:paraId="55727861" w14:textId="4A0CD90C" w:rsidR="009F5BF2" w:rsidRPr="00BC1ABD" w:rsidRDefault="0071133E" w:rsidP="009F5BF2">
      <w:pPr>
        <w:jc w:val="both"/>
        <w:rPr>
          <w:rFonts w:eastAsia="Times New Roman" w:cs="Arial"/>
          <w:sz w:val="24"/>
          <w:szCs w:val="24"/>
          <w:lang w:val="en-GB"/>
        </w:rPr>
      </w:pPr>
      <w:r>
        <w:rPr>
          <w:rFonts w:eastAsia="Times New Roman" w:cs="Arial"/>
          <w:sz w:val="24"/>
          <w:szCs w:val="24"/>
          <w:lang w:val="en-GB"/>
        </w:rPr>
        <w:t>B</w:t>
      </w:r>
      <w:r w:rsidR="009F5BF2" w:rsidRPr="00BC1ABD">
        <w:rPr>
          <w:rFonts w:eastAsia="Times New Roman" w:cs="Arial"/>
          <w:sz w:val="24"/>
          <w:szCs w:val="24"/>
          <w:lang w:val="en-GB"/>
        </w:rPr>
        <w:t>asic and higher-speed fixed broadband access markets have different characteristics in terms of what aspects can influence the user experience, the market competitiveness and the substitutability of different technologies. Generally, the lower the speed, the lower is the importance of the quality of service and overall end-user experience on the choice between the different technologies. It is considered that for basic services (up to 10 Mbps) the service quality and speeds delivered to end-users over mobile networks could be fully comparable with FWA and xDSL. As regards the current mobile broadband tariffs, both Magticom and Silknet offer unlimited data packages with the price of 32 GEL per month. This price is in the range of the prices of FWA tariffs, which means that mobile broadband operators with their unlimited data packages could pose competitive pressure on FWA operators. Therefore, this could lead to the conclusion that mobile broadband services fall in the same relevant market for basic fixed broadband access services as xDSL and FWA.</w:t>
      </w:r>
    </w:p>
    <w:p w14:paraId="2381111C" w14:textId="67F1F328"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As regards higher speeds (above 10 Mbps) and </w:t>
      </w:r>
      <w:r w:rsidR="00592449">
        <w:rPr>
          <w:rFonts w:eastAsia="Times New Roman" w:cs="Arial"/>
          <w:sz w:val="24"/>
          <w:szCs w:val="24"/>
          <w:lang w:val="en-GB"/>
        </w:rPr>
        <w:t>FTTx</w:t>
      </w:r>
      <w:r w:rsidRPr="00BC1ABD">
        <w:rPr>
          <w:rFonts w:eastAsia="Times New Roman" w:cs="Arial"/>
          <w:sz w:val="24"/>
          <w:szCs w:val="24"/>
          <w:lang w:val="en-GB"/>
        </w:rPr>
        <w:t xml:space="preserve"> services, in order for mobile broadband access to be competitive, the user should be able to achieve the same speed levels and user experience. This is clearly not the case, as mobile broadband speeds cannot be guaranteed to be the same as the equivalent offering of </w:t>
      </w:r>
      <w:r w:rsidR="00592449">
        <w:rPr>
          <w:rFonts w:eastAsia="Times New Roman" w:cs="Arial"/>
          <w:sz w:val="24"/>
          <w:szCs w:val="24"/>
          <w:lang w:val="en-GB"/>
        </w:rPr>
        <w:t>FTTx</w:t>
      </w:r>
      <w:r w:rsidRPr="00BC1ABD">
        <w:rPr>
          <w:rFonts w:eastAsia="Times New Roman" w:cs="Arial"/>
          <w:sz w:val="24"/>
          <w:szCs w:val="24"/>
          <w:lang w:val="en-GB"/>
        </w:rPr>
        <w:t xml:space="preserve"> fixed broadband. </w:t>
      </w:r>
    </w:p>
    <w:p w14:paraId="297A19EB" w14:textId="7D84597E"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There appears to be no trend of end-users switching from higher speed fixed broadband access to mobile broadband access. This is another important indicator that end</w:t>
      </w:r>
      <w:r w:rsidR="00334D90">
        <w:rPr>
          <w:rFonts w:eastAsia="Times New Roman" w:cs="Arial"/>
          <w:sz w:val="24"/>
          <w:szCs w:val="24"/>
          <w:lang w:val="en-GB"/>
        </w:rPr>
        <w:t>-</w:t>
      </w:r>
      <w:r w:rsidRPr="00BC1ABD">
        <w:rPr>
          <w:rFonts w:eastAsia="Times New Roman" w:cs="Arial"/>
          <w:sz w:val="24"/>
          <w:szCs w:val="24"/>
          <w:lang w:val="en-GB"/>
        </w:rPr>
        <w:t xml:space="preserve">users consider mobile broadband service as a complementary service to higher speeds fixed broadband and not as a substitute. It should also be emphasised that a mobile service is related to an individual person as an end user and generally used just by that person, while a fixed broadband service is </w:t>
      </w:r>
      <w:r w:rsidR="00334D90">
        <w:rPr>
          <w:rFonts w:eastAsia="Times New Roman" w:cs="Arial"/>
          <w:sz w:val="24"/>
          <w:szCs w:val="24"/>
          <w:lang w:val="en-GB"/>
        </w:rPr>
        <w:t>often</w:t>
      </w:r>
      <w:r w:rsidRPr="00BC1ABD">
        <w:rPr>
          <w:rFonts w:eastAsia="Times New Roman" w:cs="Arial"/>
          <w:sz w:val="24"/>
          <w:szCs w:val="24"/>
          <w:lang w:val="en-GB"/>
        </w:rPr>
        <w:t xml:space="preserve"> used by all household members. Fixed broadband access generally includes the option to include IPTV services, unlike the current mobile broadband offerings.</w:t>
      </w:r>
    </w:p>
    <w:p w14:paraId="4C410F6E" w14:textId="596A3D1E"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These factors reinforce the view that mobile broadband and higher speeds fixed broadband access are not considered to be substitutes by end</w:t>
      </w:r>
      <w:r w:rsidR="00334D90">
        <w:rPr>
          <w:rFonts w:eastAsia="Times New Roman" w:cs="Arial"/>
          <w:sz w:val="24"/>
          <w:szCs w:val="24"/>
          <w:lang w:val="en-GB"/>
        </w:rPr>
        <w:t>-</w:t>
      </w:r>
      <w:r w:rsidRPr="00BC1ABD">
        <w:rPr>
          <w:rFonts w:eastAsia="Times New Roman" w:cs="Arial"/>
          <w:sz w:val="24"/>
          <w:szCs w:val="24"/>
          <w:lang w:val="en-GB"/>
        </w:rPr>
        <w:t>users but are seen as complementary services.</w:t>
      </w:r>
    </w:p>
    <w:p w14:paraId="76F9DE9A" w14:textId="101B4EB1"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The quality-of-service differential could reduce significantly when 5G retail services are introduced in Georgia. In the forward-looking time horizon of this market analysis, it is not expected that 5G will make any competitive impact on the higher-speed fixed broadband access services over the next 3 years.</w:t>
      </w:r>
    </w:p>
    <w:p w14:paraId="6ADDAC82"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It is therefore concluded that, for quality and tariff reasons, mobile broadband access does not fall in the same higher-speed retail fixed broadband access market.</w:t>
      </w:r>
    </w:p>
    <w:p w14:paraId="552FED16"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For the basic fixed broadband market, a substitute mobile broadband solution would not suffer from the same technical imitations as in the higher-speed market. In terms of the coverage, all the areas covered by FWA networks are also covered by mobile broadband networks. Generally, end-users of basic broadband services are not high data volume users. The tariffs for mobile broadband offerings with unlimited data are competitive with FWA offerings. The use of the mobile network to provide a fixed broadband access service has the identical technical characteristics as a mobile broadband access service at the same location. This service is already offered as a FWA service in locations, generally where there is no other means of providing fixed broadband access.</w:t>
      </w:r>
    </w:p>
    <w:p w14:paraId="2AA75A8E" w14:textId="77777777"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It is therefore considered that a mobile broadband access service is a demand-side substitute for FWA in the basic retail fixed broadband access market.</w:t>
      </w:r>
    </w:p>
    <w:p w14:paraId="7149D333" w14:textId="544F8BC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ComCom will continue to monitor further development of broadband technologies and the services offered on the market (in particular by 5G mobile networks</w:t>
      </w:r>
      <w:r w:rsidR="008078C1">
        <w:rPr>
          <w:rStyle w:val="FootnoteReference"/>
          <w:rFonts w:eastAsia="Times New Roman" w:cs="Arial"/>
          <w:sz w:val="24"/>
          <w:szCs w:val="24"/>
          <w:lang w:val="en-GB"/>
        </w:rPr>
        <w:footnoteReference w:id="72"/>
      </w:r>
      <w:r w:rsidRPr="00BC1ABD">
        <w:rPr>
          <w:rFonts w:eastAsia="Times New Roman" w:cs="Arial"/>
          <w:sz w:val="24"/>
          <w:szCs w:val="24"/>
          <w:lang w:val="en-GB"/>
        </w:rPr>
        <w:t>). In the next round of market analysis, the impact of mobile broadband development can be taken into account in the market definitions of both the basic, and the higher-speed fixed broadband access retail markets.</w:t>
      </w:r>
    </w:p>
    <w:p w14:paraId="38382EA9" w14:textId="5BB79BF6" w:rsidR="009F5BF2" w:rsidRPr="008F11B7" w:rsidRDefault="009F5BF2" w:rsidP="008F11B7">
      <w:pPr>
        <w:pStyle w:val="Heading3"/>
        <w:numPr>
          <w:ilvl w:val="2"/>
          <w:numId w:val="88"/>
        </w:numPr>
        <w:spacing w:beforeAutospacing="0" w:after="160" w:afterAutospacing="0" w:line="256" w:lineRule="auto"/>
        <w:rPr>
          <w:rFonts w:asciiTheme="minorHAnsi" w:hAnsiTheme="minorHAnsi" w:cs="Calibri"/>
          <w:b w:val="0"/>
          <w:bCs w:val="0"/>
          <w:sz w:val="24"/>
          <w:szCs w:val="24"/>
          <w:lang w:val="en-GB"/>
        </w:rPr>
      </w:pPr>
      <w:bookmarkStart w:id="163" w:name="_Toc97535480"/>
      <w:bookmarkStart w:id="164" w:name="_Toc146107811"/>
      <w:bookmarkStart w:id="165" w:name="_Toc169258926"/>
      <w:r w:rsidRPr="008F11B7">
        <w:rPr>
          <w:rFonts w:asciiTheme="minorHAnsi" w:hAnsiTheme="minorHAnsi" w:cstheme="minorHAnsi"/>
          <w:b w:val="0"/>
          <w:bCs w:val="0"/>
          <w:sz w:val="24"/>
          <w:szCs w:val="24"/>
          <w:lang w:val="en-GB"/>
        </w:rPr>
        <w:t>Supply</w:t>
      </w:r>
      <w:r w:rsidR="00335F11">
        <w:rPr>
          <w:rFonts w:asciiTheme="minorHAnsi" w:hAnsiTheme="minorHAnsi" w:cstheme="minorHAnsi"/>
          <w:b w:val="0"/>
          <w:bCs w:val="0"/>
          <w:sz w:val="24"/>
          <w:szCs w:val="24"/>
          <w:lang w:val="en-GB"/>
        </w:rPr>
        <w:t>-</w:t>
      </w:r>
      <w:r w:rsidRPr="008F11B7">
        <w:rPr>
          <w:rFonts w:asciiTheme="minorHAnsi" w:hAnsiTheme="minorHAnsi" w:cstheme="minorHAnsi"/>
          <w:b w:val="0"/>
          <w:bCs w:val="0"/>
          <w:sz w:val="24"/>
          <w:szCs w:val="24"/>
          <w:lang w:val="en-GB"/>
        </w:rPr>
        <w:t>side substitution</w:t>
      </w:r>
      <w:bookmarkEnd w:id="163"/>
      <w:bookmarkEnd w:id="164"/>
      <w:bookmarkEnd w:id="165"/>
    </w:p>
    <w:p w14:paraId="5E62C8DB" w14:textId="511B7FF0"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Based on ComCom data on the use of fixed broadband access services as well as the </w:t>
      </w:r>
      <w:r w:rsidR="00592449">
        <w:rPr>
          <w:rFonts w:eastAsia="Times New Roman" w:cs="Arial"/>
          <w:sz w:val="24"/>
          <w:szCs w:val="24"/>
          <w:lang w:val="en-GB"/>
        </w:rPr>
        <w:t>FTTx</w:t>
      </w:r>
      <w:r w:rsidRPr="00BC1ABD">
        <w:rPr>
          <w:rFonts w:eastAsia="Times New Roman" w:cs="Arial"/>
          <w:sz w:val="24"/>
          <w:szCs w:val="24"/>
          <w:lang w:val="en-GB"/>
        </w:rPr>
        <w:t xml:space="preserve"> network coverage data (Figures </w:t>
      </w:r>
      <w:r w:rsidR="0052212F">
        <w:rPr>
          <w:rFonts w:eastAsia="Times New Roman" w:cs="Arial"/>
          <w:sz w:val="24"/>
          <w:szCs w:val="24"/>
          <w:lang w:val="en-GB"/>
        </w:rPr>
        <w:t>4</w:t>
      </w:r>
      <w:r w:rsidRPr="00BC1ABD">
        <w:rPr>
          <w:rFonts w:eastAsia="Times New Roman" w:cs="Arial"/>
          <w:sz w:val="24"/>
          <w:szCs w:val="24"/>
          <w:lang w:val="en-GB"/>
        </w:rPr>
        <w:t xml:space="preserve">, </w:t>
      </w:r>
      <w:r w:rsidR="009242F6">
        <w:rPr>
          <w:rFonts w:eastAsia="Times New Roman" w:cs="Arial"/>
          <w:sz w:val="24"/>
          <w:szCs w:val="24"/>
          <w:lang w:val="en-GB"/>
        </w:rPr>
        <w:t>5</w:t>
      </w:r>
      <w:r w:rsidRPr="00BC1ABD">
        <w:rPr>
          <w:rFonts w:eastAsia="Times New Roman" w:cs="Arial"/>
          <w:sz w:val="24"/>
          <w:szCs w:val="24"/>
          <w:lang w:val="en-GB"/>
        </w:rPr>
        <w:t xml:space="preserve">, </w:t>
      </w:r>
      <w:r w:rsidR="009242F6">
        <w:rPr>
          <w:rFonts w:eastAsia="Times New Roman" w:cs="Arial"/>
          <w:sz w:val="24"/>
          <w:szCs w:val="24"/>
          <w:lang w:val="en-GB"/>
        </w:rPr>
        <w:t>12</w:t>
      </w:r>
      <w:r w:rsidRPr="00BC1ABD">
        <w:rPr>
          <w:rFonts w:eastAsia="Times New Roman" w:cs="Arial"/>
          <w:sz w:val="24"/>
          <w:szCs w:val="24"/>
          <w:lang w:val="en-GB"/>
        </w:rPr>
        <w:t xml:space="preserve">, </w:t>
      </w:r>
      <w:r w:rsidR="009242F6">
        <w:rPr>
          <w:rFonts w:eastAsia="Times New Roman" w:cs="Arial"/>
          <w:sz w:val="24"/>
          <w:szCs w:val="24"/>
          <w:lang w:val="en-GB"/>
        </w:rPr>
        <w:t>20</w:t>
      </w:r>
      <w:r w:rsidRPr="00BC1ABD">
        <w:rPr>
          <w:rFonts w:eastAsia="Times New Roman" w:cs="Arial"/>
          <w:sz w:val="24"/>
          <w:szCs w:val="24"/>
          <w:lang w:val="en-GB"/>
        </w:rPr>
        <w:t xml:space="preserve"> and </w:t>
      </w:r>
      <w:r w:rsidR="009242F6">
        <w:rPr>
          <w:rFonts w:eastAsia="Times New Roman" w:cs="Arial"/>
          <w:sz w:val="24"/>
          <w:szCs w:val="24"/>
          <w:lang w:val="en-GB"/>
        </w:rPr>
        <w:t>21</w:t>
      </w:r>
      <w:r w:rsidRPr="00BC1ABD">
        <w:rPr>
          <w:rFonts w:eastAsia="Times New Roman" w:cs="Arial"/>
          <w:sz w:val="24"/>
          <w:szCs w:val="24"/>
          <w:lang w:val="en-GB"/>
        </w:rPr>
        <w:t xml:space="preserve">), it is considered unlikely that in the event of a hypothetical increase in the retail price of fixed broadband access, new operators would be able to start providing services in the higher-speed fixed broadband market with significant coverage during the forward-looking time horizon of this market analysis. As mentioned in the previous analysis of mobile technology </w:t>
      </w:r>
      <w:r w:rsidRPr="005B2F71">
        <w:rPr>
          <w:rFonts w:eastAsia="Times New Roman" w:cs="Arial"/>
          <w:sz w:val="24"/>
          <w:szCs w:val="24"/>
          <w:highlight w:val="yellow"/>
          <w:lang w:val="en-GB"/>
        </w:rPr>
        <w:t xml:space="preserve">(see Chapter </w:t>
      </w:r>
      <w:r w:rsidR="00D108C4" w:rsidRPr="005B2F71">
        <w:rPr>
          <w:rFonts w:eastAsia="Times New Roman" w:cs="Arial"/>
          <w:sz w:val="24"/>
          <w:szCs w:val="24"/>
          <w:highlight w:val="yellow"/>
          <w:lang w:val="en-GB"/>
        </w:rPr>
        <w:t>3</w:t>
      </w:r>
      <w:r w:rsidRPr="005B2F71">
        <w:rPr>
          <w:rFonts w:eastAsia="Times New Roman" w:cs="Arial"/>
          <w:sz w:val="24"/>
          <w:szCs w:val="24"/>
          <w:highlight w:val="yellow"/>
          <w:lang w:val="en-GB"/>
        </w:rPr>
        <w:t xml:space="preserve">.3.1.4) a competitive </w:t>
      </w:r>
      <w:r w:rsidR="00CC2A37" w:rsidRPr="005B2F71">
        <w:rPr>
          <w:rFonts w:eastAsia="Times New Roman" w:cs="Arial"/>
          <w:sz w:val="24"/>
          <w:szCs w:val="24"/>
          <w:highlight w:val="yellow"/>
          <w:lang w:val="en-GB"/>
        </w:rPr>
        <w:t xml:space="preserve">mobile </w:t>
      </w:r>
      <w:r w:rsidRPr="005B2F71">
        <w:rPr>
          <w:rFonts w:eastAsia="Times New Roman" w:cs="Arial"/>
          <w:sz w:val="24"/>
          <w:szCs w:val="24"/>
          <w:highlight w:val="yellow"/>
          <w:lang w:val="en-GB"/>
        </w:rPr>
        <w:t>service</w:t>
      </w:r>
      <w:r w:rsidR="00195B2F" w:rsidRPr="005B2F71">
        <w:rPr>
          <w:rFonts w:eastAsia="Times New Roman" w:cs="Arial"/>
          <w:sz w:val="24"/>
          <w:szCs w:val="24"/>
          <w:highlight w:val="yellow"/>
          <w:lang w:val="en-GB"/>
        </w:rPr>
        <w:t xml:space="preserve"> </w:t>
      </w:r>
      <w:r w:rsidR="00CC2A37" w:rsidRPr="005B2F71">
        <w:rPr>
          <w:rFonts w:eastAsia="Times New Roman" w:cs="Arial"/>
          <w:sz w:val="24"/>
          <w:szCs w:val="24"/>
          <w:highlight w:val="yellow"/>
          <w:lang w:val="en-GB"/>
        </w:rPr>
        <w:t>is possible</w:t>
      </w:r>
      <w:r w:rsidRPr="005B2F71">
        <w:rPr>
          <w:rFonts w:eastAsia="Times New Roman" w:cs="Arial"/>
          <w:sz w:val="24"/>
          <w:szCs w:val="24"/>
          <w:highlight w:val="yellow"/>
          <w:lang w:val="en-GB"/>
        </w:rPr>
        <w:t xml:space="preserve"> using 5G mobile technology in the future, but it is unlikely that it </w:t>
      </w:r>
      <w:r w:rsidR="00CC2A37" w:rsidRPr="005B2F71">
        <w:rPr>
          <w:rFonts w:eastAsia="Times New Roman" w:cs="Arial"/>
          <w:sz w:val="24"/>
          <w:szCs w:val="24"/>
          <w:highlight w:val="yellow"/>
          <w:lang w:val="en-GB"/>
        </w:rPr>
        <w:t xml:space="preserve">will become a full national service </w:t>
      </w:r>
      <w:r w:rsidRPr="005B2F71">
        <w:rPr>
          <w:rFonts w:eastAsia="Times New Roman" w:cs="Arial"/>
          <w:sz w:val="24"/>
          <w:szCs w:val="24"/>
          <w:highlight w:val="yellow"/>
          <w:lang w:val="en-GB"/>
        </w:rPr>
        <w:t xml:space="preserve">during the forward-looking time horizon of this </w:t>
      </w:r>
      <w:r w:rsidR="00CC2A37" w:rsidRPr="005B2F71">
        <w:rPr>
          <w:rFonts w:eastAsia="Times New Roman" w:cs="Arial"/>
          <w:sz w:val="24"/>
          <w:szCs w:val="24"/>
          <w:highlight w:val="yellow"/>
          <w:lang w:val="en-GB"/>
        </w:rPr>
        <w:t xml:space="preserve">market </w:t>
      </w:r>
      <w:r w:rsidRPr="005B2F71">
        <w:rPr>
          <w:rFonts w:eastAsia="Times New Roman" w:cs="Arial"/>
          <w:sz w:val="24"/>
          <w:szCs w:val="24"/>
          <w:highlight w:val="yellow"/>
          <w:lang w:val="en-GB"/>
        </w:rPr>
        <w:t>analysis</w:t>
      </w:r>
      <w:r w:rsidRPr="00BC1ABD">
        <w:rPr>
          <w:rFonts w:eastAsia="Times New Roman" w:cs="Arial"/>
          <w:sz w:val="24"/>
          <w:szCs w:val="24"/>
          <w:lang w:val="en-GB"/>
        </w:rPr>
        <w:t>.</w:t>
      </w:r>
    </w:p>
    <w:p w14:paraId="0EC073FF" w14:textId="2E2620BD"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 xml:space="preserve">For the basic fixed broadband access market where FWA is the predominant technology, in the case of a hypothetical increase in the retail price, it is considered unlikely that providers of </w:t>
      </w:r>
      <w:r w:rsidR="00592449">
        <w:rPr>
          <w:rFonts w:eastAsia="Times New Roman" w:cs="Arial"/>
          <w:sz w:val="24"/>
          <w:szCs w:val="24"/>
          <w:lang w:val="en-GB"/>
        </w:rPr>
        <w:t>FTTx</w:t>
      </w:r>
      <w:r w:rsidRPr="00BC1ABD">
        <w:rPr>
          <w:rFonts w:eastAsia="Times New Roman" w:cs="Arial"/>
          <w:sz w:val="24"/>
          <w:szCs w:val="24"/>
          <w:lang w:val="en-GB"/>
        </w:rPr>
        <w:t xml:space="preserve"> would start to provide the services in the lower speed range. Services using </w:t>
      </w:r>
      <w:r w:rsidR="00592449">
        <w:rPr>
          <w:rFonts w:eastAsia="Times New Roman" w:cs="Arial"/>
          <w:sz w:val="24"/>
          <w:szCs w:val="24"/>
          <w:lang w:val="en-GB"/>
        </w:rPr>
        <w:t>FTTx</w:t>
      </w:r>
      <w:r w:rsidRPr="00BC1ABD">
        <w:rPr>
          <w:rFonts w:eastAsia="Times New Roman" w:cs="Arial"/>
          <w:sz w:val="24"/>
          <w:szCs w:val="24"/>
          <w:lang w:val="en-GB"/>
        </w:rPr>
        <w:t xml:space="preserve"> are not currently offered by the </w:t>
      </w:r>
      <w:r w:rsidR="00592449">
        <w:rPr>
          <w:rFonts w:eastAsia="Times New Roman" w:cs="Arial"/>
          <w:sz w:val="24"/>
          <w:szCs w:val="24"/>
          <w:lang w:val="en-GB"/>
        </w:rPr>
        <w:t>FTTx</w:t>
      </w:r>
      <w:r w:rsidRPr="00BC1ABD">
        <w:rPr>
          <w:rFonts w:eastAsia="Times New Roman" w:cs="Arial"/>
          <w:sz w:val="24"/>
          <w:szCs w:val="24"/>
          <w:lang w:val="en-GB"/>
        </w:rPr>
        <w:t xml:space="preserve"> operators (below 20</w:t>
      </w:r>
      <w:r w:rsidR="00F54BCD">
        <w:rPr>
          <w:rFonts w:eastAsia="Times New Roman" w:cs="Arial"/>
          <w:sz w:val="24"/>
          <w:szCs w:val="24"/>
          <w:lang w:val="en-GB"/>
        </w:rPr>
        <w:t xml:space="preserve"> </w:t>
      </w:r>
      <w:r w:rsidRPr="00BC1ABD">
        <w:rPr>
          <w:rFonts w:eastAsia="Times New Roman" w:cs="Arial"/>
          <w:sz w:val="24"/>
          <w:szCs w:val="24"/>
          <w:lang w:val="en-GB"/>
        </w:rPr>
        <w:t xml:space="preserve">Mbps) and it is more likely that users of FWA and xDSL basic fixed broadband access services will migrate to the higher speeds offered by </w:t>
      </w:r>
      <w:r w:rsidR="00592449">
        <w:rPr>
          <w:rFonts w:eastAsia="Times New Roman" w:cs="Arial"/>
          <w:sz w:val="24"/>
          <w:szCs w:val="24"/>
          <w:lang w:val="en-GB"/>
        </w:rPr>
        <w:t>FTTx</w:t>
      </w:r>
      <w:r w:rsidRPr="00BC1ABD">
        <w:rPr>
          <w:rFonts w:eastAsia="Times New Roman" w:cs="Arial"/>
          <w:sz w:val="24"/>
          <w:szCs w:val="24"/>
          <w:lang w:val="en-GB"/>
        </w:rPr>
        <w:t xml:space="preserve">, rather than seek an </w:t>
      </w:r>
      <w:r w:rsidR="00592449">
        <w:rPr>
          <w:rFonts w:eastAsia="Times New Roman" w:cs="Arial"/>
          <w:sz w:val="24"/>
          <w:szCs w:val="24"/>
          <w:lang w:val="en-GB"/>
        </w:rPr>
        <w:t>FTTx</w:t>
      </w:r>
      <w:r w:rsidRPr="00BC1ABD">
        <w:rPr>
          <w:rFonts w:eastAsia="Times New Roman" w:cs="Arial"/>
          <w:sz w:val="24"/>
          <w:szCs w:val="24"/>
          <w:lang w:val="en-GB"/>
        </w:rPr>
        <w:t xml:space="preserve"> solution at a lower speed if it was offered.</w:t>
      </w:r>
    </w:p>
    <w:p w14:paraId="082EA979" w14:textId="07C2C83B" w:rsidR="009F5BF2" w:rsidRPr="00BC1ABD" w:rsidRDefault="009F5BF2" w:rsidP="009F5BF2">
      <w:pPr>
        <w:jc w:val="both"/>
        <w:rPr>
          <w:rFonts w:eastAsia="Times New Roman" w:cs="Arial"/>
          <w:sz w:val="24"/>
          <w:szCs w:val="24"/>
          <w:lang w:val="en-GB"/>
        </w:rPr>
      </w:pPr>
      <w:r w:rsidRPr="00BC1ABD">
        <w:rPr>
          <w:rFonts w:eastAsia="Times New Roman" w:cs="Arial"/>
          <w:sz w:val="24"/>
          <w:szCs w:val="24"/>
          <w:lang w:val="en-GB"/>
        </w:rPr>
        <w:t>It is therefore considered that in Georgia there is no supply-side substitution for retail fixed broadband access services that are already included on the demand</w:t>
      </w:r>
      <w:r w:rsidR="00335F11">
        <w:rPr>
          <w:rFonts w:eastAsia="Times New Roman" w:cs="Arial"/>
          <w:sz w:val="24"/>
          <w:szCs w:val="24"/>
          <w:lang w:val="en-GB"/>
        </w:rPr>
        <w:t>-</w:t>
      </w:r>
      <w:r w:rsidRPr="00BC1ABD">
        <w:rPr>
          <w:rFonts w:eastAsia="Times New Roman" w:cs="Arial"/>
          <w:sz w:val="24"/>
          <w:szCs w:val="24"/>
          <w:lang w:val="en-GB"/>
        </w:rPr>
        <w:t>side on both the higher-speed as well as basic broadband access services market.</w:t>
      </w:r>
    </w:p>
    <w:p w14:paraId="01284467" w14:textId="345873C5" w:rsidR="009F5BF2" w:rsidRPr="008F11B7" w:rsidRDefault="009F5BF2" w:rsidP="008F11B7">
      <w:pPr>
        <w:pStyle w:val="Heading3"/>
        <w:numPr>
          <w:ilvl w:val="2"/>
          <w:numId w:val="88"/>
        </w:numPr>
        <w:spacing w:beforeAutospacing="0" w:after="160" w:afterAutospacing="0" w:line="256" w:lineRule="auto"/>
        <w:rPr>
          <w:rFonts w:asciiTheme="minorHAnsi" w:hAnsiTheme="minorHAnsi" w:cs="Calibri"/>
          <w:b w:val="0"/>
          <w:bCs w:val="0"/>
          <w:sz w:val="24"/>
          <w:szCs w:val="24"/>
          <w:lang w:val="en-GB"/>
        </w:rPr>
      </w:pPr>
      <w:bookmarkStart w:id="166" w:name="_Toc97535481"/>
      <w:bookmarkStart w:id="167" w:name="_Toc146107812"/>
      <w:bookmarkStart w:id="168" w:name="_Toc169258927"/>
      <w:r w:rsidRPr="008F11B7">
        <w:rPr>
          <w:rFonts w:asciiTheme="minorHAnsi" w:hAnsiTheme="minorHAnsi" w:cstheme="minorHAnsi"/>
          <w:b w:val="0"/>
          <w:bCs w:val="0"/>
          <w:sz w:val="24"/>
          <w:szCs w:val="24"/>
          <w:lang w:val="en-GB"/>
        </w:rPr>
        <w:t xml:space="preserve">Conclusions on </w:t>
      </w:r>
      <w:r w:rsidR="00C44339">
        <w:rPr>
          <w:rFonts w:asciiTheme="minorHAnsi" w:hAnsiTheme="minorHAnsi" w:cstheme="minorHAnsi"/>
          <w:b w:val="0"/>
          <w:bCs w:val="0"/>
          <w:sz w:val="24"/>
          <w:szCs w:val="24"/>
          <w:lang w:val="en-GB"/>
        </w:rPr>
        <w:t xml:space="preserve">the </w:t>
      </w:r>
      <w:r w:rsidRPr="008F11B7">
        <w:rPr>
          <w:rFonts w:asciiTheme="minorHAnsi" w:hAnsiTheme="minorHAnsi" w:cstheme="minorHAnsi"/>
          <w:b w:val="0"/>
          <w:bCs w:val="0"/>
          <w:sz w:val="24"/>
          <w:szCs w:val="24"/>
          <w:lang w:val="en-GB"/>
        </w:rPr>
        <w:t>relevant retail market for fixed broadband access services</w:t>
      </w:r>
      <w:bookmarkEnd w:id="166"/>
      <w:bookmarkEnd w:id="167"/>
      <w:bookmarkEnd w:id="168"/>
    </w:p>
    <w:p w14:paraId="00D4D4CD" w14:textId="77777777" w:rsidR="009F5BF2" w:rsidRPr="008C5AF9" w:rsidRDefault="009F5BF2" w:rsidP="008C5AF9">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69" w:name="_Toc169258928"/>
      <w:r w:rsidRPr="008C5AF9">
        <w:rPr>
          <w:rFonts w:asciiTheme="minorHAnsi" w:hAnsiTheme="minorHAnsi" w:cstheme="minorHAnsi"/>
          <w:b w:val="0"/>
          <w:bCs w:val="0"/>
          <w:sz w:val="24"/>
          <w:szCs w:val="24"/>
          <w:lang w:val="en-GB"/>
        </w:rPr>
        <w:t>Basic fixed broadband access market</w:t>
      </w:r>
      <w:bookmarkEnd w:id="169"/>
    </w:p>
    <w:p w14:paraId="7FF4647B" w14:textId="23A1EB55" w:rsidR="009F5BF2" w:rsidRPr="00BC1ABD" w:rsidRDefault="009F5BF2" w:rsidP="009F5BF2">
      <w:pPr>
        <w:spacing w:before="240"/>
        <w:jc w:val="both"/>
        <w:rPr>
          <w:rFonts w:eastAsia="Times New Roman" w:cs="Arial"/>
          <w:sz w:val="24"/>
          <w:szCs w:val="24"/>
          <w:lang w:val="en-GB"/>
        </w:rPr>
      </w:pPr>
      <w:r w:rsidRPr="00BC1ABD">
        <w:rPr>
          <w:rFonts w:eastAsia="Times New Roman" w:cs="Arial"/>
          <w:sz w:val="24"/>
          <w:szCs w:val="24"/>
          <w:lang w:val="en-GB"/>
        </w:rPr>
        <w:t xml:space="preserve">Based on the analysis made in Chapters </w:t>
      </w:r>
      <w:r w:rsidR="007948F0">
        <w:rPr>
          <w:rFonts w:eastAsia="Times New Roman" w:cs="Arial"/>
          <w:sz w:val="24"/>
          <w:szCs w:val="24"/>
          <w:lang w:val="en-GB"/>
        </w:rPr>
        <w:t>3</w:t>
      </w:r>
      <w:r w:rsidRPr="00BC1ABD">
        <w:rPr>
          <w:rFonts w:eastAsia="Times New Roman" w:cs="Arial"/>
          <w:sz w:val="24"/>
          <w:szCs w:val="24"/>
          <w:lang w:val="en-GB"/>
        </w:rPr>
        <w:t xml:space="preserve">.1 and </w:t>
      </w:r>
      <w:r w:rsidR="007948F0">
        <w:rPr>
          <w:rFonts w:eastAsia="Times New Roman" w:cs="Arial"/>
          <w:sz w:val="24"/>
          <w:szCs w:val="24"/>
          <w:lang w:val="en-GB"/>
        </w:rPr>
        <w:t>3</w:t>
      </w:r>
      <w:r w:rsidRPr="00BC1ABD">
        <w:rPr>
          <w:rFonts w:eastAsia="Times New Roman" w:cs="Arial"/>
          <w:sz w:val="24"/>
          <w:szCs w:val="24"/>
          <w:lang w:val="en-GB"/>
        </w:rPr>
        <w:t xml:space="preserve">.2, </w:t>
      </w:r>
      <w:bookmarkStart w:id="170" w:name="_Hlk124439968"/>
      <w:r w:rsidRPr="00BC1ABD">
        <w:rPr>
          <w:rFonts w:eastAsia="Times New Roman" w:cs="Arial"/>
          <w:sz w:val="24"/>
          <w:szCs w:val="24"/>
          <w:lang w:val="en-GB"/>
        </w:rPr>
        <w:t>it is concluded that the basic retail fixed broadband access market in Georgia consists of the following substitute services:</w:t>
      </w:r>
    </w:p>
    <w:p w14:paraId="5DBFCE3C" w14:textId="77777777" w:rsidR="009F5BF2" w:rsidRPr="00BC1ABD" w:rsidRDefault="009F5BF2" w:rsidP="009F5BF2">
      <w:pPr>
        <w:numPr>
          <w:ilvl w:val="0"/>
          <w:numId w:val="22"/>
        </w:numPr>
        <w:spacing w:before="240"/>
        <w:contextualSpacing/>
        <w:jc w:val="both"/>
        <w:rPr>
          <w:rFonts w:eastAsia="Times New Roman" w:cs="Arial"/>
          <w:sz w:val="24"/>
          <w:szCs w:val="24"/>
          <w:lang w:val="en-GB"/>
        </w:rPr>
      </w:pPr>
      <w:r w:rsidRPr="00BC1ABD">
        <w:rPr>
          <w:rFonts w:eastAsia="Times New Roman" w:cs="Arial"/>
          <w:sz w:val="24"/>
          <w:szCs w:val="24"/>
          <w:lang w:val="en-GB"/>
        </w:rPr>
        <w:t>Retail fixed broadband access via FWA</w:t>
      </w:r>
    </w:p>
    <w:p w14:paraId="2257B595" w14:textId="77777777" w:rsidR="009F5BF2" w:rsidRPr="00BC1ABD" w:rsidRDefault="009F5BF2" w:rsidP="009F5BF2">
      <w:pPr>
        <w:numPr>
          <w:ilvl w:val="0"/>
          <w:numId w:val="22"/>
        </w:numPr>
        <w:spacing w:before="240"/>
        <w:contextualSpacing/>
        <w:jc w:val="both"/>
        <w:rPr>
          <w:rFonts w:eastAsia="Times New Roman" w:cs="Arial"/>
          <w:sz w:val="24"/>
          <w:szCs w:val="24"/>
          <w:lang w:val="en-GB"/>
        </w:rPr>
      </w:pPr>
      <w:r w:rsidRPr="00BC1ABD">
        <w:rPr>
          <w:rFonts w:eastAsia="Times New Roman" w:cs="Arial"/>
          <w:sz w:val="24"/>
          <w:szCs w:val="24"/>
          <w:lang w:val="en-GB"/>
        </w:rPr>
        <w:t>Retail fixed broadband access via xDSL</w:t>
      </w:r>
    </w:p>
    <w:p w14:paraId="19DDCA2E" w14:textId="77777777" w:rsidR="009F5BF2" w:rsidRPr="00BC1ABD" w:rsidRDefault="009F5BF2" w:rsidP="009F5BF2">
      <w:pPr>
        <w:numPr>
          <w:ilvl w:val="0"/>
          <w:numId w:val="22"/>
        </w:numPr>
        <w:spacing w:before="240"/>
        <w:contextualSpacing/>
        <w:jc w:val="both"/>
        <w:rPr>
          <w:rFonts w:eastAsia="Times New Roman" w:cs="Arial"/>
          <w:sz w:val="24"/>
          <w:szCs w:val="24"/>
          <w:lang w:val="en-GB"/>
        </w:rPr>
      </w:pPr>
      <w:r w:rsidRPr="00BC1ABD">
        <w:rPr>
          <w:rFonts w:eastAsia="Times New Roman" w:cs="Arial"/>
          <w:sz w:val="24"/>
          <w:szCs w:val="24"/>
          <w:lang w:val="en-GB"/>
        </w:rPr>
        <w:t>Retail fixed broadband using mobile networks</w:t>
      </w:r>
    </w:p>
    <w:p w14:paraId="245E7C6C" w14:textId="77777777" w:rsidR="00C44339" w:rsidRDefault="00C44339" w:rsidP="009F5BF2">
      <w:pPr>
        <w:spacing w:before="240"/>
        <w:jc w:val="both"/>
        <w:rPr>
          <w:rFonts w:eastAsia="Times New Roman" w:cs="Arial"/>
          <w:sz w:val="24"/>
          <w:szCs w:val="24"/>
          <w:lang w:val="en-GB"/>
        </w:rPr>
      </w:pPr>
    </w:p>
    <w:p w14:paraId="6CA21143" w14:textId="38E42B50" w:rsidR="009F5BF2" w:rsidRPr="00BC1ABD" w:rsidRDefault="009F5BF2" w:rsidP="009F5BF2">
      <w:pPr>
        <w:spacing w:before="240"/>
        <w:jc w:val="both"/>
        <w:rPr>
          <w:rFonts w:eastAsia="Times New Roman" w:cs="Arial"/>
          <w:sz w:val="24"/>
          <w:szCs w:val="24"/>
          <w:lang w:val="en-GB"/>
        </w:rPr>
      </w:pPr>
      <w:r w:rsidRPr="00BC1ABD">
        <w:rPr>
          <w:rFonts w:eastAsia="Times New Roman" w:cs="Arial"/>
          <w:sz w:val="24"/>
          <w:szCs w:val="24"/>
          <w:lang w:val="en-GB"/>
        </w:rPr>
        <w:t>The relevant market can be considered as being in the speed range of up to 10 Mbps offered to residential users, regardless of whether the specified broadband access service is offered alone or bundled with other electronic communications services and regardless of the access speeds provided within the defined speed range</w:t>
      </w:r>
      <w:bookmarkEnd w:id="170"/>
      <w:r w:rsidRPr="00BC1ABD">
        <w:rPr>
          <w:rFonts w:eastAsia="Times New Roman" w:cs="Arial"/>
          <w:sz w:val="24"/>
          <w:szCs w:val="24"/>
          <w:lang w:val="en-GB"/>
        </w:rPr>
        <w:t>.</w:t>
      </w:r>
    </w:p>
    <w:p w14:paraId="207D2D47" w14:textId="77777777" w:rsidR="009F5BF2" w:rsidRPr="008C5AF9" w:rsidRDefault="009F5BF2" w:rsidP="008C5AF9">
      <w:pPr>
        <w:pStyle w:val="Heading3"/>
        <w:numPr>
          <w:ilvl w:val="3"/>
          <w:numId w:val="88"/>
        </w:numPr>
        <w:spacing w:beforeAutospacing="0" w:after="160" w:afterAutospacing="0" w:line="256" w:lineRule="auto"/>
        <w:rPr>
          <w:rFonts w:asciiTheme="minorHAnsi" w:hAnsiTheme="minorHAnsi" w:cstheme="minorHAnsi"/>
          <w:b w:val="0"/>
          <w:bCs w:val="0"/>
          <w:sz w:val="24"/>
          <w:szCs w:val="24"/>
          <w:lang w:val="en-GB"/>
        </w:rPr>
      </w:pPr>
      <w:bookmarkStart w:id="171" w:name="_Toc169258929"/>
      <w:r w:rsidRPr="008C5AF9">
        <w:rPr>
          <w:rFonts w:asciiTheme="minorHAnsi" w:hAnsiTheme="minorHAnsi" w:cstheme="minorHAnsi"/>
          <w:b w:val="0"/>
          <w:bCs w:val="0"/>
          <w:sz w:val="24"/>
          <w:szCs w:val="24"/>
          <w:lang w:val="en-GB"/>
        </w:rPr>
        <w:t>Higher-speed fixed broadband access market</w:t>
      </w:r>
      <w:bookmarkEnd w:id="171"/>
    </w:p>
    <w:p w14:paraId="548B5878" w14:textId="4C58E97F" w:rsidR="00B271E6" w:rsidRPr="003B52FC" w:rsidRDefault="009F5BF2" w:rsidP="003B52FC">
      <w:pPr>
        <w:spacing w:before="240"/>
        <w:jc w:val="both"/>
        <w:rPr>
          <w:rFonts w:eastAsia="Times New Roman" w:cs="Arial"/>
          <w:sz w:val="24"/>
          <w:szCs w:val="24"/>
          <w:lang w:val="en-GB"/>
        </w:rPr>
      </w:pPr>
      <w:r w:rsidRPr="00BC1ABD">
        <w:rPr>
          <w:rFonts w:eastAsia="Times New Roman" w:cs="Arial"/>
          <w:sz w:val="24"/>
          <w:szCs w:val="24"/>
          <w:lang w:val="en-GB"/>
        </w:rPr>
        <w:t xml:space="preserve">Based on the analysis made in </w:t>
      </w:r>
      <w:r w:rsidR="007D1884">
        <w:rPr>
          <w:rFonts w:eastAsia="Times New Roman" w:cs="Arial"/>
          <w:sz w:val="24"/>
          <w:szCs w:val="24"/>
          <w:lang w:val="en-GB"/>
        </w:rPr>
        <w:t>Chapters</w:t>
      </w:r>
      <w:r w:rsidRPr="00BC1ABD">
        <w:rPr>
          <w:rFonts w:eastAsia="Times New Roman" w:cs="Arial"/>
          <w:sz w:val="24"/>
          <w:szCs w:val="24"/>
          <w:lang w:val="en-GB"/>
        </w:rPr>
        <w:t xml:space="preserve"> </w:t>
      </w:r>
      <w:r w:rsidR="007D1884">
        <w:rPr>
          <w:rFonts w:eastAsia="Times New Roman" w:cs="Arial"/>
          <w:sz w:val="24"/>
          <w:szCs w:val="24"/>
          <w:lang w:val="en-GB"/>
        </w:rPr>
        <w:t>3</w:t>
      </w:r>
      <w:r w:rsidRPr="00BC1ABD">
        <w:rPr>
          <w:rFonts w:eastAsia="Times New Roman" w:cs="Arial"/>
          <w:sz w:val="24"/>
          <w:szCs w:val="24"/>
          <w:lang w:val="en-GB"/>
        </w:rPr>
        <w:t xml:space="preserve">.1 and </w:t>
      </w:r>
      <w:r w:rsidR="007D1884">
        <w:rPr>
          <w:rFonts w:eastAsia="Times New Roman" w:cs="Arial"/>
          <w:sz w:val="24"/>
          <w:szCs w:val="24"/>
          <w:lang w:val="en-GB"/>
        </w:rPr>
        <w:t>3</w:t>
      </w:r>
      <w:r w:rsidRPr="00BC1ABD">
        <w:rPr>
          <w:rFonts w:eastAsia="Times New Roman" w:cs="Arial"/>
          <w:sz w:val="24"/>
          <w:szCs w:val="24"/>
          <w:lang w:val="en-GB"/>
        </w:rPr>
        <w:t xml:space="preserve">.2, it is concluded that, because there are no demand-side or supply-side substitutes at present, the higher-speed retail fixed broadband access market in Georgia consists of the </w:t>
      </w:r>
      <w:r w:rsidR="00592449">
        <w:rPr>
          <w:rFonts w:eastAsia="Times New Roman" w:cs="Arial"/>
          <w:sz w:val="24"/>
          <w:szCs w:val="24"/>
          <w:lang w:val="en-GB"/>
        </w:rPr>
        <w:t>FTTx</w:t>
      </w:r>
      <w:r w:rsidRPr="00BC1ABD">
        <w:rPr>
          <w:rFonts w:eastAsia="Times New Roman" w:cs="Arial"/>
          <w:sz w:val="24"/>
          <w:szCs w:val="24"/>
          <w:lang w:val="en-GB"/>
        </w:rPr>
        <w:t xml:space="preserve"> fixed broadband access service offered to residential users in the speed range above 10 Mbps. This conclusion is the same whether the specified broadband access service is offered alone or bundled with other electronic communications services and regardless of the access speeds provided within the defined speed range.</w:t>
      </w:r>
    </w:p>
    <w:p w14:paraId="0A495AFF" w14:textId="3B3499CA" w:rsidR="0027792F" w:rsidRPr="00BC1ABD" w:rsidRDefault="00B271E6" w:rsidP="00EB11F7">
      <w:pPr>
        <w:pStyle w:val="Heading2"/>
        <w:numPr>
          <w:ilvl w:val="1"/>
          <w:numId w:val="88"/>
        </w:numPr>
        <w:spacing w:after="240"/>
        <w:rPr>
          <w:lang w:val="en-GB"/>
        </w:rPr>
      </w:pPr>
      <w:bookmarkStart w:id="172" w:name="_Toc169258930"/>
      <w:r w:rsidRPr="00BC1ABD">
        <w:rPr>
          <w:lang w:val="en-GB"/>
        </w:rPr>
        <w:t>Geographical market definition of the basic and higher-speed retail fixed broadband access markets</w:t>
      </w:r>
      <w:bookmarkEnd w:id="172"/>
    </w:p>
    <w:p w14:paraId="474A3B40" w14:textId="77777777" w:rsidR="00BB47C5" w:rsidRPr="00BC1ABD" w:rsidRDefault="00BB47C5" w:rsidP="00BB47C5">
      <w:pPr>
        <w:jc w:val="both"/>
        <w:rPr>
          <w:rFonts w:eastAsia="Times New Roman" w:cs="Arial"/>
          <w:sz w:val="24"/>
          <w:szCs w:val="24"/>
          <w:lang w:val="en-GB"/>
        </w:rPr>
      </w:pPr>
      <w:r w:rsidRPr="00BC1ABD">
        <w:rPr>
          <w:rFonts w:eastAsia="Times New Roman" w:cs="Arial"/>
          <w:sz w:val="24"/>
          <w:szCs w:val="24"/>
          <w:lang w:val="en-GB"/>
        </w:rPr>
        <w:t>The legal and regulatory conditions on retail broadband markets are the same in the whole territory of Georgia. However, there are some differences related to both the basic and the higher-speed markets for fixed broadband access. The most important differences that could influence the geographical market definition are as follows:</w:t>
      </w:r>
    </w:p>
    <w:p w14:paraId="05CFD4B4" w14:textId="612522A1" w:rsidR="00BB47C5" w:rsidRPr="00BC1ABD" w:rsidRDefault="00BB47C5" w:rsidP="00BB47C5">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 xml:space="preserve">The difference in coverage by different networks as described in the Chapter </w:t>
      </w:r>
      <w:r w:rsidR="00557B6C">
        <w:rPr>
          <w:rFonts w:eastAsia="Times New Roman" w:cs="Arial"/>
          <w:sz w:val="24"/>
          <w:szCs w:val="24"/>
          <w:lang w:val="en-GB"/>
        </w:rPr>
        <w:t>3</w:t>
      </w:r>
      <w:r w:rsidRPr="00BC1ABD">
        <w:rPr>
          <w:rFonts w:eastAsia="Times New Roman" w:cs="Arial"/>
          <w:sz w:val="24"/>
          <w:szCs w:val="24"/>
          <w:lang w:val="en-GB"/>
        </w:rPr>
        <w:t>.1</w:t>
      </w:r>
      <w:r w:rsidR="003D4C61">
        <w:rPr>
          <w:rFonts w:eastAsia="Times New Roman" w:cs="Arial"/>
          <w:sz w:val="24"/>
          <w:szCs w:val="24"/>
          <w:lang w:val="en-GB"/>
        </w:rPr>
        <w:t>;</w:t>
      </w:r>
    </w:p>
    <w:p w14:paraId="111FB7B0" w14:textId="5DE181A1" w:rsidR="00BB47C5" w:rsidRPr="00BC1ABD" w:rsidRDefault="00BB47C5" w:rsidP="00BB47C5">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 xml:space="preserve">The differences in prices between Tbilisi and other regions as described in the Chapter </w:t>
      </w:r>
      <w:r w:rsidR="00557B6C">
        <w:rPr>
          <w:rFonts w:eastAsia="Times New Roman" w:cs="Arial"/>
          <w:sz w:val="24"/>
          <w:szCs w:val="24"/>
          <w:lang w:val="en-GB"/>
        </w:rPr>
        <w:t>3</w:t>
      </w:r>
      <w:r w:rsidRPr="00BC1ABD">
        <w:rPr>
          <w:rFonts w:eastAsia="Times New Roman" w:cs="Arial"/>
          <w:sz w:val="24"/>
          <w:szCs w:val="24"/>
          <w:lang w:val="en-GB"/>
        </w:rPr>
        <w:t>.3.</w:t>
      </w:r>
    </w:p>
    <w:p w14:paraId="08D69A8E" w14:textId="1DA7DA81" w:rsidR="00BB47C5" w:rsidRPr="00BC1ABD" w:rsidRDefault="00BB47C5" w:rsidP="00BB47C5">
      <w:pPr>
        <w:jc w:val="both"/>
        <w:rPr>
          <w:rFonts w:eastAsia="Times New Roman" w:cs="Arial"/>
          <w:sz w:val="24"/>
          <w:szCs w:val="24"/>
          <w:lang w:val="en-GB"/>
        </w:rPr>
      </w:pPr>
      <w:r w:rsidRPr="00BC1ABD">
        <w:rPr>
          <w:rFonts w:eastAsia="Times New Roman" w:cs="Arial"/>
          <w:sz w:val="24"/>
          <w:szCs w:val="24"/>
          <w:lang w:val="en-GB"/>
        </w:rPr>
        <w:t xml:space="preserve">Two operators quote higher prices for </w:t>
      </w:r>
      <w:r w:rsidR="00592449">
        <w:rPr>
          <w:rFonts w:eastAsia="Times New Roman" w:cs="Arial"/>
          <w:sz w:val="24"/>
          <w:szCs w:val="24"/>
          <w:lang w:val="en-GB"/>
        </w:rPr>
        <w:t>FTTx</w:t>
      </w:r>
      <w:r w:rsidRPr="00BC1ABD">
        <w:rPr>
          <w:rFonts w:eastAsia="Times New Roman" w:cs="Arial"/>
          <w:sz w:val="24"/>
          <w:szCs w:val="24"/>
          <w:lang w:val="en-GB"/>
        </w:rPr>
        <w:t xml:space="preserve"> higher-speed fixed broadband access offerings to end</w:t>
      </w:r>
      <w:r w:rsidR="003D4C61">
        <w:rPr>
          <w:rFonts w:eastAsia="Times New Roman" w:cs="Arial"/>
          <w:sz w:val="24"/>
          <w:szCs w:val="24"/>
          <w:lang w:val="en-GB"/>
        </w:rPr>
        <w:t>-</w:t>
      </w:r>
      <w:r w:rsidRPr="00BC1ABD">
        <w:rPr>
          <w:rFonts w:eastAsia="Times New Roman" w:cs="Arial"/>
          <w:sz w:val="24"/>
          <w:szCs w:val="24"/>
          <w:lang w:val="en-GB"/>
        </w:rPr>
        <w:t xml:space="preserve">users in Tbilisi compared with prices to end-users in other regions (see Figures </w:t>
      </w:r>
      <w:r w:rsidR="00F951CA">
        <w:rPr>
          <w:rFonts w:eastAsia="Times New Roman" w:cs="Arial"/>
          <w:sz w:val="24"/>
          <w:szCs w:val="24"/>
          <w:lang w:val="en-GB"/>
        </w:rPr>
        <w:t>30</w:t>
      </w:r>
      <w:r w:rsidRPr="00BC1ABD">
        <w:rPr>
          <w:rFonts w:eastAsia="Times New Roman" w:cs="Arial"/>
          <w:sz w:val="24"/>
          <w:szCs w:val="24"/>
          <w:lang w:val="en-GB"/>
        </w:rPr>
        <w:t xml:space="preserve"> and </w:t>
      </w:r>
      <w:r w:rsidR="00F951CA">
        <w:rPr>
          <w:rFonts w:eastAsia="Times New Roman" w:cs="Arial"/>
          <w:sz w:val="24"/>
          <w:szCs w:val="24"/>
          <w:lang w:val="en-GB"/>
        </w:rPr>
        <w:t>31</w:t>
      </w:r>
      <w:r w:rsidRPr="00BC1ABD">
        <w:rPr>
          <w:rFonts w:eastAsia="Times New Roman" w:cs="Arial"/>
          <w:sz w:val="24"/>
          <w:szCs w:val="24"/>
          <w:lang w:val="en-GB"/>
        </w:rPr>
        <w:t xml:space="preserve">). This suggests </w:t>
      </w:r>
      <w:r w:rsidR="003D4C61">
        <w:rPr>
          <w:rFonts w:eastAsia="Times New Roman" w:cs="Arial"/>
          <w:sz w:val="24"/>
          <w:szCs w:val="24"/>
          <w:lang w:val="en-GB"/>
        </w:rPr>
        <w:t xml:space="preserve">that </w:t>
      </w:r>
      <w:r w:rsidRPr="00BC1ABD">
        <w:rPr>
          <w:rFonts w:eastAsia="Times New Roman" w:cs="Arial"/>
          <w:sz w:val="24"/>
          <w:szCs w:val="24"/>
          <w:lang w:val="en-GB"/>
        </w:rPr>
        <w:t>the higher-speed market could be separated between Tbilisi and other regions because in some cases, end-users cannot get the same terms and conditions throughout the whole territory of Georgia.</w:t>
      </w:r>
    </w:p>
    <w:p w14:paraId="2BF3F53B" w14:textId="4B76468D" w:rsidR="00BB47C5" w:rsidRPr="00BC1ABD" w:rsidRDefault="00BB47C5" w:rsidP="00BB47C5">
      <w:pPr>
        <w:jc w:val="both"/>
        <w:rPr>
          <w:rFonts w:eastAsia="Times New Roman" w:cs="Arial"/>
          <w:sz w:val="24"/>
          <w:szCs w:val="24"/>
          <w:lang w:val="en-GB"/>
        </w:rPr>
      </w:pPr>
      <w:r w:rsidRPr="00BC1ABD">
        <w:rPr>
          <w:rFonts w:eastAsia="Times New Roman" w:cs="Arial"/>
          <w:sz w:val="24"/>
          <w:szCs w:val="24"/>
          <w:lang w:val="en-GB"/>
        </w:rPr>
        <w:t xml:space="preserve">As regards the basic fixed broadband access market, two operators quote higher </w:t>
      </w:r>
      <w:r w:rsidR="003D4C61">
        <w:rPr>
          <w:rFonts w:eastAsia="Times New Roman" w:cs="Arial"/>
          <w:sz w:val="24"/>
          <w:szCs w:val="24"/>
          <w:lang w:val="en-GB"/>
        </w:rPr>
        <w:t xml:space="preserve">xDSL </w:t>
      </w:r>
      <w:r w:rsidRPr="00BC1ABD">
        <w:rPr>
          <w:rFonts w:eastAsia="Times New Roman" w:cs="Arial"/>
          <w:sz w:val="24"/>
          <w:szCs w:val="24"/>
          <w:lang w:val="en-GB"/>
        </w:rPr>
        <w:t xml:space="preserve">prices in Tbilisi for </w:t>
      </w:r>
      <w:r w:rsidR="003D4C61">
        <w:rPr>
          <w:rFonts w:eastAsia="Times New Roman" w:cs="Arial"/>
          <w:sz w:val="24"/>
          <w:szCs w:val="24"/>
          <w:lang w:val="en-GB"/>
        </w:rPr>
        <w:t xml:space="preserve">the </w:t>
      </w:r>
      <w:r w:rsidRPr="00BC1ABD">
        <w:rPr>
          <w:rFonts w:eastAsia="Times New Roman" w:cs="Arial"/>
          <w:sz w:val="24"/>
          <w:szCs w:val="24"/>
          <w:lang w:val="en-GB"/>
        </w:rPr>
        <w:t xml:space="preserve">lowest speeds (2 Mbps, 3 Mbps and 4 Mbps), while for FWA there are no differences in tariffs between Tbilisi and other regions. Retail broadband access via mobile networks has been included in the </w:t>
      </w:r>
      <w:r w:rsidR="003D4C61">
        <w:rPr>
          <w:rFonts w:eastAsia="Times New Roman" w:cs="Arial"/>
          <w:sz w:val="24"/>
          <w:szCs w:val="24"/>
          <w:lang w:val="en-GB"/>
        </w:rPr>
        <w:t xml:space="preserve">definition of the </w:t>
      </w:r>
      <w:r w:rsidRPr="00BC1ABD">
        <w:rPr>
          <w:rFonts w:eastAsia="Times New Roman" w:cs="Arial"/>
          <w:sz w:val="24"/>
          <w:szCs w:val="24"/>
          <w:lang w:val="en-GB"/>
        </w:rPr>
        <w:t>market and all three mobile network operators have national coverage. It is therefore considered that the scope of the geographical market related to basic retail fixed broadband access is national because the mobile networks could compete with FWA and xDSL services all over Georgia.</w:t>
      </w:r>
    </w:p>
    <w:p w14:paraId="4913A263" w14:textId="137D7833" w:rsidR="00BB47C5" w:rsidRPr="00BC1ABD" w:rsidRDefault="00BB47C5" w:rsidP="00BB47C5">
      <w:pPr>
        <w:jc w:val="both"/>
        <w:rPr>
          <w:rFonts w:eastAsia="Times New Roman" w:cs="Arial"/>
          <w:sz w:val="24"/>
          <w:szCs w:val="24"/>
          <w:lang w:val="en-GB"/>
        </w:rPr>
      </w:pPr>
      <w:r w:rsidRPr="00BC1ABD">
        <w:rPr>
          <w:rFonts w:eastAsia="Times New Roman" w:cs="Arial"/>
          <w:sz w:val="24"/>
          <w:szCs w:val="24"/>
          <w:lang w:val="en-GB"/>
        </w:rPr>
        <w:t>In terms of the higher-speed fixed broadband retail market, the main geographical difference is the higher price of 30</w:t>
      </w:r>
      <w:r w:rsidR="003D4C61">
        <w:rPr>
          <w:rFonts w:eastAsia="Times New Roman" w:cs="Arial"/>
          <w:sz w:val="24"/>
          <w:szCs w:val="24"/>
          <w:lang w:val="en-GB"/>
        </w:rPr>
        <w:t xml:space="preserve"> </w:t>
      </w:r>
      <w:r w:rsidRPr="00BC1ABD">
        <w:rPr>
          <w:rFonts w:eastAsia="Times New Roman" w:cs="Arial"/>
          <w:sz w:val="24"/>
          <w:szCs w:val="24"/>
          <w:lang w:val="en-GB"/>
        </w:rPr>
        <w:t>Mbps service offered in Tbilisi, compared with the same service outside Tbilisi. For all other speeds, mainly 50 Mbps and 100 Mbps (but depending on the detailed content of the operators’ offers) the prices are the same. It is therefore considered that there is no strong evidence at the retail level for defining different geographical markets. It should also be noted that offers of 30</w:t>
      </w:r>
      <w:r w:rsidR="003D4C61">
        <w:rPr>
          <w:rFonts w:eastAsia="Times New Roman" w:cs="Arial"/>
          <w:sz w:val="24"/>
          <w:szCs w:val="24"/>
          <w:lang w:val="en-GB"/>
        </w:rPr>
        <w:t xml:space="preserve"> </w:t>
      </w:r>
      <w:r w:rsidRPr="00BC1ABD">
        <w:rPr>
          <w:rFonts w:eastAsia="Times New Roman" w:cs="Arial"/>
          <w:sz w:val="24"/>
          <w:szCs w:val="24"/>
          <w:lang w:val="en-GB"/>
        </w:rPr>
        <w:t xml:space="preserve">Mbps outside Tbilisi are marketed as time-limited promotions, rather than permanent tariffs. There is no certainty that the lower price offer will remain in the future. Although different tariffs still exist for </w:t>
      </w:r>
      <w:r w:rsidR="00592449">
        <w:rPr>
          <w:rFonts w:eastAsia="Times New Roman" w:cs="Arial"/>
          <w:sz w:val="24"/>
          <w:szCs w:val="24"/>
          <w:lang w:val="en-GB"/>
        </w:rPr>
        <w:t>FTTx</w:t>
      </w:r>
      <w:r w:rsidRPr="00BC1ABD">
        <w:rPr>
          <w:rFonts w:eastAsia="Times New Roman" w:cs="Arial"/>
          <w:sz w:val="24"/>
          <w:szCs w:val="24"/>
          <w:lang w:val="en-GB"/>
        </w:rPr>
        <w:t xml:space="preserve"> in Tbilisi compared to other regions, the differences have reduced and it is expected that in the forward-looking time horizon of this market analysis, any remaining tariff differences will disappear.</w:t>
      </w:r>
    </w:p>
    <w:p w14:paraId="11499486" w14:textId="59BE4BFA" w:rsidR="00BB47C5" w:rsidRPr="00BC1ABD" w:rsidRDefault="00BB47C5" w:rsidP="00BB47C5">
      <w:pPr>
        <w:spacing w:before="240"/>
        <w:jc w:val="both"/>
        <w:rPr>
          <w:rFonts w:eastAsia="Times New Roman" w:cs="Arial"/>
          <w:sz w:val="24"/>
          <w:szCs w:val="24"/>
          <w:lang w:val="en-GB"/>
        </w:rPr>
      </w:pPr>
      <w:r w:rsidRPr="00BC1ABD">
        <w:rPr>
          <w:rFonts w:eastAsia="Times New Roman" w:cs="Arial"/>
          <w:sz w:val="24"/>
          <w:szCs w:val="24"/>
          <w:lang w:val="en-GB"/>
        </w:rPr>
        <w:t xml:space="preserve">Apart from Magticom and Silknet, other operators have significantly less geographical coverage. All players have focused on Georgia’s urban areas and there are some coverage overlaps particularly in the larger cities (see Chapter </w:t>
      </w:r>
      <w:r w:rsidR="00C16AD0">
        <w:rPr>
          <w:rFonts w:eastAsia="Times New Roman" w:cs="Arial"/>
          <w:sz w:val="24"/>
          <w:szCs w:val="24"/>
          <w:lang w:val="en-GB"/>
        </w:rPr>
        <w:t>3</w:t>
      </w:r>
      <w:r w:rsidRPr="00BC1ABD">
        <w:rPr>
          <w:rFonts w:eastAsia="Times New Roman" w:cs="Arial"/>
          <w:sz w:val="24"/>
          <w:szCs w:val="24"/>
          <w:lang w:val="en-GB"/>
        </w:rPr>
        <w:t xml:space="preserve">.1). Outside these main cites, the competing networks do not overlap fully. This means that Magticom face only limited competition in the national market, except in the main urban areas where other operators are generally present (but this does not imply that </w:t>
      </w:r>
      <w:r w:rsidR="003D4C61">
        <w:rPr>
          <w:rFonts w:eastAsia="Times New Roman" w:cs="Arial"/>
          <w:sz w:val="24"/>
          <w:szCs w:val="24"/>
          <w:lang w:val="en-GB"/>
        </w:rPr>
        <w:t xml:space="preserve">any </w:t>
      </w:r>
      <w:r w:rsidRPr="00BC1ABD">
        <w:rPr>
          <w:rFonts w:eastAsia="Times New Roman" w:cs="Arial"/>
          <w:sz w:val="24"/>
          <w:szCs w:val="24"/>
          <w:lang w:val="en-GB"/>
        </w:rPr>
        <w:t xml:space="preserve">geographic </w:t>
      </w:r>
      <w:r w:rsidR="00A1535B" w:rsidRPr="00BC1ABD">
        <w:rPr>
          <w:rFonts w:eastAsia="Times New Roman" w:cs="Arial"/>
          <w:sz w:val="24"/>
          <w:szCs w:val="24"/>
          <w:lang w:val="en-GB"/>
        </w:rPr>
        <w:t>differentiation</w:t>
      </w:r>
      <w:r w:rsidRPr="00BC1ABD">
        <w:rPr>
          <w:rFonts w:eastAsia="Times New Roman" w:cs="Arial"/>
          <w:sz w:val="24"/>
          <w:szCs w:val="24"/>
          <w:lang w:val="en-GB"/>
        </w:rPr>
        <w:t xml:space="preserve"> in </w:t>
      </w:r>
      <w:r w:rsidR="003D4C61">
        <w:rPr>
          <w:rFonts w:eastAsia="Times New Roman" w:cs="Arial"/>
          <w:sz w:val="24"/>
          <w:szCs w:val="24"/>
          <w:lang w:val="en-GB"/>
        </w:rPr>
        <w:t xml:space="preserve">the </w:t>
      </w:r>
      <w:r w:rsidRPr="00BC1ABD">
        <w:rPr>
          <w:rFonts w:eastAsia="Times New Roman" w:cs="Arial"/>
          <w:sz w:val="24"/>
          <w:szCs w:val="24"/>
          <w:lang w:val="en-GB"/>
        </w:rPr>
        <w:t xml:space="preserve">market is necessary). </w:t>
      </w:r>
    </w:p>
    <w:p w14:paraId="4ED38303" w14:textId="77777777" w:rsidR="00BB47C5" w:rsidRPr="00BC1ABD" w:rsidRDefault="00BB47C5" w:rsidP="00BB47C5">
      <w:pPr>
        <w:jc w:val="both"/>
        <w:rPr>
          <w:rFonts w:eastAsia="Times New Roman" w:cs="Arial"/>
          <w:sz w:val="24"/>
          <w:szCs w:val="24"/>
          <w:lang w:val="en-GB"/>
        </w:rPr>
      </w:pPr>
      <w:r w:rsidRPr="00BC1ABD">
        <w:rPr>
          <w:rFonts w:eastAsia="Times New Roman" w:cs="Arial"/>
          <w:sz w:val="24"/>
          <w:szCs w:val="24"/>
          <w:lang w:val="en-GB"/>
        </w:rPr>
        <w:t>In summary, the basic considerations for a geographic market definition are:</w:t>
      </w:r>
    </w:p>
    <w:p w14:paraId="2355FBFC" w14:textId="548238CC" w:rsidR="00BB47C5" w:rsidRPr="00BC1ABD" w:rsidRDefault="00BB47C5" w:rsidP="00BB47C5">
      <w:pPr>
        <w:numPr>
          <w:ilvl w:val="0"/>
          <w:numId w:val="73"/>
        </w:numPr>
        <w:contextualSpacing/>
        <w:jc w:val="both"/>
        <w:rPr>
          <w:rFonts w:eastAsia="Times New Roman" w:cs="Arial"/>
          <w:sz w:val="24"/>
          <w:szCs w:val="24"/>
          <w:lang w:val="en-GB"/>
        </w:rPr>
      </w:pPr>
      <w:r w:rsidRPr="00BC1ABD">
        <w:rPr>
          <w:rFonts w:eastAsia="Times New Roman" w:cs="Arial"/>
          <w:sz w:val="24"/>
          <w:szCs w:val="24"/>
          <w:lang w:val="en-GB"/>
        </w:rPr>
        <w:t>There are the same legal and regulatory conditions all over Georgia</w:t>
      </w:r>
      <w:r w:rsidR="003D4C61">
        <w:rPr>
          <w:rFonts w:eastAsia="Times New Roman" w:cs="Arial"/>
          <w:sz w:val="24"/>
          <w:szCs w:val="24"/>
          <w:lang w:val="en-GB"/>
        </w:rPr>
        <w:t>;</w:t>
      </w:r>
    </w:p>
    <w:p w14:paraId="34B0A99F" w14:textId="026A5910" w:rsidR="00BB47C5" w:rsidRPr="00BC1ABD" w:rsidRDefault="00BB47C5" w:rsidP="00BB47C5">
      <w:pPr>
        <w:numPr>
          <w:ilvl w:val="0"/>
          <w:numId w:val="73"/>
        </w:numPr>
        <w:contextualSpacing/>
        <w:jc w:val="both"/>
        <w:rPr>
          <w:rFonts w:eastAsia="Times New Roman" w:cs="Arial"/>
          <w:sz w:val="24"/>
          <w:szCs w:val="24"/>
          <w:lang w:val="en-GB"/>
        </w:rPr>
      </w:pPr>
      <w:r w:rsidRPr="00BC1ABD">
        <w:rPr>
          <w:rFonts w:eastAsia="Times New Roman" w:cs="Arial"/>
          <w:sz w:val="24"/>
          <w:szCs w:val="24"/>
          <w:lang w:val="en-GB"/>
        </w:rPr>
        <w:t>The prices for the same basic fixed broadband FWA packages of certain operator are the same all over Georgia</w:t>
      </w:r>
      <w:r w:rsidR="003D4C61">
        <w:rPr>
          <w:rFonts w:eastAsia="Times New Roman" w:cs="Arial"/>
          <w:sz w:val="24"/>
          <w:szCs w:val="24"/>
          <w:lang w:val="en-GB"/>
        </w:rPr>
        <w:t>;</w:t>
      </w:r>
    </w:p>
    <w:p w14:paraId="7867FFA4" w14:textId="76FF5F33" w:rsidR="00BB47C5" w:rsidRPr="00BC1ABD" w:rsidRDefault="00BB47C5" w:rsidP="00BB47C5">
      <w:pPr>
        <w:numPr>
          <w:ilvl w:val="0"/>
          <w:numId w:val="73"/>
        </w:numPr>
        <w:contextualSpacing/>
        <w:rPr>
          <w:rFonts w:eastAsia="Times New Roman" w:cs="Arial"/>
          <w:sz w:val="24"/>
          <w:szCs w:val="24"/>
          <w:lang w:val="en-GB"/>
        </w:rPr>
      </w:pPr>
      <w:r w:rsidRPr="00BC1ABD">
        <w:rPr>
          <w:rFonts w:eastAsia="Times New Roman" w:cs="Arial"/>
          <w:sz w:val="24"/>
          <w:szCs w:val="24"/>
          <w:lang w:val="en-GB"/>
        </w:rPr>
        <w:t>The prices for the same basic fixed broadband xDSL packages of certain operator</w:t>
      </w:r>
      <w:r w:rsidR="003D4C61">
        <w:rPr>
          <w:rFonts w:eastAsia="Times New Roman" w:cs="Arial"/>
          <w:sz w:val="24"/>
          <w:szCs w:val="24"/>
          <w:lang w:val="en-GB"/>
        </w:rPr>
        <w:t>s</w:t>
      </w:r>
      <w:r w:rsidRPr="00BC1ABD">
        <w:rPr>
          <w:rFonts w:eastAsia="Times New Roman" w:cs="Arial"/>
          <w:sz w:val="24"/>
          <w:szCs w:val="24"/>
          <w:lang w:val="en-GB"/>
        </w:rPr>
        <w:t xml:space="preserve"> differ between Tbilisi and other regions for the basic speeds</w:t>
      </w:r>
      <w:r w:rsidR="003D4C61">
        <w:rPr>
          <w:rFonts w:eastAsia="Times New Roman" w:cs="Arial"/>
          <w:sz w:val="24"/>
          <w:szCs w:val="24"/>
          <w:lang w:val="en-GB"/>
        </w:rPr>
        <w:t>;</w:t>
      </w:r>
    </w:p>
    <w:p w14:paraId="48C73056" w14:textId="04C6C607" w:rsidR="00BB47C5" w:rsidRPr="00BC1ABD" w:rsidRDefault="00BB47C5" w:rsidP="00BB47C5">
      <w:pPr>
        <w:numPr>
          <w:ilvl w:val="0"/>
          <w:numId w:val="73"/>
        </w:numPr>
        <w:contextualSpacing/>
        <w:jc w:val="both"/>
        <w:rPr>
          <w:rFonts w:eastAsia="Times New Roman" w:cs="Arial"/>
          <w:sz w:val="24"/>
          <w:szCs w:val="24"/>
          <w:lang w:val="en-GB"/>
        </w:rPr>
      </w:pPr>
      <w:r w:rsidRPr="00BC1ABD">
        <w:rPr>
          <w:rFonts w:eastAsia="Times New Roman" w:cs="Arial"/>
          <w:sz w:val="24"/>
          <w:szCs w:val="24"/>
          <w:lang w:val="en-GB"/>
        </w:rPr>
        <w:t>In the higher-speed fixed broadband access market, the only price difference (at 30</w:t>
      </w:r>
      <w:r w:rsidR="003D4C61">
        <w:rPr>
          <w:rFonts w:eastAsia="Times New Roman" w:cs="Arial"/>
          <w:sz w:val="24"/>
          <w:szCs w:val="24"/>
          <w:lang w:val="en-GB"/>
        </w:rPr>
        <w:t xml:space="preserve"> </w:t>
      </w:r>
      <w:r w:rsidRPr="00BC1ABD">
        <w:rPr>
          <w:rFonts w:eastAsia="Times New Roman" w:cs="Arial"/>
          <w:sz w:val="24"/>
          <w:szCs w:val="24"/>
          <w:lang w:val="en-GB"/>
        </w:rPr>
        <w:t>Mbps) is a promotional offer which may not be permanent</w:t>
      </w:r>
      <w:r w:rsidR="003D4C61">
        <w:rPr>
          <w:rFonts w:eastAsia="Times New Roman" w:cs="Arial"/>
          <w:sz w:val="24"/>
          <w:szCs w:val="24"/>
          <w:lang w:val="en-GB"/>
        </w:rPr>
        <w:t>;</w:t>
      </w:r>
    </w:p>
    <w:p w14:paraId="1C963387" w14:textId="2E6E0D36" w:rsidR="00BB47C5" w:rsidRPr="00BC1ABD" w:rsidRDefault="00BB47C5" w:rsidP="00BB47C5">
      <w:pPr>
        <w:numPr>
          <w:ilvl w:val="0"/>
          <w:numId w:val="73"/>
        </w:numPr>
        <w:contextualSpacing/>
        <w:jc w:val="both"/>
        <w:rPr>
          <w:rFonts w:eastAsia="Times New Roman" w:cs="Arial"/>
          <w:sz w:val="24"/>
          <w:szCs w:val="24"/>
          <w:lang w:val="en-GB"/>
        </w:rPr>
      </w:pPr>
      <w:r w:rsidRPr="00BC1ABD">
        <w:rPr>
          <w:rFonts w:eastAsia="Times New Roman" w:cs="Arial"/>
          <w:sz w:val="24"/>
          <w:szCs w:val="24"/>
          <w:lang w:val="en-GB"/>
        </w:rPr>
        <w:t>Although there is different coverage by different operators, there is at least one provider in the higher-speed broadband access market (Magticom) covering most households</w:t>
      </w:r>
      <w:r w:rsidR="00A73C1F">
        <w:rPr>
          <w:rStyle w:val="FootnoteReference"/>
          <w:rFonts w:eastAsia="Times New Roman" w:cs="Arial"/>
          <w:sz w:val="24"/>
          <w:szCs w:val="24"/>
          <w:lang w:val="en-GB"/>
        </w:rPr>
        <w:footnoteReference w:id="73"/>
      </w:r>
      <w:r w:rsidRPr="00BC1ABD">
        <w:rPr>
          <w:rFonts w:eastAsia="Times New Roman" w:cs="Arial"/>
          <w:sz w:val="24"/>
          <w:szCs w:val="24"/>
          <w:lang w:val="en-GB"/>
        </w:rPr>
        <w:t xml:space="preserve"> and there are three providers with national coverage that could serve the basic fixed broadband access market (the 3 mobile network operators).</w:t>
      </w:r>
      <w:r w:rsidR="00A3082E">
        <w:rPr>
          <w:rFonts w:eastAsia="Times New Roman" w:cs="Arial"/>
          <w:sz w:val="24"/>
          <w:szCs w:val="24"/>
          <w:lang w:val="en-GB"/>
        </w:rPr>
        <w:t xml:space="preserve"> </w:t>
      </w:r>
    </w:p>
    <w:p w14:paraId="4943852E" w14:textId="241C11E0" w:rsidR="00BB47C5" w:rsidRPr="00127E2B" w:rsidRDefault="00BB47C5" w:rsidP="00127E2B">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73" w:name="_Toc125998377"/>
      <w:bookmarkStart w:id="174" w:name="_Toc126158008"/>
      <w:bookmarkStart w:id="175" w:name="_Toc126170207"/>
      <w:bookmarkStart w:id="176" w:name="_Toc126171901"/>
      <w:bookmarkStart w:id="177" w:name="_Toc125998378"/>
      <w:bookmarkStart w:id="178" w:name="_Toc126158009"/>
      <w:bookmarkStart w:id="179" w:name="_Toc126170208"/>
      <w:bookmarkStart w:id="180" w:name="_Toc126171902"/>
      <w:bookmarkStart w:id="181" w:name="_Toc97535483"/>
      <w:bookmarkStart w:id="182" w:name="_Toc146107814"/>
      <w:bookmarkStart w:id="183" w:name="_Toc169258931"/>
      <w:bookmarkEnd w:id="173"/>
      <w:bookmarkEnd w:id="174"/>
      <w:bookmarkEnd w:id="175"/>
      <w:bookmarkEnd w:id="176"/>
      <w:bookmarkEnd w:id="177"/>
      <w:bookmarkEnd w:id="178"/>
      <w:bookmarkEnd w:id="179"/>
      <w:bookmarkEnd w:id="180"/>
      <w:r w:rsidRPr="00127E2B">
        <w:rPr>
          <w:rFonts w:asciiTheme="minorHAnsi" w:hAnsiTheme="minorHAnsi" w:cstheme="minorHAnsi"/>
          <w:b w:val="0"/>
          <w:bCs w:val="0"/>
          <w:sz w:val="24"/>
          <w:szCs w:val="24"/>
          <w:lang w:val="en-GB"/>
        </w:rPr>
        <w:t xml:space="preserve">Conclusion on </w:t>
      </w:r>
      <w:r w:rsidR="003D4C61">
        <w:rPr>
          <w:rFonts w:asciiTheme="minorHAnsi" w:hAnsiTheme="minorHAnsi" w:cstheme="minorHAnsi"/>
          <w:b w:val="0"/>
          <w:bCs w:val="0"/>
          <w:sz w:val="24"/>
          <w:szCs w:val="24"/>
          <w:lang w:val="en-GB"/>
        </w:rPr>
        <w:t xml:space="preserve">the geographical definitions of the </w:t>
      </w:r>
      <w:r w:rsidRPr="00127E2B">
        <w:rPr>
          <w:rFonts w:asciiTheme="minorHAnsi" w:hAnsiTheme="minorHAnsi" w:cstheme="minorHAnsi"/>
          <w:b w:val="0"/>
          <w:bCs w:val="0"/>
          <w:sz w:val="24"/>
          <w:szCs w:val="24"/>
          <w:lang w:val="en-GB"/>
        </w:rPr>
        <w:t>relevant market</w:t>
      </w:r>
      <w:bookmarkEnd w:id="181"/>
      <w:bookmarkEnd w:id="182"/>
      <w:bookmarkEnd w:id="183"/>
    </w:p>
    <w:p w14:paraId="00CDDA2D" w14:textId="26D7F040" w:rsidR="00B271E6" w:rsidRPr="003B52FC" w:rsidRDefault="00BB47C5" w:rsidP="003B52FC">
      <w:pPr>
        <w:spacing w:before="240"/>
        <w:jc w:val="both"/>
        <w:rPr>
          <w:rFonts w:cs="Arial"/>
          <w:sz w:val="24"/>
          <w:szCs w:val="24"/>
          <w:lang w:val="en-GB"/>
        </w:rPr>
      </w:pPr>
      <w:r w:rsidRPr="00BC1ABD">
        <w:rPr>
          <w:rFonts w:eastAsia="Times New Roman" w:cs="Arial"/>
          <w:sz w:val="24"/>
          <w:szCs w:val="24"/>
          <w:lang w:val="en-GB"/>
        </w:rPr>
        <w:t>Based on this analysis, it is concluded that, for both basic and higher-speed fixed retail broadband access, the geographical market definitions are national.</w:t>
      </w:r>
    </w:p>
    <w:p w14:paraId="74379702" w14:textId="2A6E9091" w:rsidR="00B271E6" w:rsidRPr="00BC1ABD" w:rsidRDefault="00B271E6" w:rsidP="00EB11F7">
      <w:pPr>
        <w:pStyle w:val="Heading2"/>
        <w:numPr>
          <w:ilvl w:val="1"/>
          <w:numId w:val="88"/>
        </w:numPr>
        <w:spacing w:after="240"/>
        <w:rPr>
          <w:lang w:val="en-GB"/>
        </w:rPr>
      </w:pPr>
      <w:bookmarkStart w:id="184" w:name="_Toc169258932"/>
      <w:r w:rsidRPr="00BC1ABD">
        <w:rPr>
          <w:lang w:val="en-GB"/>
        </w:rPr>
        <w:t xml:space="preserve">Conclusion on </w:t>
      </w:r>
      <w:r w:rsidR="003D4C61">
        <w:rPr>
          <w:lang w:val="en-GB"/>
        </w:rPr>
        <w:t xml:space="preserve">the </w:t>
      </w:r>
      <w:r w:rsidRPr="00BC1ABD">
        <w:rPr>
          <w:lang w:val="en-GB"/>
        </w:rPr>
        <w:t>market definition</w:t>
      </w:r>
      <w:r w:rsidR="003D4C61">
        <w:rPr>
          <w:lang w:val="en-GB"/>
        </w:rPr>
        <w:t>s</w:t>
      </w:r>
      <w:r w:rsidRPr="00BC1ABD">
        <w:rPr>
          <w:lang w:val="en-GB"/>
        </w:rPr>
        <w:t xml:space="preserve"> of </w:t>
      </w:r>
      <w:r w:rsidR="003D4C61">
        <w:rPr>
          <w:lang w:val="en-GB"/>
        </w:rPr>
        <w:t xml:space="preserve">the </w:t>
      </w:r>
      <w:r w:rsidRPr="00BC1ABD">
        <w:rPr>
          <w:lang w:val="en-GB"/>
        </w:rPr>
        <w:t>relevant market</w:t>
      </w:r>
      <w:bookmarkEnd w:id="184"/>
      <w:r w:rsidRPr="00BC1ABD">
        <w:rPr>
          <w:lang w:val="en-GB"/>
        </w:rPr>
        <w:tab/>
      </w:r>
    </w:p>
    <w:p w14:paraId="6FC26C22" w14:textId="77777777" w:rsidR="009C56C2" w:rsidRPr="00BC1ABD" w:rsidRDefault="009C56C2" w:rsidP="009C56C2">
      <w:pPr>
        <w:jc w:val="both"/>
        <w:rPr>
          <w:rFonts w:eastAsia="Times New Roman" w:cs="Arial"/>
          <w:sz w:val="24"/>
          <w:szCs w:val="24"/>
          <w:lang w:val="en-GB"/>
        </w:rPr>
      </w:pPr>
      <w:r w:rsidRPr="00BC1ABD">
        <w:rPr>
          <w:rFonts w:eastAsia="Times New Roman" w:cs="Arial"/>
          <w:sz w:val="24"/>
          <w:szCs w:val="24"/>
          <w:lang w:val="en-GB"/>
        </w:rPr>
        <w:t>A clear and accurate definition of the relevant market is fundamental in assessing whether an operator (or operators) have significant market power on the market, that is whether any operator singly or jointly enjoys a position of economic power that gives it the ability to behave independently of competitors and end-users. An accurate assessment of the effectiveness of competition can only be made in accordance with a clear market definition.</w:t>
      </w:r>
    </w:p>
    <w:p w14:paraId="10BB4BF1" w14:textId="77777777" w:rsidR="009C56C2" w:rsidRPr="00BC1ABD" w:rsidRDefault="009C56C2" w:rsidP="009C56C2">
      <w:pPr>
        <w:jc w:val="both"/>
        <w:rPr>
          <w:rFonts w:eastAsia="Times New Roman" w:cs="Arial"/>
          <w:sz w:val="24"/>
          <w:szCs w:val="24"/>
          <w:lang w:val="en-GB"/>
        </w:rPr>
      </w:pPr>
      <w:r w:rsidRPr="00BC1ABD">
        <w:rPr>
          <w:rFonts w:eastAsia="Times New Roman" w:cs="Arial"/>
          <w:sz w:val="24"/>
          <w:szCs w:val="24"/>
          <w:lang w:val="en-GB"/>
        </w:rPr>
        <w:t>In the retail market for fixed broadband access, two relevant markets have been defined;</w:t>
      </w:r>
    </w:p>
    <w:p w14:paraId="7C5D0C20" w14:textId="086B9A1F" w:rsidR="009C56C2" w:rsidRPr="00BC1ABD" w:rsidRDefault="009C56C2" w:rsidP="009C56C2">
      <w:pPr>
        <w:numPr>
          <w:ilvl w:val="0"/>
          <w:numId w:val="74"/>
        </w:numPr>
        <w:contextualSpacing/>
        <w:jc w:val="both"/>
        <w:rPr>
          <w:rFonts w:eastAsia="Times New Roman" w:cs="Arial"/>
          <w:sz w:val="24"/>
          <w:szCs w:val="24"/>
          <w:lang w:val="en-GB"/>
        </w:rPr>
      </w:pPr>
      <w:r w:rsidRPr="00BC1ABD">
        <w:rPr>
          <w:rFonts w:eastAsia="Times New Roman" w:cs="Arial"/>
          <w:sz w:val="24"/>
          <w:szCs w:val="24"/>
          <w:lang w:val="en-GB"/>
        </w:rPr>
        <w:t>Higher-speed fixed broadband access (for services offered at speeds over 10</w:t>
      </w:r>
      <w:r w:rsidR="007F2C59">
        <w:rPr>
          <w:rFonts w:eastAsia="Times New Roman" w:cs="Arial"/>
          <w:sz w:val="24"/>
          <w:szCs w:val="24"/>
          <w:lang w:val="en-GB"/>
        </w:rPr>
        <w:t xml:space="preserve"> </w:t>
      </w:r>
      <w:r w:rsidRPr="00BC1ABD">
        <w:rPr>
          <w:rFonts w:eastAsia="Times New Roman" w:cs="Arial"/>
          <w:sz w:val="24"/>
          <w:szCs w:val="24"/>
          <w:lang w:val="en-GB"/>
        </w:rPr>
        <w:t>Mbps)</w:t>
      </w:r>
      <w:r w:rsidR="003D4C61">
        <w:rPr>
          <w:rFonts w:eastAsia="Times New Roman" w:cs="Arial"/>
          <w:sz w:val="24"/>
          <w:szCs w:val="24"/>
          <w:lang w:val="en-GB"/>
        </w:rPr>
        <w:t>;</w:t>
      </w:r>
    </w:p>
    <w:p w14:paraId="18A734F1" w14:textId="3DAE5963" w:rsidR="009C56C2" w:rsidRDefault="009C56C2" w:rsidP="009C56C2">
      <w:pPr>
        <w:numPr>
          <w:ilvl w:val="0"/>
          <w:numId w:val="74"/>
        </w:numPr>
        <w:contextualSpacing/>
        <w:jc w:val="both"/>
        <w:rPr>
          <w:rFonts w:eastAsia="Times New Roman" w:cs="Arial"/>
          <w:sz w:val="24"/>
          <w:szCs w:val="24"/>
          <w:lang w:val="en-GB"/>
        </w:rPr>
      </w:pPr>
      <w:r w:rsidRPr="00BC1ABD">
        <w:rPr>
          <w:rFonts w:eastAsia="Times New Roman" w:cs="Arial"/>
          <w:sz w:val="24"/>
          <w:szCs w:val="24"/>
          <w:lang w:val="en-GB"/>
        </w:rPr>
        <w:t>Basic retail fixed broadband access (for services offered at speeds up to 10</w:t>
      </w:r>
      <w:r w:rsidR="003D4C61">
        <w:rPr>
          <w:rFonts w:eastAsia="Times New Roman" w:cs="Arial"/>
          <w:sz w:val="24"/>
          <w:szCs w:val="24"/>
          <w:lang w:val="en-GB"/>
        </w:rPr>
        <w:t xml:space="preserve"> </w:t>
      </w:r>
      <w:r w:rsidRPr="00BC1ABD">
        <w:rPr>
          <w:rFonts w:eastAsia="Times New Roman" w:cs="Arial"/>
          <w:sz w:val="24"/>
          <w:szCs w:val="24"/>
          <w:lang w:val="en-GB"/>
        </w:rPr>
        <w:t>M</w:t>
      </w:r>
      <w:r w:rsidR="007F2C59">
        <w:rPr>
          <w:rFonts w:eastAsia="Times New Roman" w:cs="Arial"/>
          <w:sz w:val="24"/>
          <w:szCs w:val="24"/>
          <w:lang w:val="en-GB"/>
        </w:rPr>
        <w:t>b</w:t>
      </w:r>
      <w:r w:rsidRPr="00BC1ABD">
        <w:rPr>
          <w:rFonts w:eastAsia="Times New Roman" w:cs="Arial"/>
          <w:sz w:val="24"/>
          <w:szCs w:val="24"/>
          <w:lang w:val="en-GB"/>
        </w:rPr>
        <w:t>ps)</w:t>
      </w:r>
    </w:p>
    <w:p w14:paraId="07E9BB0E" w14:textId="77777777" w:rsidR="00127E2B" w:rsidRPr="00BC1ABD" w:rsidRDefault="00127E2B" w:rsidP="00127E2B">
      <w:pPr>
        <w:ind w:left="720"/>
        <w:contextualSpacing/>
        <w:jc w:val="both"/>
        <w:rPr>
          <w:rFonts w:eastAsia="Times New Roman" w:cs="Arial"/>
          <w:sz w:val="24"/>
          <w:szCs w:val="24"/>
          <w:lang w:val="en-GB"/>
        </w:rPr>
      </w:pPr>
    </w:p>
    <w:p w14:paraId="61A6CB34" w14:textId="77777777" w:rsidR="009C56C2" w:rsidRPr="00127E2B" w:rsidRDefault="009C56C2" w:rsidP="00127E2B">
      <w:pPr>
        <w:pStyle w:val="Heading3"/>
        <w:numPr>
          <w:ilvl w:val="2"/>
          <w:numId w:val="88"/>
        </w:numPr>
        <w:spacing w:beforeAutospacing="0" w:after="160" w:afterAutospacing="0" w:line="256" w:lineRule="auto"/>
        <w:rPr>
          <w:rFonts w:asciiTheme="minorHAnsi" w:hAnsiTheme="minorHAnsi" w:cs="Calibri"/>
          <w:b w:val="0"/>
          <w:bCs w:val="0"/>
          <w:sz w:val="24"/>
          <w:szCs w:val="24"/>
          <w:lang w:val="en-GB"/>
        </w:rPr>
      </w:pPr>
      <w:bookmarkStart w:id="185" w:name="_Toc125998386"/>
      <w:bookmarkStart w:id="186" w:name="_Toc126158017"/>
      <w:bookmarkStart w:id="187" w:name="_Toc126170216"/>
      <w:bookmarkStart w:id="188" w:name="_Toc126171910"/>
      <w:bookmarkStart w:id="189" w:name="_Toc146107816"/>
      <w:bookmarkStart w:id="190" w:name="_Toc169258933"/>
      <w:bookmarkEnd w:id="185"/>
      <w:bookmarkEnd w:id="186"/>
      <w:bookmarkEnd w:id="187"/>
      <w:bookmarkEnd w:id="188"/>
      <w:r w:rsidRPr="00127E2B">
        <w:rPr>
          <w:rFonts w:asciiTheme="minorHAnsi" w:hAnsiTheme="minorHAnsi" w:cstheme="minorHAnsi"/>
          <w:b w:val="0"/>
          <w:bCs w:val="0"/>
          <w:sz w:val="24"/>
          <w:szCs w:val="24"/>
          <w:lang w:val="en-GB"/>
        </w:rPr>
        <w:t>Higher-speed retail fixed broadband access market definition</w:t>
      </w:r>
      <w:bookmarkEnd w:id="189"/>
      <w:bookmarkEnd w:id="190"/>
    </w:p>
    <w:p w14:paraId="56CE78EF" w14:textId="64A7FF68" w:rsidR="009C56C2" w:rsidRPr="00BC1ABD" w:rsidRDefault="009C56C2" w:rsidP="009C56C2">
      <w:pPr>
        <w:spacing w:before="240"/>
        <w:jc w:val="both"/>
        <w:rPr>
          <w:rFonts w:eastAsia="Times New Roman" w:cs="Arial"/>
          <w:sz w:val="24"/>
          <w:szCs w:val="24"/>
          <w:lang w:val="en-GB"/>
        </w:rPr>
      </w:pPr>
      <w:r w:rsidRPr="00BC1ABD">
        <w:rPr>
          <w:rFonts w:eastAsia="Times New Roman" w:cs="Arial"/>
          <w:sz w:val="24"/>
          <w:szCs w:val="24"/>
          <w:lang w:val="en-GB"/>
        </w:rPr>
        <w:t xml:space="preserve">Based on the analysis in Chapters </w:t>
      </w:r>
      <w:r w:rsidR="00AE3D68">
        <w:rPr>
          <w:rFonts w:eastAsia="Times New Roman" w:cs="Arial"/>
          <w:sz w:val="24"/>
          <w:szCs w:val="24"/>
          <w:lang w:val="en-GB"/>
        </w:rPr>
        <w:t>3</w:t>
      </w:r>
      <w:r w:rsidRPr="00BC1ABD">
        <w:rPr>
          <w:rFonts w:eastAsia="Times New Roman" w:cs="Arial"/>
          <w:sz w:val="24"/>
          <w:szCs w:val="24"/>
          <w:lang w:val="en-GB"/>
        </w:rPr>
        <w:t xml:space="preserve">.3.1. and </w:t>
      </w:r>
      <w:r w:rsidR="00AE3D68">
        <w:rPr>
          <w:rFonts w:eastAsia="Times New Roman" w:cs="Arial"/>
          <w:sz w:val="24"/>
          <w:szCs w:val="24"/>
          <w:lang w:val="en-GB"/>
        </w:rPr>
        <w:t>3</w:t>
      </w:r>
      <w:r w:rsidRPr="00BC1ABD">
        <w:rPr>
          <w:rFonts w:eastAsia="Times New Roman" w:cs="Arial"/>
          <w:sz w:val="24"/>
          <w:szCs w:val="24"/>
          <w:lang w:val="en-GB"/>
        </w:rPr>
        <w:t>.3.2.</w:t>
      </w:r>
      <w:r w:rsidRPr="00BC1ABD">
        <w:rPr>
          <w:rFonts w:eastAsia="Times New Roman"/>
          <w:lang w:val="en-GB"/>
        </w:rPr>
        <w:t xml:space="preserve"> </w:t>
      </w:r>
      <w:r w:rsidRPr="00BC1ABD">
        <w:rPr>
          <w:rFonts w:eastAsia="Times New Roman" w:cs="Arial"/>
          <w:sz w:val="24"/>
          <w:szCs w:val="24"/>
          <w:lang w:val="en-GB"/>
        </w:rPr>
        <w:t xml:space="preserve">it is concluded that, because there are no demand-side or supply-side substitutes at present and within the forward-looking time horizon of this market analysis, the higher-speed retail fixed broadband access market in Georgia consists of only </w:t>
      </w:r>
      <w:r w:rsidR="00592449">
        <w:rPr>
          <w:rFonts w:eastAsia="Times New Roman" w:cs="Arial"/>
          <w:sz w:val="24"/>
          <w:szCs w:val="24"/>
          <w:lang w:val="en-GB"/>
        </w:rPr>
        <w:t>FTTx</w:t>
      </w:r>
      <w:r w:rsidRPr="00BC1ABD">
        <w:rPr>
          <w:rFonts w:eastAsia="Times New Roman" w:cs="Arial"/>
          <w:sz w:val="24"/>
          <w:szCs w:val="24"/>
          <w:lang w:val="en-GB"/>
        </w:rPr>
        <w:t xml:space="preserve"> broadband access in the speed range above 10 Mbps, regardless of whether the specified broadband access service is offered alone or bundled with other electronic communications services and regardless of the access speeds provided within this defined speed range.</w:t>
      </w:r>
      <w:r w:rsidRPr="00BC1ABD">
        <w:rPr>
          <w:rFonts w:eastAsia="Times New Roman"/>
          <w:lang w:val="en-GB"/>
        </w:rPr>
        <w:t xml:space="preserve"> </w:t>
      </w:r>
      <w:r w:rsidRPr="00BC1ABD">
        <w:rPr>
          <w:rFonts w:eastAsia="Times New Roman" w:cs="Arial"/>
          <w:sz w:val="24"/>
          <w:szCs w:val="24"/>
          <w:lang w:val="en-GB"/>
        </w:rPr>
        <w:t>The geographical dimension of the market is considered to be national because the terms and conditions of service provision, most prevailing prices, as well as the legal and regulatory conditions are the same throughout the whole of Georgia.</w:t>
      </w:r>
    </w:p>
    <w:p w14:paraId="4A024A02" w14:textId="77777777" w:rsidR="009C56C2" w:rsidRPr="00127E2B" w:rsidRDefault="009C56C2" w:rsidP="00127E2B">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191" w:name="_Toc125998388"/>
      <w:bookmarkStart w:id="192" w:name="_Toc126158019"/>
      <w:bookmarkStart w:id="193" w:name="_Toc126170218"/>
      <w:bookmarkStart w:id="194" w:name="_Toc126171912"/>
      <w:bookmarkStart w:id="195" w:name="_Toc125998389"/>
      <w:bookmarkStart w:id="196" w:name="_Toc126158020"/>
      <w:bookmarkStart w:id="197" w:name="_Toc126170219"/>
      <w:bookmarkStart w:id="198" w:name="_Toc126171913"/>
      <w:bookmarkStart w:id="199" w:name="_Toc125998390"/>
      <w:bookmarkStart w:id="200" w:name="_Toc126158021"/>
      <w:bookmarkStart w:id="201" w:name="_Toc126170220"/>
      <w:bookmarkStart w:id="202" w:name="_Toc126171914"/>
      <w:bookmarkStart w:id="203" w:name="_Toc125998391"/>
      <w:bookmarkStart w:id="204" w:name="_Toc126158022"/>
      <w:bookmarkStart w:id="205" w:name="_Toc126170221"/>
      <w:bookmarkStart w:id="206" w:name="_Toc126171915"/>
      <w:bookmarkStart w:id="207" w:name="_Toc146107817"/>
      <w:bookmarkStart w:id="208" w:name="_Toc169258934"/>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sidRPr="00127E2B">
        <w:rPr>
          <w:rFonts w:asciiTheme="minorHAnsi" w:hAnsiTheme="minorHAnsi" w:cstheme="minorHAnsi"/>
          <w:b w:val="0"/>
          <w:bCs w:val="0"/>
          <w:sz w:val="24"/>
          <w:szCs w:val="24"/>
          <w:lang w:val="en-GB"/>
        </w:rPr>
        <w:t>Basic retail fixed broadband access market definition</w:t>
      </w:r>
      <w:bookmarkEnd w:id="207"/>
      <w:bookmarkEnd w:id="208"/>
    </w:p>
    <w:p w14:paraId="54DDF8C1" w14:textId="0C7F8645" w:rsidR="009C56C2" w:rsidRPr="00BC1ABD" w:rsidRDefault="009C56C2" w:rsidP="009C56C2">
      <w:pPr>
        <w:spacing w:before="240"/>
        <w:jc w:val="both"/>
        <w:rPr>
          <w:rFonts w:eastAsia="Times New Roman" w:cs="Arial"/>
          <w:sz w:val="24"/>
          <w:szCs w:val="24"/>
          <w:lang w:val="en-GB"/>
        </w:rPr>
      </w:pPr>
      <w:r w:rsidRPr="00BC1ABD">
        <w:rPr>
          <w:rFonts w:eastAsia="Times New Roman" w:cs="Arial"/>
          <w:sz w:val="24"/>
          <w:szCs w:val="24"/>
          <w:lang w:val="en-GB"/>
        </w:rPr>
        <w:t xml:space="preserve">Based on the analysis in Chapters </w:t>
      </w:r>
      <w:r w:rsidR="008272E7">
        <w:rPr>
          <w:rFonts w:eastAsia="Times New Roman" w:cs="Arial"/>
          <w:sz w:val="24"/>
          <w:szCs w:val="24"/>
          <w:lang w:val="en-GB"/>
        </w:rPr>
        <w:t>3</w:t>
      </w:r>
      <w:r w:rsidRPr="00BC1ABD">
        <w:rPr>
          <w:rFonts w:eastAsia="Times New Roman" w:cs="Arial"/>
          <w:sz w:val="24"/>
          <w:szCs w:val="24"/>
          <w:lang w:val="en-GB"/>
        </w:rPr>
        <w:t xml:space="preserve">.3. and </w:t>
      </w:r>
      <w:r w:rsidR="008272E7">
        <w:rPr>
          <w:rFonts w:eastAsia="Times New Roman" w:cs="Arial"/>
          <w:sz w:val="24"/>
          <w:szCs w:val="24"/>
          <w:lang w:val="en-GB"/>
        </w:rPr>
        <w:t>3</w:t>
      </w:r>
      <w:r w:rsidRPr="00BC1ABD">
        <w:rPr>
          <w:rFonts w:eastAsia="Times New Roman" w:cs="Arial"/>
          <w:sz w:val="24"/>
          <w:szCs w:val="24"/>
          <w:lang w:val="en-GB"/>
        </w:rPr>
        <w:t>.4 it is concluded that the basic retail fixed broadband access market in Georgia consists of the following substitute services:</w:t>
      </w:r>
    </w:p>
    <w:p w14:paraId="629CEFA2" w14:textId="77777777" w:rsidR="009C56C2" w:rsidRPr="00BC1ABD" w:rsidRDefault="009C56C2" w:rsidP="009C56C2">
      <w:pPr>
        <w:numPr>
          <w:ilvl w:val="0"/>
          <w:numId w:val="22"/>
        </w:numPr>
        <w:spacing w:before="240"/>
        <w:contextualSpacing/>
        <w:jc w:val="both"/>
        <w:rPr>
          <w:rFonts w:eastAsia="Times New Roman" w:cs="Arial"/>
          <w:sz w:val="24"/>
          <w:szCs w:val="24"/>
          <w:lang w:val="en-GB"/>
        </w:rPr>
      </w:pPr>
      <w:r w:rsidRPr="00BC1ABD">
        <w:rPr>
          <w:rFonts w:eastAsia="Times New Roman" w:cs="Arial"/>
          <w:sz w:val="24"/>
          <w:szCs w:val="24"/>
          <w:lang w:val="en-GB"/>
        </w:rPr>
        <w:t>Retail fixed broadband access via FWA</w:t>
      </w:r>
    </w:p>
    <w:p w14:paraId="39A20CCB" w14:textId="77777777" w:rsidR="009C56C2" w:rsidRPr="00BC1ABD" w:rsidRDefault="009C56C2" w:rsidP="009C56C2">
      <w:pPr>
        <w:numPr>
          <w:ilvl w:val="0"/>
          <w:numId w:val="22"/>
        </w:numPr>
        <w:spacing w:before="240"/>
        <w:contextualSpacing/>
        <w:jc w:val="both"/>
        <w:rPr>
          <w:rFonts w:eastAsia="Times New Roman" w:cs="Arial"/>
          <w:sz w:val="24"/>
          <w:szCs w:val="24"/>
          <w:lang w:val="en-GB"/>
        </w:rPr>
      </w:pPr>
      <w:r w:rsidRPr="00BC1ABD">
        <w:rPr>
          <w:rFonts w:eastAsia="Times New Roman" w:cs="Arial"/>
          <w:sz w:val="24"/>
          <w:szCs w:val="24"/>
          <w:lang w:val="en-GB"/>
        </w:rPr>
        <w:t>Retail fixed broadband access via xDSL</w:t>
      </w:r>
    </w:p>
    <w:p w14:paraId="18D193A7" w14:textId="77777777" w:rsidR="009C56C2" w:rsidRPr="00BC1ABD" w:rsidRDefault="009C56C2" w:rsidP="009C56C2">
      <w:pPr>
        <w:numPr>
          <w:ilvl w:val="0"/>
          <w:numId w:val="22"/>
        </w:numPr>
        <w:spacing w:before="240"/>
        <w:contextualSpacing/>
        <w:jc w:val="both"/>
        <w:rPr>
          <w:rFonts w:eastAsia="Times New Roman" w:cs="Arial"/>
          <w:sz w:val="24"/>
          <w:szCs w:val="24"/>
          <w:lang w:val="en-GB"/>
        </w:rPr>
      </w:pPr>
      <w:r w:rsidRPr="00BC1ABD">
        <w:rPr>
          <w:rFonts w:eastAsia="Times New Roman" w:cs="Arial"/>
          <w:sz w:val="24"/>
          <w:szCs w:val="24"/>
          <w:lang w:val="en-GB"/>
        </w:rPr>
        <w:t>Retail fixed broadband provided over mobile networks.</w:t>
      </w:r>
    </w:p>
    <w:p w14:paraId="570DD0DF" w14:textId="77CD2EAD" w:rsidR="00FF26A6" w:rsidRPr="003B52FC" w:rsidRDefault="009C56C2" w:rsidP="003B52FC">
      <w:pPr>
        <w:spacing w:before="240"/>
        <w:jc w:val="both"/>
        <w:rPr>
          <w:rFonts w:cs="Arial"/>
          <w:sz w:val="24"/>
          <w:szCs w:val="24"/>
          <w:lang w:val="en-GB"/>
        </w:rPr>
      </w:pPr>
      <w:r w:rsidRPr="00BC1ABD">
        <w:rPr>
          <w:rFonts w:eastAsia="Times New Roman" w:cs="Arial"/>
          <w:sz w:val="24"/>
          <w:szCs w:val="24"/>
          <w:lang w:val="en-GB"/>
        </w:rPr>
        <w:t>This market definition covers offers in the speed range of up to 10 Mbps, regardless of whether the specified broadband access service is offered alone or bundled with other electronic communications services and regardless of the access speeds provided within this speed range. The geographical dimension of the market is considered to be national because the terms and conditions of service provision, the prevailing prices as well as the legal and regulatory conditions are the same throughout the whole of Georgia</w:t>
      </w:r>
      <w:r w:rsidR="00D070D9" w:rsidRPr="00BC1ABD">
        <w:rPr>
          <w:rFonts w:cs="Arial"/>
          <w:sz w:val="24"/>
          <w:szCs w:val="24"/>
          <w:lang w:val="en-GB"/>
        </w:rPr>
        <w:t>.</w:t>
      </w:r>
    </w:p>
    <w:p w14:paraId="298A83C0" w14:textId="41ED1851" w:rsidR="00D070D9" w:rsidRPr="00BC1ABD" w:rsidRDefault="00B271E6" w:rsidP="00EB11F7">
      <w:pPr>
        <w:pStyle w:val="Heading2"/>
        <w:numPr>
          <w:ilvl w:val="1"/>
          <w:numId w:val="88"/>
        </w:numPr>
        <w:spacing w:after="240"/>
        <w:rPr>
          <w:lang w:val="en-GB"/>
        </w:rPr>
      </w:pPr>
      <w:bookmarkStart w:id="209" w:name="_Toc169258935"/>
      <w:r w:rsidRPr="00BC1ABD">
        <w:rPr>
          <w:lang w:val="en-GB"/>
        </w:rPr>
        <w:t>Prospective assessment of competition</w:t>
      </w:r>
      <w:bookmarkEnd w:id="209"/>
    </w:p>
    <w:p w14:paraId="54EF00FA" w14:textId="77777777" w:rsidR="00667DAD" w:rsidRPr="00BC1ABD" w:rsidRDefault="00667DAD" w:rsidP="00D05711">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10" w:name="_Toc146107819"/>
      <w:bookmarkStart w:id="211" w:name="_Toc169258936"/>
      <w:r w:rsidRPr="00BC1ABD">
        <w:rPr>
          <w:rFonts w:asciiTheme="minorHAnsi" w:hAnsiTheme="minorHAnsi" w:cstheme="minorHAnsi"/>
          <w:b w:val="0"/>
          <w:bCs w:val="0"/>
          <w:sz w:val="24"/>
          <w:szCs w:val="24"/>
          <w:lang w:val="en-GB"/>
        </w:rPr>
        <w:t>Higher-speed retail fixed broadband access market</w:t>
      </w:r>
      <w:bookmarkEnd w:id="210"/>
      <w:bookmarkEnd w:id="211"/>
    </w:p>
    <w:p w14:paraId="497D4381" w14:textId="77777777" w:rsidR="000D100B" w:rsidRPr="00BC1ABD" w:rsidRDefault="000D100B" w:rsidP="000D100B">
      <w:pPr>
        <w:shd w:val="clear" w:color="auto" w:fill="FFFFFF"/>
        <w:spacing w:before="300" w:after="300" w:line="360" w:lineRule="atLeast"/>
        <w:jc w:val="both"/>
        <w:rPr>
          <w:rFonts w:eastAsia="Times New Roman" w:cs="Arial"/>
          <w:sz w:val="24"/>
          <w:szCs w:val="24"/>
          <w:lang w:val="en-GB"/>
        </w:rPr>
      </w:pPr>
      <w:r w:rsidRPr="00BC1ABD">
        <w:rPr>
          <w:rFonts w:eastAsia="Times New Roman" w:cs="Arial"/>
          <w:sz w:val="24"/>
          <w:szCs w:val="24"/>
          <w:lang w:val="en-GB"/>
        </w:rPr>
        <w:t>Firstly, it should be noted that there are no legal, administrative or regulatory barriers to entry into the higher-speed retail fixed broadband access market in Georgia.</w:t>
      </w:r>
    </w:p>
    <w:p w14:paraId="65939A15" w14:textId="1BFE2DD2"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In chapter </w:t>
      </w:r>
      <w:r w:rsidR="008272E7">
        <w:rPr>
          <w:rFonts w:eastAsia="Times New Roman" w:cs="Arial"/>
          <w:sz w:val="24"/>
          <w:szCs w:val="24"/>
          <w:lang w:val="en-GB"/>
        </w:rPr>
        <w:t>3</w:t>
      </w:r>
      <w:r w:rsidRPr="00BC1ABD">
        <w:rPr>
          <w:rFonts w:eastAsia="Times New Roman" w:cs="Arial"/>
          <w:sz w:val="24"/>
          <w:szCs w:val="24"/>
          <w:lang w:val="en-GB"/>
        </w:rPr>
        <w:t xml:space="preserve">.5 it was concluded that the higher-speed retail market consists of the </w:t>
      </w:r>
      <w:r w:rsidR="00592449">
        <w:rPr>
          <w:rFonts w:eastAsia="Times New Roman" w:cs="Arial"/>
          <w:sz w:val="24"/>
          <w:szCs w:val="24"/>
          <w:lang w:val="en-GB"/>
        </w:rPr>
        <w:t>FTTx</w:t>
      </w:r>
      <w:r w:rsidRPr="00BC1ABD">
        <w:rPr>
          <w:rFonts w:eastAsia="Times New Roman" w:cs="Arial"/>
          <w:sz w:val="24"/>
          <w:szCs w:val="24"/>
          <w:lang w:val="en-GB"/>
        </w:rPr>
        <w:t xml:space="preserve"> broadband access service offered in the speed range above 10 Mbps, regardless of whether the specified broadband access service is offered alone or bundled with other electronic communications services and regardless of the access speeds provided within this defined speed range. The market has a national geographical dimension.</w:t>
      </w:r>
    </w:p>
    <w:p w14:paraId="36F4AF45" w14:textId="131C695F" w:rsidR="000D100B" w:rsidRDefault="000D100B" w:rsidP="00AB2683">
      <w:pPr>
        <w:spacing w:before="240"/>
        <w:jc w:val="both"/>
        <w:rPr>
          <w:rFonts w:eastAsia="Times New Roman" w:cs="Arial"/>
          <w:sz w:val="24"/>
          <w:szCs w:val="24"/>
          <w:lang w:val="en-GB"/>
        </w:rPr>
      </w:pPr>
      <w:r w:rsidRPr="00BC1ABD">
        <w:rPr>
          <w:rFonts w:eastAsia="Times New Roman" w:cs="Arial"/>
          <w:sz w:val="24"/>
          <w:szCs w:val="24"/>
          <w:lang w:val="en-GB"/>
        </w:rPr>
        <w:t xml:space="preserve">The market shares of the operators supplying higher-speed retail fixed broadband access are shown in Figure </w:t>
      </w:r>
      <w:r w:rsidR="00F951CA">
        <w:rPr>
          <w:rFonts w:eastAsia="Times New Roman" w:cs="Arial"/>
          <w:sz w:val="24"/>
          <w:szCs w:val="24"/>
          <w:lang w:val="en-GB"/>
        </w:rPr>
        <w:t>34</w:t>
      </w:r>
      <w:r w:rsidRPr="00BC1ABD">
        <w:rPr>
          <w:rFonts w:eastAsia="Times New Roman" w:cs="Arial"/>
          <w:sz w:val="24"/>
          <w:szCs w:val="24"/>
          <w:lang w:val="en-GB"/>
        </w:rPr>
        <w:t xml:space="preserve">. </w:t>
      </w:r>
      <w:bookmarkStart w:id="212" w:name="_Toc141200274"/>
    </w:p>
    <w:p w14:paraId="63F4B704" w14:textId="1D24F6C6" w:rsidR="000D100B" w:rsidRPr="00BC1ABD" w:rsidRDefault="000D100B" w:rsidP="00670CD8">
      <w:pPr>
        <w:spacing w:line="240" w:lineRule="auto"/>
        <w:jc w:val="center"/>
        <w:rPr>
          <w:rFonts w:asciiTheme="minorHAnsi" w:eastAsia="Times New Roman" w:hAnsiTheme="minorHAnsi" w:cs="Arial"/>
          <w:i/>
          <w:iCs/>
          <w:color w:val="44546A" w:themeColor="text2"/>
          <w:sz w:val="20"/>
          <w:szCs w:val="20"/>
          <w:lang w:val="en-GB"/>
        </w:rPr>
      </w:pPr>
      <w:bookmarkStart w:id="213" w:name="_Toc152931385"/>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34</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w:t>
      </w:r>
      <w:bookmarkStart w:id="214" w:name="_Hlk124498110"/>
      <w:r w:rsidRPr="00BC1ABD">
        <w:rPr>
          <w:rFonts w:asciiTheme="minorHAnsi" w:eastAsia="Times New Roman" w:hAnsiTheme="minorHAnsi" w:cs="Arial"/>
          <w:i/>
          <w:iCs/>
          <w:color w:val="44546A" w:themeColor="text2"/>
          <w:sz w:val="20"/>
          <w:szCs w:val="20"/>
          <w:lang w:val="en-GB"/>
        </w:rPr>
        <w:t>Market shares (by subscribers) in the retail higher-speed fixed broadband access market</w:t>
      </w:r>
      <w:bookmarkEnd w:id="214"/>
      <w:r w:rsidRPr="00BC1ABD">
        <w:rPr>
          <w:rFonts w:asciiTheme="minorHAnsi" w:eastAsia="Times New Roman" w:hAnsiTheme="minorHAnsi" w:cs="Arial"/>
          <w:i/>
          <w:iCs/>
          <w:color w:val="44546A" w:themeColor="text2"/>
          <w:sz w:val="20"/>
          <w:szCs w:val="20"/>
          <w:lang w:val="en-GB"/>
        </w:rPr>
        <w:t xml:space="preserve"> (2022)</w:t>
      </w:r>
      <w:bookmarkEnd w:id="212"/>
      <w:bookmarkEnd w:id="213"/>
    </w:p>
    <w:p w14:paraId="3E1E0333" w14:textId="204478D6" w:rsidR="000D100B" w:rsidRPr="00BC1ABD" w:rsidRDefault="000D100B" w:rsidP="000D100B">
      <w:pPr>
        <w:spacing w:before="240"/>
        <w:jc w:val="center"/>
        <w:rPr>
          <w:rFonts w:eastAsia="Times New Roman" w:cs="Arial"/>
          <w:lang w:val="en-GB"/>
        </w:rPr>
      </w:pPr>
      <w:r w:rsidRPr="00BC1ABD">
        <w:rPr>
          <w:rFonts w:eastAsia="Times New Roman" w:cs="Arial"/>
          <w:noProof/>
          <w:lang w:val="sl-SI" w:eastAsia="sl-SI"/>
        </w:rPr>
        <w:drawing>
          <wp:inline distT="0" distB="0" distL="0" distR="0" wp14:anchorId="6AAD46CA" wp14:editId="3D37D58C">
            <wp:extent cx="4752975" cy="2466975"/>
            <wp:effectExtent l="0" t="0" r="9525" b="9525"/>
            <wp:docPr id="1926550841" name="Slika 25"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50841" name="Slika 25" descr="Slika na kojoj se prikazuje tekst, snimka zaslona, dijagram, Font&#10;&#10;Opis je automatski generira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2975" cy="2466975"/>
                    </a:xfrm>
                    <a:prstGeom prst="rect">
                      <a:avLst/>
                    </a:prstGeom>
                    <a:noFill/>
                    <a:ln>
                      <a:noFill/>
                    </a:ln>
                  </pic:spPr>
                </pic:pic>
              </a:graphicData>
            </a:graphic>
          </wp:inline>
        </w:drawing>
      </w:r>
    </w:p>
    <w:p w14:paraId="206D80D7" w14:textId="77777777" w:rsidR="000D100B" w:rsidRPr="00BC1ABD" w:rsidRDefault="000D100B" w:rsidP="000D100B">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23F46C42" w14:textId="702809C5"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Magticom is the leading provider of </w:t>
      </w:r>
      <w:r w:rsidR="00592449">
        <w:rPr>
          <w:rFonts w:eastAsia="Times New Roman" w:cs="Arial"/>
          <w:sz w:val="24"/>
          <w:szCs w:val="24"/>
          <w:lang w:val="en-GB"/>
        </w:rPr>
        <w:t>FTTx</w:t>
      </w:r>
      <w:r w:rsidRPr="00BC1ABD">
        <w:rPr>
          <w:rFonts w:eastAsia="Times New Roman" w:cs="Arial"/>
          <w:sz w:val="24"/>
          <w:szCs w:val="24"/>
          <w:lang w:val="en-GB"/>
        </w:rPr>
        <w:t xml:space="preserve"> services in the retail higher-speed fixed broadband market with 55% market share of subscribers. Magticom is also the operator having largest </w:t>
      </w:r>
      <w:r w:rsidR="00592449">
        <w:rPr>
          <w:rFonts w:eastAsia="Times New Roman" w:cs="Arial"/>
          <w:sz w:val="24"/>
          <w:szCs w:val="24"/>
          <w:lang w:val="en-GB"/>
        </w:rPr>
        <w:t>FTTx</w:t>
      </w:r>
      <w:r w:rsidRPr="00BC1ABD">
        <w:rPr>
          <w:rFonts w:eastAsia="Times New Roman" w:cs="Arial"/>
          <w:sz w:val="24"/>
          <w:szCs w:val="24"/>
          <w:lang w:val="en-GB"/>
        </w:rPr>
        <w:t xml:space="preserve"> coverage in Georgia</w:t>
      </w:r>
      <w:r w:rsidR="00870AF1">
        <w:rPr>
          <w:rFonts w:eastAsia="Times New Roman" w:cs="Arial"/>
          <w:sz w:val="24"/>
          <w:szCs w:val="24"/>
          <w:lang w:val="en-GB"/>
        </w:rPr>
        <w:t xml:space="preserve"> (see Figure 52)</w:t>
      </w:r>
      <w:r w:rsidRPr="00BC1ABD">
        <w:rPr>
          <w:rFonts w:eastAsia="Times New Roman" w:cs="Arial"/>
          <w:sz w:val="24"/>
          <w:szCs w:val="24"/>
          <w:lang w:val="en-GB"/>
        </w:rPr>
        <w:t xml:space="preserve">. The remaining operators together provide competing </w:t>
      </w:r>
      <w:r w:rsidR="00592449">
        <w:rPr>
          <w:rFonts w:eastAsia="Times New Roman" w:cs="Arial"/>
          <w:sz w:val="24"/>
          <w:szCs w:val="24"/>
          <w:lang w:val="en-GB"/>
        </w:rPr>
        <w:t>FTTx</w:t>
      </w:r>
      <w:r w:rsidRPr="00BC1ABD">
        <w:rPr>
          <w:rFonts w:eastAsia="Times New Roman" w:cs="Arial"/>
          <w:sz w:val="24"/>
          <w:szCs w:val="24"/>
          <w:lang w:val="en-GB"/>
        </w:rPr>
        <w:t xml:space="preserve"> infrastructures and fixed broadband retail services with a lower geographical coverage, as summarised below:</w:t>
      </w:r>
    </w:p>
    <w:p w14:paraId="72E9E3A2" w14:textId="77777777" w:rsidR="000D100B" w:rsidRPr="00BC1ABD" w:rsidRDefault="000D100B" w:rsidP="000D100B">
      <w:pPr>
        <w:numPr>
          <w:ilvl w:val="0"/>
          <w:numId w:val="75"/>
        </w:numPr>
        <w:spacing w:before="240"/>
        <w:contextualSpacing/>
        <w:jc w:val="both"/>
        <w:rPr>
          <w:rFonts w:eastAsia="Times New Roman" w:cs="Arial"/>
          <w:sz w:val="24"/>
          <w:szCs w:val="24"/>
          <w:lang w:val="en-GB"/>
        </w:rPr>
      </w:pPr>
      <w:r w:rsidRPr="00BC1ABD">
        <w:rPr>
          <w:rFonts w:eastAsia="Times New Roman" w:cs="Arial"/>
          <w:sz w:val="24"/>
          <w:szCs w:val="24"/>
          <w:lang w:val="en-GB"/>
        </w:rPr>
        <w:t>Silknet has significant coverage (but is not present in all the settlements that Magticom covers) and holds a 32% market share</w:t>
      </w:r>
    </w:p>
    <w:p w14:paraId="11CEBEE2" w14:textId="5EAE4C26" w:rsidR="000D100B" w:rsidRPr="00BC1ABD" w:rsidRDefault="001A02CA" w:rsidP="000D100B">
      <w:pPr>
        <w:numPr>
          <w:ilvl w:val="0"/>
          <w:numId w:val="75"/>
        </w:numPr>
        <w:spacing w:before="240"/>
        <w:contextualSpacing/>
        <w:jc w:val="both"/>
        <w:rPr>
          <w:rFonts w:eastAsia="Times New Roman" w:cs="Arial"/>
          <w:sz w:val="24"/>
          <w:szCs w:val="24"/>
          <w:lang w:val="en-GB"/>
        </w:rPr>
      </w:pPr>
      <w:r>
        <w:rPr>
          <w:rFonts w:eastAsia="Times New Roman" w:cs="Arial"/>
          <w:sz w:val="24"/>
          <w:szCs w:val="24"/>
          <w:lang w:val="en-GB"/>
        </w:rPr>
        <w:t>Akhali Kselebi</w:t>
      </w:r>
      <w:r w:rsidR="000D100B" w:rsidRPr="00BC1ABD">
        <w:rPr>
          <w:rFonts w:eastAsia="Times New Roman" w:cs="Arial"/>
          <w:sz w:val="24"/>
          <w:szCs w:val="24"/>
          <w:lang w:val="en-GB"/>
        </w:rPr>
        <w:t xml:space="preserve"> has a smaller but still important coverage (focused on some regions) and holds 6% market share</w:t>
      </w:r>
    </w:p>
    <w:p w14:paraId="437D8F7C" w14:textId="77777777" w:rsidR="000D100B" w:rsidRPr="00BC1ABD" w:rsidRDefault="000D100B" w:rsidP="000D100B">
      <w:pPr>
        <w:numPr>
          <w:ilvl w:val="0"/>
          <w:numId w:val="75"/>
        </w:numPr>
        <w:spacing w:before="240"/>
        <w:contextualSpacing/>
        <w:jc w:val="both"/>
        <w:rPr>
          <w:rFonts w:eastAsia="Times New Roman" w:cs="Arial"/>
          <w:sz w:val="24"/>
          <w:szCs w:val="24"/>
          <w:lang w:val="en-GB"/>
        </w:rPr>
      </w:pPr>
      <w:r w:rsidRPr="00BC1ABD">
        <w:rPr>
          <w:rFonts w:eastAsia="Times New Roman" w:cs="Arial"/>
          <w:sz w:val="24"/>
          <w:szCs w:val="24"/>
          <w:lang w:val="en-GB"/>
        </w:rPr>
        <w:t>Skytel has the smallest coverage and holds only 2% market share</w:t>
      </w:r>
    </w:p>
    <w:p w14:paraId="42F66868" w14:textId="25B0E9EB" w:rsidR="000D100B" w:rsidRPr="00BC1ABD" w:rsidRDefault="000D100B" w:rsidP="000D100B">
      <w:pPr>
        <w:numPr>
          <w:ilvl w:val="0"/>
          <w:numId w:val="75"/>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All other </w:t>
      </w:r>
      <w:r w:rsidR="00592449">
        <w:rPr>
          <w:rFonts w:eastAsia="Times New Roman" w:cs="Arial"/>
          <w:sz w:val="24"/>
          <w:szCs w:val="24"/>
          <w:lang w:val="en-GB"/>
        </w:rPr>
        <w:t>FTTx</w:t>
      </w:r>
      <w:r w:rsidRPr="00BC1ABD">
        <w:rPr>
          <w:rFonts w:eastAsia="Times New Roman" w:cs="Arial"/>
          <w:sz w:val="24"/>
          <w:szCs w:val="24"/>
          <w:lang w:val="en-GB"/>
        </w:rPr>
        <w:t xml:space="preserve"> operators with different levels of specific local coverage hold together a total of 5% market share.</w:t>
      </w:r>
    </w:p>
    <w:p w14:paraId="021027E4"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The development of these competing networks and fixed broadband services over the last few years needs to be examined in order to assess the dynamics of competition.</w:t>
      </w:r>
    </w:p>
    <w:p w14:paraId="40D6FB98" w14:textId="0F0AA175"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Based on ComCom data the number of end-users on </w:t>
      </w:r>
      <w:r w:rsidR="00592449">
        <w:rPr>
          <w:rFonts w:eastAsia="Times New Roman" w:cs="Arial"/>
          <w:sz w:val="24"/>
          <w:szCs w:val="24"/>
          <w:lang w:val="en-GB"/>
        </w:rPr>
        <w:t>FTTx</w:t>
      </w:r>
      <w:r w:rsidRPr="00BC1ABD">
        <w:rPr>
          <w:rFonts w:eastAsia="Times New Roman" w:cs="Arial"/>
          <w:sz w:val="24"/>
          <w:szCs w:val="24"/>
          <w:lang w:val="en-GB"/>
        </w:rPr>
        <w:t xml:space="preserve"> networks has been steadily increasing. In order to find out whether the market exhibits effective competition, it is necessary to understand the dynamics and developments of market shares of operators over a period of time and to predict whether any trend will continue for the forward-looking time horizon of this market analysis. Fluctuations in the relative market shares of the operators could be the sign of effective competition if there is evidence that the market shares will continue to be based on real choices made by consumers. However, it can be seen from Figure </w:t>
      </w:r>
      <w:r w:rsidR="00480D36">
        <w:rPr>
          <w:rFonts w:eastAsia="Times New Roman" w:cs="Arial"/>
          <w:sz w:val="24"/>
          <w:szCs w:val="24"/>
          <w:lang w:val="en-GB"/>
        </w:rPr>
        <w:t>35</w:t>
      </w:r>
      <w:r w:rsidRPr="00BC1ABD">
        <w:rPr>
          <w:rFonts w:eastAsia="Times New Roman" w:cs="Arial"/>
          <w:sz w:val="24"/>
          <w:szCs w:val="24"/>
          <w:lang w:val="en-GB"/>
        </w:rPr>
        <w:t xml:space="preserve"> that the market shares of all the operators have become stable over the last 3 to 5 years.</w:t>
      </w:r>
    </w:p>
    <w:p w14:paraId="127EBEAE" w14:textId="2550E03C"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The main market dynamic before 2018 is that Magticom initially gained market share by acquiring </w:t>
      </w:r>
      <w:r w:rsidRPr="00E517D9">
        <w:rPr>
          <w:sz w:val="24"/>
          <w:szCs w:val="24"/>
          <w:lang w:val="en-US"/>
        </w:rPr>
        <w:t>Delta-Net</w:t>
      </w:r>
      <w:r w:rsidRPr="00BC1ABD">
        <w:rPr>
          <w:rFonts w:eastAsia="Times New Roman" w:cs="Arial"/>
          <w:sz w:val="24"/>
          <w:szCs w:val="24"/>
          <w:vertAlign w:val="superscript"/>
          <w:lang w:val="en-GB"/>
        </w:rPr>
        <w:footnoteReference w:id="74"/>
      </w:r>
      <w:r w:rsidRPr="00BC1ABD">
        <w:rPr>
          <w:rFonts w:eastAsia="Times New Roman" w:cs="Arial"/>
          <w:sz w:val="24"/>
          <w:szCs w:val="24"/>
          <w:lang w:val="en-GB"/>
        </w:rPr>
        <w:t>.</w:t>
      </w:r>
    </w:p>
    <w:p w14:paraId="2365D621" w14:textId="4D4C78B0" w:rsidR="000D100B" w:rsidRPr="00BC1ABD" w:rsidRDefault="000D100B" w:rsidP="000D100B">
      <w:pPr>
        <w:spacing w:line="240" w:lineRule="auto"/>
        <w:jc w:val="center"/>
        <w:rPr>
          <w:rFonts w:asciiTheme="minorHAnsi" w:eastAsia="Times New Roman" w:hAnsiTheme="minorHAnsi" w:cs="Arial"/>
          <w:i/>
          <w:iCs/>
          <w:color w:val="44546A" w:themeColor="text2"/>
          <w:sz w:val="20"/>
          <w:szCs w:val="20"/>
          <w:lang w:val="en-GB"/>
        </w:rPr>
      </w:pPr>
      <w:bookmarkStart w:id="215" w:name="_Toc141200275"/>
      <w:bookmarkStart w:id="216" w:name="_Toc152931386"/>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35</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Market shares on the retail higher-speed fixed broadband access market - trend</w:t>
      </w:r>
      <w:bookmarkEnd w:id="215"/>
      <w:bookmarkEnd w:id="216"/>
    </w:p>
    <w:p w14:paraId="14D47D51" w14:textId="682F5FE3" w:rsidR="000D100B" w:rsidRPr="00BC1ABD" w:rsidRDefault="000D100B" w:rsidP="000D100B">
      <w:pPr>
        <w:spacing w:before="240"/>
        <w:jc w:val="both"/>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1481B250" wp14:editId="2025E0D7">
            <wp:extent cx="5760720" cy="2428240"/>
            <wp:effectExtent l="0" t="0" r="0" b="0"/>
            <wp:docPr id="2027206949" name="Slika 24" descr="Slika na kojoj se prikazuje tekst, snimka zaslona, softver,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06949" name="Slika 24" descr="Slika na kojoj se prikazuje tekst, snimka zaslona, softver, Font&#10;&#10;Opis je automatski generira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2428240"/>
                    </a:xfrm>
                    <a:prstGeom prst="rect">
                      <a:avLst/>
                    </a:prstGeom>
                    <a:noFill/>
                    <a:ln>
                      <a:noFill/>
                    </a:ln>
                  </pic:spPr>
                </pic:pic>
              </a:graphicData>
            </a:graphic>
          </wp:inline>
        </w:drawing>
      </w:r>
    </w:p>
    <w:p w14:paraId="36D85149" w14:textId="77777777" w:rsidR="000D100B" w:rsidRPr="00BC1ABD" w:rsidRDefault="000D100B" w:rsidP="000D100B">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23B33497" w14:textId="206E7203"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Although the total number of end users increased 2.4 times since 2016, the relative market shares between the operators has remained largely similar. The only difference appears to be that </w:t>
      </w:r>
      <w:r w:rsidR="001A02CA">
        <w:rPr>
          <w:rFonts w:eastAsia="Times New Roman" w:cs="Arial"/>
          <w:sz w:val="24"/>
          <w:szCs w:val="24"/>
          <w:lang w:val="en-GB"/>
        </w:rPr>
        <w:t>Akhali Kselebi</w:t>
      </w:r>
      <w:r w:rsidRPr="00BC1ABD">
        <w:rPr>
          <w:rFonts w:eastAsia="Times New Roman" w:cs="Arial"/>
          <w:sz w:val="24"/>
          <w:szCs w:val="24"/>
          <w:lang w:val="en-GB"/>
        </w:rPr>
        <w:t xml:space="preserve"> lost part of its market share because it remained at mostly the same number of end-users while the other operators were increasing their customer base. </w:t>
      </w:r>
      <w:r w:rsidR="001A02CA">
        <w:rPr>
          <w:rFonts w:eastAsia="Times New Roman" w:cs="Arial"/>
          <w:sz w:val="24"/>
          <w:szCs w:val="24"/>
          <w:lang w:val="en-GB"/>
        </w:rPr>
        <w:t>Akhali Kselebi</w:t>
      </w:r>
      <w:r w:rsidR="006E5529">
        <w:rPr>
          <w:rFonts w:eastAsia="Times New Roman" w:cs="Arial"/>
          <w:sz w:val="24"/>
          <w:szCs w:val="24"/>
          <w:lang w:val="en-GB"/>
        </w:rPr>
        <w:t xml:space="preserve"> </w:t>
      </w:r>
      <w:r w:rsidRPr="00BC1ABD">
        <w:rPr>
          <w:rFonts w:eastAsia="Times New Roman" w:cs="Arial"/>
          <w:sz w:val="24"/>
          <w:szCs w:val="24"/>
          <w:lang w:val="en-GB"/>
        </w:rPr>
        <w:t xml:space="preserve">lost almost 14,000 subscribers over the period 2015 to 2020. In last two years the number of their subscribers has recovered back to its 2015 level. It appears from the network coverage data in Figure </w:t>
      </w:r>
      <w:r w:rsidR="00480D36">
        <w:rPr>
          <w:rFonts w:eastAsia="Times New Roman" w:cs="Arial"/>
          <w:sz w:val="24"/>
          <w:szCs w:val="24"/>
          <w:lang w:val="en-GB"/>
        </w:rPr>
        <w:t>36</w:t>
      </w:r>
      <w:r w:rsidRPr="00BC1ABD">
        <w:rPr>
          <w:rFonts w:eastAsia="Times New Roman" w:cs="Arial"/>
          <w:sz w:val="24"/>
          <w:szCs w:val="24"/>
          <w:lang w:val="en-GB"/>
        </w:rPr>
        <w:t xml:space="preserve"> that </w:t>
      </w:r>
      <w:r w:rsidR="001A02CA">
        <w:rPr>
          <w:rFonts w:eastAsia="Times New Roman" w:cs="Arial"/>
          <w:sz w:val="24"/>
          <w:szCs w:val="24"/>
          <w:lang w:val="en-GB"/>
        </w:rPr>
        <w:t>Akhali Kselebi</w:t>
      </w:r>
      <w:r w:rsidRPr="00BC1ABD">
        <w:rPr>
          <w:rFonts w:eastAsia="Times New Roman" w:cs="Arial"/>
          <w:sz w:val="24"/>
          <w:szCs w:val="24"/>
          <w:lang w:val="en-GB"/>
        </w:rPr>
        <w:t xml:space="preserve"> has failed to invest in extending its </w:t>
      </w:r>
      <w:r w:rsidR="00592449">
        <w:rPr>
          <w:rFonts w:eastAsia="Times New Roman" w:cs="Arial"/>
          <w:sz w:val="24"/>
          <w:szCs w:val="24"/>
          <w:lang w:val="en-GB"/>
        </w:rPr>
        <w:t>FTTx</w:t>
      </w:r>
      <w:r w:rsidRPr="00BC1ABD">
        <w:rPr>
          <w:rFonts w:eastAsia="Times New Roman" w:cs="Arial"/>
          <w:sz w:val="24"/>
          <w:szCs w:val="24"/>
          <w:lang w:val="en-GB"/>
        </w:rPr>
        <w:t xml:space="preserve"> network coverage.</w:t>
      </w:r>
    </w:p>
    <w:p w14:paraId="2CF53AE1" w14:textId="57B0745C" w:rsidR="000D100B" w:rsidRPr="00BC1ABD" w:rsidRDefault="000D100B" w:rsidP="000D100B">
      <w:pPr>
        <w:spacing w:line="240" w:lineRule="auto"/>
        <w:jc w:val="center"/>
        <w:rPr>
          <w:rFonts w:asciiTheme="minorHAnsi" w:eastAsia="Times New Roman" w:hAnsiTheme="minorHAnsi" w:cs="Calibri"/>
          <w:i/>
          <w:iCs/>
          <w:color w:val="44546A" w:themeColor="text2"/>
          <w:sz w:val="20"/>
          <w:szCs w:val="20"/>
          <w:lang w:val="en-GB"/>
        </w:rPr>
      </w:pPr>
      <w:bookmarkStart w:id="217" w:name="_Toc141200276"/>
      <w:bookmarkStart w:id="218" w:name="_Toc15293138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36</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household and population coverage by operator in settlements</w:t>
      </w:r>
      <w:bookmarkEnd w:id="217"/>
      <w:bookmarkEnd w:id="218"/>
    </w:p>
    <w:tbl>
      <w:tblPr>
        <w:tblW w:w="9248" w:type="dxa"/>
        <w:jc w:val="right"/>
        <w:tblCellMar>
          <w:left w:w="70" w:type="dxa"/>
          <w:right w:w="70" w:type="dxa"/>
        </w:tblCellMar>
        <w:tblLook w:val="04A0" w:firstRow="1" w:lastRow="0" w:firstColumn="1" w:lastColumn="0" w:noHBand="0" w:noVBand="1"/>
      </w:tblPr>
      <w:tblGrid>
        <w:gridCol w:w="1686"/>
        <w:gridCol w:w="2576"/>
        <w:gridCol w:w="1662"/>
        <w:gridCol w:w="1662"/>
        <w:gridCol w:w="1662"/>
      </w:tblGrid>
      <w:tr w:rsidR="000D100B" w:rsidRPr="00BC1ABD" w14:paraId="29E79619" w14:textId="77777777" w:rsidTr="00E95C58">
        <w:trPr>
          <w:trHeight w:val="227"/>
          <w:jc w:val="right"/>
        </w:trPr>
        <w:tc>
          <w:tcPr>
            <w:tcW w:w="1686" w:type="dxa"/>
            <w:tcBorders>
              <w:top w:val="single" w:sz="12" w:space="0" w:color="auto"/>
              <w:left w:val="single" w:sz="12" w:space="0" w:color="auto"/>
              <w:bottom w:val="single" w:sz="4" w:space="0" w:color="auto"/>
              <w:right w:val="single" w:sz="4" w:space="0" w:color="auto"/>
            </w:tcBorders>
            <w:shd w:val="clear" w:color="000000" w:fill="D9D9D9" w:themeFill="background1" w:themeFillShade="D9"/>
            <w:noWrap/>
            <w:vAlign w:val="bottom"/>
            <w:hideMark/>
          </w:tcPr>
          <w:p w14:paraId="56E0A227" w14:textId="77777777" w:rsidR="000D100B" w:rsidRPr="00BC1ABD" w:rsidRDefault="000D100B" w:rsidP="000D100B">
            <w:pPr>
              <w:spacing w:after="0" w:line="240" w:lineRule="auto"/>
              <w:rPr>
                <w:rFonts w:eastAsia="Times New Roman" w:cs="Calibri"/>
                <w:color w:val="000000"/>
                <w:lang w:val="en-GB" w:eastAsia="sl-SI"/>
              </w:rPr>
            </w:pPr>
            <w:r w:rsidRPr="00BC1ABD">
              <w:rPr>
                <w:rFonts w:eastAsia="Times New Roman" w:cs="Calibri"/>
                <w:color w:val="000000"/>
                <w:lang w:val="en-GB" w:eastAsia="sl-SI"/>
              </w:rPr>
              <w:t> </w:t>
            </w:r>
          </w:p>
        </w:tc>
        <w:tc>
          <w:tcPr>
            <w:tcW w:w="2576" w:type="dxa"/>
            <w:tcBorders>
              <w:top w:val="single" w:sz="12" w:space="0" w:color="auto"/>
              <w:left w:val="nil"/>
              <w:bottom w:val="single" w:sz="4" w:space="0" w:color="auto"/>
              <w:right w:val="single" w:sz="4" w:space="0" w:color="auto"/>
            </w:tcBorders>
            <w:shd w:val="clear" w:color="000000" w:fill="D9D9D9" w:themeFill="background1" w:themeFillShade="D9"/>
            <w:vAlign w:val="bottom"/>
            <w:hideMark/>
          </w:tcPr>
          <w:p w14:paraId="02B998E6"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No of settlements present</w:t>
            </w:r>
          </w:p>
        </w:tc>
        <w:tc>
          <w:tcPr>
            <w:tcW w:w="1662" w:type="dxa"/>
            <w:tcBorders>
              <w:top w:val="single" w:sz="12" w:space="0" w:color="auto"/>
              <w:left w:val="nil"/>
              <w:bottom w:val="single" w:sz="4" w:space="0" w:color="auto"/>
              <w:right w:val="single" w:sz="4" w:space="0" w:color="auto"/>
            </w:tcBorders>
            <w:shd w:val="clear" w:color="000000" w:fill="D9D9D9" w:themeFill="background1" w:themeFillShade="D9"/>
            <w:vAlign w:val="bottom"/>
            <w:hideMark/>
          </w:tcPr>
          <w:p w14:paraId="252B6428"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Population</w:t>
            </w:r>
          </w:p>
        </w:tc>
        <w:tc>
          <w:tcPr>
            <w:tcW w:w="1662" w:type="dxa"/>
            <w:tcBorders>
              <w:top w:val="single" w:sz="12" w:space="0" w:color="auto"/>
              <w:left w:val="nil"/>
              <w:bottom w:val="single" w:sz="4" w:space="0" w:color="auto"/>
              <w:right w:val="single" w:sz="4" w:space="0" w:color="auto"/>
            </w:tcBorders>
            <w:shd w:val="clear" w:color="000000" w:fill="D9D9D9" w:themeFill="background1" w:themeFillShade="D9"/>
            <w:vAlign w:val="bottom"/>
            <w:hideMark/>
          </w:tcPr>
          <w:p w14:paraId="0CAE19A5"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Households</w:t>
            </w:r>
          </w:p>
        </w:tc>
        <w:tc>
          <w:tcPr>
            <w:tcW w:w="1662" w:type="dxa"/>
            <w:tcBorders>
              <w:top w:val="single" w:sz="12" w:space="0" w:color="auto"/>
              <w:left w:val="nil"/>
              <w:bottom w:val="single" w:sz="4" w:space="0" w:color="auto"/>
              <w:right w:val="single" w:sz="12" w:space="0" w:color="auto"/>
            </w:tcBorders>
            <w:shd w:val="clear" w:color="000000" w:fill="D9D9D9" w:themeFill="background1" w:themeFillShade="D9"/>
            <w:vAlign w:val="bottom"/>
            <w:hideMark/>
          </w:tcPr>
          <w:p w14:paraId="0E1A8185" w14:textId="5E7EF3E0" w:rsidR="000D100B" w:rsidRPr="00BC1ABD" w:rsidRDefault="00592449" w:rsidP="000D100B">
            <w:pPr>
              <w:spacing w:after="0" w:line="240" w:lineRule="auto"/>
              <w:rPr>
                <w:rFonts w:eastAsia="Times New Roman" w:cs="Calibri"/>
                <w:b/>
                <w:bCs/>
                <w:color w:val="000000"/>
                <w:lang w:val="en-GB" w:eastAsia="sl-SI"/>
              </w:rPr>
            </w:pPr>
            <w:r>
              <w:rPr>
                <w:rFonts w:eastAsia="Times New Roman" w:cs="Calibri"/>
                <w:b/>
                <w:bCs/>
                <w:color w:val="000000"/>
                <w:lang w:val="en-GB" w:eastAsia="sl-SI"/>
              </w:rPr>
              <w:t>FTTx</w:t>
            </w:r>
            <w:r w:rsidR="000D100B" w:rsidRPr="00BC1ABD">
              <w:rPr>
                <w:rFonts w:eastAsia="Times New Roman" w:cs="Calibri"/>
                <w:b/>
                <w:bCs/>
                <w:color w:val="000000"/>
                <w:lang w:val="en-GB" w:eastAsia="sl-SI"/>
              </w:rPr>
              <w:t xml:space="preserve"> subscribers</w:t>
            </w:r>
          </w:p>
        </w:tc>
      </w:tr>
      <w:tr w:rsidR="000D100B" w:rsidRPr="00BC1ABD" w14:paraId="041FCA1C" w14:textId="77777777" w:rsidTr="00E95C58">
        <w:trPr>
          <w:trHeight w:val="288"/>
          <w:jc w:val="right"/>
        </w:trPr>
        <w:tc>
          <w:tcPr>
            <w:tcW w:w="1686" w:type="dxa"/>
            <w:tcBorders>
              <w:top w:val="nil"/>
              <w:left w:val="single" w:sz="12" w:space="0" w:color="auto"/>
              <w:bottom w:val="single" w:sz="4" w:space="0" w:color="auto"/>
              <w:right w:val="single" w:sz="4" w:space="0" w:color="auto"/>
            </w:tcBorders>
            <w:noWrap/>
            <w:vAlign w:val="bottom"/>
            <w:hideMark/>
          </w:tcPr>
          <w:p w14:paraId="3475FB33"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Magticom</w:t>
            </w:r>
          </w:p>
        </w:tc>
        <w:tc>
          <w:tcPr>
            <w:tcW w:w="2576" w:type="dxa"/>
            <w:tcBorders>
              <w:top w:val="nil"/>
              <w:left w:val="nil"/>
              <w:bottom w:val="single" w:sz="4" w:space="0" w:color="auto"/>
              <w:right w:val="single" w:sz="4" w:space="0" w:color="auto"/>
            </w:tcBorders>
            <w:vAlign w:val="bottom"/>
            <w:hideMark/>
          </w:tcPr>
          <w:p w14:paraId="2D329D42"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602</w:t>
            </w:r>
          </w:p>
        </w:tc>
        <w:tc>
          <w:tcPr>
            <w:tcW w:w="1662" w:type="dxa"/>
            <w:tcBorders>
              <w:top w:val="nil"/>
              <w:left w:val="nil"/>
              <w:bottom w:val="single" w:sz="4" w:space="0" w:color="auto"/>
              <w:right w:val="single" w:sz="4" w:space="0" w:color="auto"/>
            </w:tcBorders>
            <w:vAlign w:val="bottom"/>
            <w:hideMark/>
          </w:tcPr>
          <w:p w14:paraId="09C7BCA1"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2.828.752</w:t>
            </w:r>
          </w:p>
        </w:tc>
        <w:tc>
          <w:tcPr>
            <w:tcW w:w="1662" w:type="dxa"/>
            <w:tcBorders>
              <w:top w:val="nil"/>
              <w:left w:val="nil"/>
              <w:bottom w:val="single" w:sz="4" w:space="0" w:color="auto"/>
              <w:right w:val="single" w:sz="4" w:space="0" w:color="auto"/>
            </w:tcBorders>
            <w:vAlign w:val="bottom"/>
            <w:hideMark/>
          </w:tcPr>
          <w:p w14:paraId="4E9C232F"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999.641</w:t>
            </w:r>
          </w:p>
        </w:tc>
        <w:tc>
          <w:tcPr>
            <w:tcW w:w="1662" w:type="dxa"/>
            <w:tcBorders>
              <w:top w:val="nil"/>
              <w:left w:val="nil"/>
              <w:bottom w:val="single" w:sz="4" w:space="0" w:color="auto"/>
              <w:right w:val="single" w:sz="12" w:space="0" w:color="auto"/>
            </w:tcBorders>
            <w:vAlign w:val="bottom"/>
            <w:hideMark/>
          </w:tcPr>
          <w:p w14:paraId="56FEB2D7"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479.973</w:t>
            </w:r>
          </w:p>
        </w:tc>
      </w:tr>
      <w:tr w:rsidR="000D100B" w:rsidRPr="00BC1ABD" w14:paraId="36ACE012" w14:textId="77777777" w:rsidTr="00E95C58">
        <w:trPr>
          <w:trHeight w:val="288"/>
          <w:jc w:val="right"/>
        </w:trPr>
        <w:tc>
          <w:tcPr>
            <w:tcW w:w="1686" w:type="dxa"/>
            <w:tcBorders>
              <w:top w:val="nil"/>
              <w:left w:val="single" w:sz="12" w:space="0" w:color="auto"/>
              <w:bottom w:val="single" w:sz="4" w:space="0" w:color="auto"/>
              <w:right w:val="single" w:sz="4" w:space="0" w:color="auto"/>
            </w:tcBorders>
            <w:noWrap/>
            <w:vAlign w:val="bottom"/>
            <w:hideMark/>
          </w:tcPr>
          <w:p w14:paraId="52994C24"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SIlknet</w:t>
            </w:r>
          </w:p>
        </w:tc>
        <w:tc>
          <w:tcPr>
            <w:tcW w:w="2576" w:type="dxa"/>
            <w:tcBorders>
              <w:top w:val="nil"/>
              <w:left w:val="nil"/>
              <w:bottom w:val="single" w:sz="4" w:space="0" w:color="auto"/>
              <w:right w:val="single" w:sz="4" w:space="0" w:color="auto"/>
            </w:tcBorders>
            <w:vAlign w:val="bottom"/>
            <w:hideMark/>
          </w:tcPr>
          <w:p w14:paraId="5E0AF537"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71</w:t>
            </w:r>
          </w:p>
        </w:tc>
        <w:tc>
          <w:tcPr>
            <w:tcW w:w="1662" w:type="dxa"/>
            <w:tcBorders>
              <w:top w:val="nil"/>
              <w:left w:val="nil"/>
              <w:bottom w:val="single" w:sz="4" w:space="0" w:color="auto"/>
              <w:right w:val="single" w:sz="4" w:space="0" w:color="auto"/>
            </w:tcBorders>
            <w:vAlign w:val="bottom"/>
            <w:hideMark/>
          </w:tcPr>
          <w:p w14:paraId="656E2DA6"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2.050.762</w:t>
            </w:r>
          </w:p>
        </w:tc>
        <w:tc>
          <w:tcPr>
            <w:tcW w:w="1662" w:type="dxa"/>
            <w:tcBorders>
              <w:top w:val="nil"/>
              <w:left w:val="nil"/>
              <w:bottom w:val="single" w:sz="4" w:space="0" w:color="auto"/>
              <w:right w:val="single" w:sz="4" w:space="0" w:color="auto"/>
            </w:tcBorders>
            <w:vAlign w:val="bottom"/>
            <w:hideMark/>
          </w:tcPr>
          <w:p w14:paraId="4EDA1E02"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769.467</w:t>
            </w:r>
          </w:p>
        </w:tc>
        <w:tc>
          <w:tcPr>
            <w:tcW w:w="1662" w:type="dxa"/>
            <w:tcBorders>
              <w:top w:val="nil"/>
              <w:left w:val="nil"/>
              <w:bottom w:val="single" w:sz="4" w:space="0" w:color="auto"/>
              <w:right w:val="single" w:sz="12" w:space="0" w:color="auto"/>
            </w:tcBorders>
            <w:vAlign w:val="bottom"/>
            <w:hideMark/>
          </w:tcPr>
          <w:p w14:paraId="20BE115D"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275.464</w:t>
            </w:r>
          </w:p>
        </w:tc>
      </w:tr>
      <w:tr w:rsidR="000D100B" w:rsidRPr="00BC1ABD" w14:paraId="631C7923" w14:textId="77777777" w:rsidTr="00E95C58">
        <w:trPr>
          <w:trHeight w:val="288"/>
          <w:jc w:val="right"/>
        </w:trPr>
        <w:tc>
          <w:tcPr>
            <w:tcW w:w="1686" w:type="dxa"/>
            <w:tcBorders>
              <w:top w:val="nil"/>
              <w:left w:val="single" w:sz="12" w:space="0" w:color="auto"/>
              <w:bottom w:val="single" w:sz="4" w:space="0" w:color="auto"/>
              <w:right w:val="single" w:sz="4" w:space="0" w:color="auto"/>
            </w:tcBorders>
            <w:noWrap/>
            <w:vAlign w:val="bottom"/>
            <w:hideMark/>
          </w:tcPr>
          <w:p w14:paraId="211CF0BA"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Skytel</w:t>
            </w:r>
          </w:p>
        </w:tc>
        <w:tc>
          <w:tcPr>
            <w:tcW w:w="2576" w:type="dxa"/>
            <w:tcBorders>
              <w:top w:val="nil"/>
              <w:left w:val="nil"/>
              <w:bottom w:val="single" w:sz="4" w:space="0" w:color="auto"/>
              <w:right w:val="single" w:sz="4" w:space="0" w:color="auto"/>
            </w:tcBorders>
            <w:vAlign w:val="bottom"/>
            <w:hideMark/>
          </w:tcPr>
          <w:p w14:paraId="6E4BCF68"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212</w:t>
            </w:r>
          </w:p>
        </w:tc>
        <w:tc>
          <w:tcPr>
            <w:tcW w:w="1662" w:type="dxa"/>
            <w:tcBorders>
              <w:top w:val="nil"/>
              <w:left w:val="nil"/>
              <w:bottom w:val="single" w:sz="4" w:space="0" w:color="auto"/>
              <w:right w:val="single" w:sz="4" w:space="0" w:color="auto"/>
            </w:tcBorders>
            <w:vAlign w:val="bottom"/>
            <w:hideMark/>
          </w:tcPr>
          <w:p w14:paraId="6D60BFB1"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1.786.979</w:t>
            </w:r>
          </w:p>
        </w:tc>
        <w:tc>
          <w:tcPr>
            <w:tcW w:w="1662" w:type="dxa"/>
            <w:tcBorders>
              <w:top w:val="nil"/>
              <w:left w:val="nil"/>
              <w:bottom w:val="single" w:sz="4" w:space="0" w:color="auto"/>
              <w:right w:val="single" w:sz="4" w:space="0" w:color="auto"/>
            </w:tcBorders>
            <w:vAlign w:val="bottom"/>
            <w:hideMark/>
          </w:tcPr>
          <w:p w14:paraId="33A6CD55"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688.504</w:t>
            </w:r>
          </w:p>
        </w:tc>
        <w:tc>
          <w:tcPr>
            <w:tcW w:w="1662" w:type="dxa"/>
            <w:tcBorders>
              <w:top w:val="nil"/>
              <w:left w:val="nil"/>
              <w:bottom w:val="single" w:sz="4" w:space="0" w:color="auto"/>
              <w:right w:val="single" w:sz="12" w:space="0" w:color="auto"/>
            </w:tcBorders>
            <w:vAlign w:val="bottom"/>
            <w:hideMark/>
          </w:tcPr>
          <w:p w14:paraId="211FFC3D"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13.136</w:t>
            </w:r>
          </w:p>
        </w:tc>
      </w:tr>
      <w:tr w:rsidR="000D100B" w:rsidRPr="00BC1ABD" w14:paraId="0E7F9F92" w14:textId="77777777" w:rsidTr="00E95C58">
        <w:trPr>
          <w:trHeight w:val="300"/>
          <w:jc w:val="right"/>
        </w:trPr>
        <w:tc>
          <w:tcPr>
            <w:tcW w:w="1686" w:type="dxa"/>
            <w:tcBorders>
              <w:top w:val="nil"/>
              <w:left w:val="single" w:sz="12" w:space="0" w:color="auto"/>
              <w:bottom w:val="single" w:sz="12" w:space="0" w:color="auto"/>
              <w:right w:val="single" w:sz="4" w:space="0" w:color="auto"/>
            </w:tcBorders>
            <w:noWrap/>
            <w:vAlign w:val="bottom"/>
            <w:hideMark/>
          </w:tcPr>
          <w:p w14:paraId="566030C5" w14:textId="77777777" w:rsidR="000D100B" w:rsidRPr="00BC1ABD" w:rsidRDefault="000D100B" w:rsidP="000D100B">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Akhali Kselebi</w:t>
            </w:r>
          </w:p>
        </w:tc>
        <w:tc>
          <w:tcPr>
            <w:tcW w:w="2576" w:type="dxa"/>
            <w:tcBorders>
              <w:top w:val="nil"/>
              <w:left w:val="nil"/>
              <w:bottom w:val="single" w:sz="12" w:space="0" w:color="auto"/>
              <w:right w:val="single" w:sz="4" w:space="0" w:color="auto"/>
            </w:tcBorders>
            <w:vAlign w:val="bottom"/>
            <w:hideMark/>
          </w:tcPr>
          <w:p w14:paraId="433BD57A"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14</w:t>
            </w:r>
          </w:p>
        </w:tc>
        <w:tc>
          <w:tcPr>
            <w:tcW w:w="1662" w:type="dxa"/>
            <w:tcBorders>
              <w:top w:val="nil"/>
              <w:left w:val="nil"/>
              <w:bottom w:val="single" w:sz="12" w:space="0" w:color="auto"/>
              <w:right w:val="single" w:sz="4" w:space="0" w:color="auto"/>
            </w:tcBorders>
            <w:vAlign w:val="bottom"/>
            <w:hideMark/>
          </w:tcPr>
          <w:p w14:paraId="69796FFA"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1.565.156</w:t>
            </w:r>
          </w:p>
        </w:tc>
        <w:tc>
          <w:tcPr>
            <w:tcW w:w="1662" w:type="dxa"/>
            <w:tcBorders>
              <w:top w:val="nil"/>
              <w:left w:val="nil"/>
              <w:bottom w:val="single" w:sz="12" w:space="0" w:color="auto"/>
              <w:right w:val="single" w:sz="4" w:space="0" w:color="auto"/>
            </w:tcBorders>
            <w:vAlign w:val="bottom"/>
            <w:hideMark/>
          </w:tcPr>
          <w:p w14:paraId="72C9AEAC"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603.324</w:t>
            </w:r>
          </w:p>
        </w:tc>
        <w:tc>
          <w:tcPr>
            <w:tcW w:w="1662" w:type="dxa"/>
            <w:tcBorders>
              <w:top w:val="nil"/>
              <w:left w:val="nil"/>
              <w:bottom w:val="single" w:sz="12" w:space="0" w:color="auto"/>
              <w:right w:val="single" w:sz="12" w:space="0" w:color="auto"/>
            </w:tcBorders>
            <w:vAlign w:val="bottom"/>
            <w:hideMark/>
          </w:tcPr>
          <w:p w14:paraId="3E3EE90E" w14:textId="77777777" w:rsidR="000D100B" w:rsidRPr="00BC1ABD" w:rsidRDefault="000D100B" w:rsidP="000D100B">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66.542</w:t>
            </w:r>
          </w:p>
        </w:tc>
      </w:tr>
    </w:tbl>
    <w:p w14:paraId="51196394" w14:textId="77777777" w:rsidR="000D100B" w:rsidRPr="00BC1ABD" w:rsidRDefault="000D100B" w:rsidP="000D100B">
      <w:pPr>
        <w:spacing w:line="240" w:lineRule="auto"/>
        <w:jc w:val="center"/>
        <w:rPr>
          <w:rFonts w:asciiTheme="minorHAnsi" w:eastAsia="Times New Roman" w:hAnsiTheme="minorHAnsi"/>
          <w:color w:val="44546A" w:themeColor="text2"/>
          <w:sz w:val="2"/>
          <w:szCs w:val="2"/>
          <w:lang w:val="en-GB"/>
        </w:rPr>
      </w:pPr>
    </w:p>
    <w:p w14:paraId="560DFFCD" w14:textId="77777777" w:rsidR="000D100B" w:rsidRPr="00BC1ABD" w:rsidRDefault="000D100B" w:rsidP="000D100B">
      <w:pPr>
        <w:spacing w:line="240" w:lineRule="auto"/>
        <w:jc w:val="center"/>
        <w:rPr>
          <w:rFonts w:asciiTheme="minorHAnsi" w:eastAsia="Times New Roman" w:hAnsiTheme="minorHAnsi" w:cs="Arial"/>
          <w:i/>
          <w:iCs/>
          <w:color w:val="44546A" w:themeColor="text2"/>
          <w:sz w:val="20"/>
          <w:szCs w:val="20"/>
          <w:lang w:val="en-GB"/>
        </w:rPr>
      </w:pPr>
      <w:r w:rsidRPr="00BC1ABD">
        <w:rPr>
          <w:rFonts w:asciiTheme="minorHAnsi" w:eastAsia="Times New Roman" w:hAnsiTheme="minorHAnsi"/>
          <w:color w:val="44546A" w:themeColor="text2"/>
          <w:sz w:val="20"/>
          <w:szCs w:val="20"/>
          <w:lang w:val="en-GB"/>
        </w:rPr>
        <w:t xml:space="preserve">Source: </w:t>
      </w:r>
      <w:r w:rsidRPr="00BC1ABD">
        <w:rPr>
          <w:rFonts w:asciiTheme="minorHAnsi" w:eastAsia="Times New Roman" w:hAnsiTheme="minorHAnsi" w:cs="Arial"/>
          <w:i/>
          <w:iCs/>
          <w:color w:val="44546A" w:themeColor="text2"/>
          <w:sz w:val="20"/>
          <w:szCs w:val="20"/>
          <w:lang w:val="en-GB"/>
        </w:rPr>
        <w:t>Answers to the Questionnaire on coverage</w:t>
      </w:r>
    </w:p>
    <w:p w14:paraId="5B740B27" w14:textId="025501EC" w:rsidR="000A660E" w:rsidRPr="00B64539" w:rsidRDefault="000D100B" w:rsidP="00B64539">
      <w:pPr>
        <w:spacing w:before="240" w:after="120"/>
        <w:jc w:val="both"/>
        <w:rPr>
          <w:rFonts w:eastAsia="Times New Roman" w:cs="Calibri"/>
          <w:sz w:val="24"/>
          <w:szCs w:val="24"/>
          <w:lang w:val="en-GB"/>
        </w:rPr>
      </w:pPr>
      <w:r w:rsidRPr="00BC1ABD">
        <w:rPr>
          <w:rFonts w:eastAsia="Times New Roman" w:cs="Calibri"/>
          <w:sz w:val="24"/>
          <w:szCs w:val="24"/>
          <w:lang w:val="en-GB"/>
        </w:rPr>
        <w:t xml:space="preserve">The position of Magticom as the market leader is also illustrated by its revenue growth. The revenue shares of the operators </w:t>
      </w:r>
      <w:r w:rsidRPr="00BC1ABD">
        <w:rPr>
          <w:rFonts w:eastAsia="Times New Roman" w:cs="Arial"/>
          <w:sz w:val="24"/>
          <w:szCs w:val="24"/>
          <w:lang w:val="en-GB"/>
        </w:rPr>
        <w:t>follow a similar trend to their respective market shares.</w:t>
      </w:r>
      <w:bookmarkStart w:id="219" w:name="_Toc141200277"/>
    </w:p>
    <w:p w14:paraId="45E24FF2" w14:textId="2E79A9A5" w:rsidR="000D100B" w:rsidRPr="00BC1ABD" w:rsidRDefault="000D100B" w:rsidP="00DD65E2">
      <w:pPr>
        <w:spacing w:after="160" w:line="259" w:lineRule="auto"/>
        <w:jc w:val="center"/>
        <w:rPr>
          <w:rFonts w:asciiTheme="minorHAnsi" w:eastAsia="Times New Roman" w:hAnsiTheme="minorHAnsi" w:cs="Calibri"/>
          <w:i/>
          <w:iCs/>
          <w:color w:val="44546A" w:themeColor="text2"/>
          <w:sz w:val="20"/>
          <w:szCs w:val="20"/>
          <w:lang w:val="en-GB"/>
        </w:rPr>
      </w:pPr>
      <w:bookmarkStart w:id="220" w:name="_Toc152931388"/>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37</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Revenues of fixed broadband access operators</w:t>
      </w:r>
      <w:bookmarkEnd w:id="219"/>
      <w:bookmarkEnd w:id="220"/>
    </w:p>
    <w:p w14:paraId="1621DE05" w14:textId="64AA0002" w:rsidR="000D100B" w:rsidRPr="00BC1ABD" w:rsidRDefault="000D100B" w:rsidP="000D100B">
      <w:pPr>
        <w:spacing w:before="240" w:after="120"/>
        <w:jc w:val="center"/>
        <w:rPr>
          <w:rFonts w:eastAsia="Times New Roman" w:cs="Calibri"/>
          <w:sz w:val="24"/>
          <w:szCs w:val="24"/>
          <w:highlight w:val="yellow"/>
          <w:lang w:val="en-GB"/>
        </w:rPr>
      </w:pPr>
      <w:r w:rsidRPr="00BC1ABD">
        <w:rPr>
          <w:rFonts w:eastAsia="Times New Roman"/>
          <w:noProof/>
          <w:lang w:val="en-GB"/>
        </w:rPr>
        <w:t xml:space="preserve"> </w:t>
      </w:r>
      <w:r w:rsidRPr="00BC1ABD">
        <w:rPr>
          <w:rFonts w:eastAsia="Times New Roman"/>
          <w:noProof/>
          <w:lang w:val="sl-SI" w:eastAsia="sl-SI"/>
        </w:rPr>
        <w:drawing>
          <wp:inline distT="0" distB="0" distL="0" distR="0" wp14:anchorId="4EA2755D" wp14:editId="27E05858">
            <wp:extent cx="4943475" cy="2095500"/>
            <wp:effectExtent l="0" t="0" r="9525" b="0"/>
            <wp:docPr id="1254244007" name="Slika 23" descr="Slika na kojoj se prikazuje crta, radnja, snimka zaslona, obrona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44007" name="Slika 23" descr="Slika na kojoj se prikazuje crta, radnja, snimka zaslona, obronak&#10;&#10;Opis je automatski generira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43475" cy="2095500"/>
                    </a:xfrm>
                    <a:prstGeom prst="rect">
                      <a:avLst/>
                    </a:prstGeom>
                    <a:noFill/>
                    <a:ln>
                      <a:noFill/>
                    </a:ln>
                  </pic:spPr>
                </pic:pic>
              </a:graphicData>
            </a:graphic>
          </wp:inline>
        </w:drawing>
      </w:r>
    </w:p>
    <w:p w14:paraId="2C4F16E5" w14:textId="77777777" w:rsidR="000D100B" w:rsidRPr="00BC1ABD" w:rsidRDefault="000D100B" w:rsidP="000D100B">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712E280E" w14:textId="6C33C0C8"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In addition, development and changes in the prices of retail fixed broadband access bundles from the main operators have taken place in step with each other, within quite close periods of time. For example, in mid-August 2022, Silknet increased the tariff of its internet plus TV bundle in Tbilisi by 13% and elsewhere by 10%. This was closely followed in early September by an increase in Magticom’s internet plus TV bundle of 14% to 17%. This parallelism alone does not prove the absence of effective competition in this market, but this requires further investigation for the later analysis of significant market power (see Chapter </w:t>
      </w:r>
      <w:r w:rsidR="00FD571F">
        <w:rPr>
          <w:rFonts w:eastAsia="Times New Roman" w:cs="Arial"/>
          <w:sz w:val="24"/>
          <w:szCs w:val="24"/>
          <w:lang w:val="en-GB"/>
        </w:rPr>
        <w:t>4</w:t>
      </w:r>
      <w:r w:rsidRPr="00BC1ABD">
        <w:rPr>
          <w:rFonts w:eastAsia="Times New Roman" w:cs="Arial"/>
          <w:sz w:val="24"/>
          <w:szCs w:val="24"/>
          <w:lang w:val="en-GB"/>
        </w:rPr>
        <w:t>.5.2).</w:t>
      </w:r>
    </w:p>
    <w:p w14:paraId="12C38B43" w14:textId="40F505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Regarding </w:t>
      </w:r>
      <w:r w:rsidR="00592449">
        <w:rPr>
          <w:rFonts w:eastAsia="Times New Roman" w:cs="Arial"/>
          <w:sz w:val="24"/>
          <w:szCs w:val="24"/>
          <w:lang w:val="en-GB"/>
        </w:rPr>
        <w:t>FTTx</w:t>
      </w:r>
      <w:r w:rsidRPr="00BC1ABD">
        <w:rPr>
          <w:rFonts w:eastAsia="Times New Roman" w:cs="Arial"/>
          <w:sz w:val="24"/>
          <w:szCs w:val="24"/>
          <w:lang w:val="en-GB"/>
        </w:rPr>
        <w:t xml:space="preserve"> coverage, those areas where Magticom is the single or dominant provider and in the absence of ex-ante regulation, it could try to exercise its stronger position on the market towards other players, which could result in harm for end-users, for example in terms of excessive prices.</w:t>
      </w:r>
    </w:p>
    <w:p w14:paraId="72C24BA6" w14:textId="6ECE44D6"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Generally, where there are lower barriers to market entry, growth and network expansion, then there will be more active competition. Analysing the data from figure </w:t>
      </w:r>
      <w:r w:rsidR="00480D36">
        <w:rPr>
          <w:rFonts w:eastAsia="Times New Roman" w:cs="Arial"/>
          <w:sz w:val="24"/>
          <w:szCs w:val="24"/>
          <w:lang w:val="en-GB"/>
        </w:rPr>
        <w:t>35</w:t>
      </w:r>
      <w:r w:rsidRPr="00BC1ABD">
        <w:rPr>
          <w:rFonts w:eastAsia="Times New Roman" w:cs="Arial"/>
          <w:sz w:val="24"/>
          <w:szCs w:val="24"/>
          <w:lang w:val="en-GB"/>
        </w:rPr>
        <w:t xml:space="preserve"> above, there appear to be existing barriers to expansion for the higher-speed retail fixed broadband market because different operators (although they may be investing in new infrastructure) are not gaining a significant market share, neither do they have national coverage. The reason might be because customers are already locked-in</w:t>
      </w:r>
      <w:r w:rsidRPr="00BC1ABD">
        <w:rPr>
          <w:rFonts w:eastAsia="Times New Roman" w:cs="Arial"/>
          <w:sz w:val="24"/>
          <w:szCs w:val="24"/>
          <w:vertAlign w:val="superscript"/>
          <w:lang w:val="en-GB"/>
        </w:rPr>
        <w:footnoteReference w:id="75"/>
      </w:r>
      <w:r w:rsidRPr="00BC1ABD">
        <w:rPr>
          <w:rFonts w:eastAsia="Times New Roman" w:cs="Arial"/>
          <w:sz w:val="24"/>
          <w:szCs w:val="24"/>
          <w:lang w:val="en-GB"/>
        </w:rPr>
        <w:t xml:space="preserve"> with a certain supplier and do not have sufficient incentive to switch to another operator.</w:t>
      </w:r>
      <w:r w:rsidRPr="00BC1ABD">
        <w:rPr>
          <w:rFonts w:eastAsia="Times New Roman"/>
          <w:lang w:val="en-GB"/>
        </w:rPr>
        <w:t xml:space="preserve"> </w:t>
      </w:r>
    </w:p>
    <w:p w14:paraId="22DD15FE" w14:textId="5E31D72E" w:rsidR="000D100B" w:rsidRPr="00BC1ABD" w:rsidRDefault="000D100B" w:rsidP="000D100B">
      <w:pPr>
        <w:spacing w:before="240"/>
        <w:jc w:val="both"/>
        <w:rPr>
          <w:rFonts w:eastAsia="Times New Roman"/>
          <w:sz w:val="24"/>
          <w:szCs w:val="24"/>
          <w:lang w:val="en-GB"/>
        </w:rPr>
      </w:pPr>
      <w:r w:rsidRPr="00BC1ABD">
        <w:rPr>
          <w:rFonts w:eastAsia="Times New Roman"/>
          <w:sz w:val="24"/>
          <w:szCs w:val="24"/>
          <w:lang w:val="en-GB"/>
        </w:rPr>
        <w:t xml:space="preserve">Although different operators have entered the market, there are still significant barriers to entry and expansion to a national scale, arising from the significant level if investments required. This market entry aspect is considered further in the three criteria test carried out in Chapters </w:t>
      </w:r>
      <w:r w:rsidR="00F1558C">
        <w:rPr>
          <w:rFonts w:eastAsia="Times New Roman"/>
          <w:sz w:val="24"/>
          <w:szCs w:val="24"/>
          <w:lang w:val="en-GB"/>
        </w:rPr>
        <w:t>4.</w:t>
      </w:r>
      <w:r w:rsidRPr="00BC1ABD">
        <w:rPr>
          <w:rFonts w:eastAsia="Times New Roman"/>
          <w:sz w:val="24"/>
          <w:szCs w:val="24"/>
          <w:lang w:val="en-GB"/>
        </w:rPr>
        <w:t>5.</w:t>
      </w:r>
    </w:p>
    <w:p w14:paraId="16A18053" w14:textId="77777777" w:rsidR="000D100B" w:rsidRPr="00BC1ABD" w:rsidRDefault="000D100B" w:rsidP="000D100B">
      <w:pPr>
        <w:spacing w:before="240"/>
        <w:jc w:val="both"/>
        <w:rPr>
          <w:rFonts w:eastAsia="Times New Roman"/>
          <w:sz w:val="24"/>
          <w:szCs w:val="24"/>
          <w:lang w:val="en-GB"/>
        </w:rPr>
      </w:pPr>
      <w:r w:rsidRPr="00BC1ABD">
        <w:rPr>
          <w:rFonts w:eastAsia="Times New Roman"/>
          <w:sz w:val="24"/>
          <w:szCs w:val="24"/>
          <w:lang w:val="en-GB"/>
        </w:rPr>
        <w:t xml:space="preserve">Considering the market shares of operators in the higher-speed retail fixed broadband access markets, although new operators have entered the market it is important to note that these newer players have not increased their overall market share significantly during the last 5 years. This leads to the conclusion that, considering market share dynamics, there is currently no effective competition on the retail market and without </w:t>
      </w:r>
      <w:r w:rsidRPr="00BC1ABD">
        <w:rPr>
          <w:rFonts w:eastAsia="Times New Roman"/>
          <w:i/>
          <w:iCs/>
          <w:sz w:val="24"/>
          <w:szCs w:val="24"/>
          <w:lang w:val="en-GB"/>
        </w:rPr>
        <w:t>ex-ante</w:t>
      </w:r>
      <w:r w:rsidRPr="00BC1ABD">
        <w:rPr>
          <w:rFonts w:eastAsia="Times New Roman"/>
          <w:sz w:val="24"/>
          <w:szCs w:val="24"/>
          <w:lang w:val="en-GB"/>
        </w:rPr>
        <w:t xml:space="preserve"> regulation, effective competition will not develop fully in the future.</w:t>
      </w:r>
    </w:p>
    <w:p w14:paraId="4CC4BBD4"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The second step is to assess the expected or foreseeable market developments over the course of the forward-looking time horizon of this market analysis. In the absence of wholesale regulation, these are the most probable developments in the next three years:</w:t>
      </w:r>
    </w:p>
    <w:p w14:paraId="32669F64" w14:textId="77777777"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It is considered highly likely that (in a modified greenfield scenario</w:t>
      </w:r>
      <w:r w:rsidRPr="00BC1ABD">
        <w:rPr>
          <w:rFonts w:eastAsia="Times New Roman" w:cs="Arial"/>
          <w:sz w:val="24"/>
          <w:szCs w:val="24"/>
          <w:vertAlign w:val="superscript"/>
          <w:lang w:val="en-GB"/>
        </w:rPr>
        <w:footnoteReference w:id="76"/>
      </w:r>
      <w:r w:rsidRPr="00BC1ABD">
        <w:rPr>
          <w:rFonts w:eastAsia="Times New Roman" w:cs="Arial"/>
          <w:sz w:val="24"/>
          <w:szCs w:val="24"/>
          <w:lang w:val="en-GB"/>
        </w:rPr>
        <w:t>) competition would strongly be hampered</w:t>
      </w:r>
      <w:r w:rsidRPr="00AB2683">
        <w:rPr>
          <w:rFonts w:eastAsia="Times New Roman" w:cs="Arial"/>
          <w:sz w:val="24"/>
          <w:szCs w:val="24"/>
          <w:lang w:val="en-GB"/>
        </w:rPr>
        <w:t xml:space="preserve">, </w:t>
      </w:r>
      <w:r w:rsidRPr="00BC1ABD">
        <w:rPr>
          <w:rFonts w:eastAsia="Times New Roman" w:cs="Arial"/>
          <w:sz w:val="24"/>
          <w:szCs w:val="24"/>
          <w:lang w:val="en-GB"/>
        </w:rPr>
        <w:t xml:space="preserve">without appropriate </w:t>
      </w:r>
      <w:r w:rsidRPr="00BC1ABD">
        <w:rPr>
          <w:rFonts w:eastAsia="Times New Roman" w:cs="Arial"/>
          <w:i/>
          <w:iCs/>
          <w:sz w:val="24"/>
          <w:szCs w:val="24"/>
          <w:lang w:val="en-GB"/>
        </w:rPr>
        <w:t>ex-ante</w:t>
      </w:r>
      <w:r w:rsidRPr="00BC1ABD">
        <w:rPr>
          <w:rFonts w:eastAsia="Times New Roman" w:cs="Arial"/>
          <w:sz w:val="24"/>
          <w:szCs w:val="24"/>
          <w:lang w:val="en-GB"/>
        </w:rPr>
        <w:t xml:space="preserve"> regulatory measures in place. In particular, the deployment of competing fixed broadband access networks has been made more likely, among other reasons, due to the introduction of regulated wholesale access to telecommunications ducts. It should also be noted, on the other hand, that the introduction of regulated wholesale access to copper pairs has not been used by alternative operators. This shows that there remain entry barriers to service-based fixed broadband competition.</w:t>
      </w:r>
    </w:p>
    <w:p w14:paraId="25FD7DF8" w14:textId="09575D71"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Although there are no legal or regulatory barriers to entry for new fixed broadband market players, it is not expected that any significant new players will enter the retail higher-speed broadband access market by building an </w:t>
      </w:r>
      <w:r w:rsidR="00592449">
        <w:rPr>
          <w:rFonts w:eastAsia="Times New Roman" w:cs="Arial"/>
          <w:sz w:val="24"/>
          <w:szCs w:val="24"/>
          <w:lang w:val="en-GB"/>
        </w:rPr>
        <w:t>FTTx</w:t>
      </w:r>
      <w:r w:rsidRPr="00BC1ABD">
        <w:rPr>
          <w:rFonts w:eastAsia="Times New Roman" w:cs="Arial"/>
          <w:sz w:val="24"/>
          <w:szCs w:val="24"/>
          <w:lang w:val="en-GB"/>
        </w:rPr>
        <w:t xml:space="preserve"> network with significant coverage. Building such networks requires high investments with high sunk costs in order to challenge the established players.</w:t>
      </w:r>
    </w:p>
    <w:p w14:paraId="08D6673E" w14:textId="77A8702B"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It is not expected that any players already operating in Georgia but without significant </w:t>
      </w:r>
      <w:r w:rsidR="00592449">
        <w:rPr>
          <w:rFonts w:eastAsia="Times New Roman" w:cs="Arial"/>
          <w:sz w:val="24"/>
          <w:szCs w:val="24"/>
          <w:lang w:val="en-GB"/>
        </w:rPr>
        <w:t>FTTx</w:t>
      </w:r>
      <w:r w:rsidRPr="00BC1ABD">
        <w:rPr>
          <w:rFonts w:eastAsia="Times New Roman" w:cs="Arial"/>
          <w:sz w:val="24"/>
          <w:szCs w:val="24"/>
          <w:lang w:val="en-GB"/>
        </w:rPr>
        <w:t xml:space="preserve"> coverage, will invest in expanding their coverage such that they could effectively compete with Magticom and Silknet. The remaining existing players hold only small market shares, and it is highly unlikely that they will undertake such high investments in order to challenge the two largest players within the forward-looking time horizon of this market analysis.</w:t>
      </w:r>
    </w:p>
    <w:p w14:paraId="24436854" w14:textId="013939D0" w:rsidR="000D100B" w:rsidRPr="00BC1ABD" w:rsidRDefault="00C90976" w:rsidP="000D100B">
      <w:pPr>
        <w:numPr>
          <w:ilvl w:val="0"/>
          <w:numId w:val="76"/>
        </w:numPr>
        <w:spacing w:before="240"/>
        <w:contextualSpacing/>
        <w:jc w:val="both"/>
        <w:rPr>
          <w:rFonts w:eastAsia="Times New Roman" w:cs="Arial"/>
          <w:sz w:val="24"/>
          <w:szCs w:val="24"/>
          <w:lang w:val="en-GB"/>
        </w:rPr>
      </w:pPr>
      <w:r>
        <w:rPr>
          <w:rFonts w:eastAsia="Times New Roman" w:cs="Arial"/>
          <w:sz w:val="24"/>
          <w:szCs w:val="24"/>
          <w:lang w:val="en-GB"/>
        </w:rPr>
        <w:t>W</w:t>
      </w:r>
      <w:r w:rsidR="000D100B" w:rsidRPr="00BC1ABD">
        <w:rPr>
          <w:rFonts w:eastAsia="Times New Roman" w:cs="Arial"/>
          <w:sz w:val="24"/>
          <w:szCs w:val="24"/>
          <w:lang w:val="en-GB"/>
        </w:rPr>
        <w:t xml:space="preserve">ith regard to supply-side substitution, it is highly unlikely that, due to the high investments and the significant time needed for national network deployment, any players not currently operating </w:t>
      </w:r>
      <w:r w:rsidR="00592449">
        <w:rPr>
          <w:rFonts w:eastAsia="Times New Roman" w:cs="Arial"/>
          <w:sz w:val="24"/>
          <w:szCs w:val="24"/>
          <w:lang w:val="en-GB"/>
        </w:rPr>
        <w:t>FTTx</w:t>
      </w:r>
      <w:r w:rsidR="000D100B" w:rsidRPr="00BC1ABD">
        <w:rPr>
          <w:rFonts w:eastAsia="Times New Roman" w:cs="Arial"/>
          <w:sz w:val="24"/>
          <w:szCs w:val="24"/>
          <w:lang w:val="en-GB"/>
        </w:rPr>
        <w:t xml:space="preserve"> networks in Georgia, but having other networks (for example Cellfie) could switch to </w:t>
      </w:r>
      <w:r w:rsidR="00592449">
        <w:rPr>
          <w:rFonts w:eastAsia="Times New Roman" w:cs="Arial"/>
          <w:sz w:val="24"/>
          <w:szCs w:val="24"/>
          <w:lang w:val="en-GB"/>
        </w:rPr>
        <w:t>FTTx</w:t>
      </w:r>
      <w:r w:rsidR="000D100B" w:rsidRPr="00BC1ABD">
        <w:rPr>
          <w:rFonts w:eastAsia="Times New Roman" w:cs="Arial"/>
          <w:sz w:val="24"/>
          <w:szCs w:val="24"/>
          <w:lang w:val="en-GB"/>
        </w:rPr>
        <w:t xml:space="preserve"> and exert supply</w:t>
      </w:r>
      <w:r w:rsidR="00F54BCD">
        <w:rPr>
          <w:rFonts w:eastAsia="Times New Roman" w:cs="Arial"/>
          <w:sz w:val="24"/>
          <w:szCs w:val="24"/>
          <w:lang w:val="en-GB"/>
        </w:rPr>
        <w:t>-</w:t>
      </w:r>
      <w:r w:rsidR="000D100B" w:rsidRPr="00BC1ABD">
        <w:rPr>
          <w:rFonts w:eastAsia="Times New Roman" w:cs="Arial"/>
          <w:sz w:val="24"/>
          <w:szCs w:val="24"/>
          <w:lang w:val="en-GB"/>
        </w:rPr>
        <w:t>side pressure in the higher-speed retail fixed broadband access market.</w:t>
      </w:r>
    </w:p>
    <w:p w14:paraId="490617D6" w14:textId="0B6B91CB"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Some new legal and regulatory measures that aim to stimulate investments by reducing the costs of the development of broadband networks, are likely to be in place by the end of 2023. These measures are expected to apply to all market players equally. It is considered unlikely that this potential cost reduction will result in significant increases in new and expanded </w:t>
      </w:r>
      <w:r w:rsidR="00592449">
        <w:rPr>
          <w:rFonts w:eastAsia="Times New Roman" w:cs="Arial"/>
          <w:sz w:val="24"/>
          <w:szCs w:val="24"/>
          <w:lang w:val="en-GB"/>
        </w:rPr>
        <w:t>FTTx</w:t>
      </w:r>
      <w:r w:rsidRPr="00BC1ABD">
        <w:rPr>
          <w:rFonts w:eastAsia="Times New Roman" w:cs="Arial"/>
          <w:sz w:val="24"/>
          <w:szCs w:val="24"/>
          <w:lang w:val="en-GB"/>
        </w:rPr>
        <w:t xml:space="preserve"> networks within the three-year time horizon of this market analysis.</w:t>
      </w:r>
    </w:p>
    <w:p w14:paraId="09CD44DD" w14:textId="72CCCD81"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It is considered that the Magticom (with an existing 55% market share) will remain the operator with the largest </w:t>
      </w:r>
      <w:r w:rsidR="00592449">
        <w:rPr>
          <w:rFonts w:eastAsia="Times New Roman" w:cs="Arial"/>
          <w:sz w:val="24"/>
          <w:szCs w:val="24"/>
          <w:lang w:val="en-GB"/>
        </w:rPr>
        <w:t>FTTx</w:t>
      </w:r>
      <w:r w:rsidRPr="00BC1ABD">
        <w:rPr>
          <w:rFonts w:eastAsia="Times New Roman" w:cs="Arial"/>
          <w:sz w:val="24"/>
          <w:szCs w:val="24"/>
          <w:lang w:val="en-GB"/>
        </w:rPr>
        <w:t xml:space="preserve"> coverage. All the other players, with the possible exception of Silknet, will not be able to compete effectively with Magticom for all customers throughout Georgia. If other </w:t>
      </w:r>
      <w:r w:rsidR="00592449">
        <w:rPr>
          <w:rFonts w:eastAsia="Times New Roman" w:cs="Arial"/>
          <w:sz w:val="24"/>
          <w:szCs w:val="24"/>
          <w:lang w:val="en-GB"/>
        </w:rPr>
        <w:t>FTTx</w:t>
      </w:r>
      <w:r w:rsidRPr="00BC1ABD">
        <w:rPr>
          <w:rFonts w:eastAsia="Times New Roman" w:cs="Arial"/>
          <w:sz w:val="24"/>
          <w:szCs w:val="24"/>
          <w:lang w:val="en-GB"/>
        </w:rPr>
        <w:t xml:space="preserve"> networks are not present in certain areas of Georgia, Magticom and Silknet could act as dominant operators, denying wholesale access, if requested, and charging excessive retail prices to the end-users.</w:t>
      </w:r>
    </w:p>
    <w:p w14:paraId="22D776C7"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It should also be noted that Magticom and Silknet are vertically integrated operators that have the largest market shares plus a well-developed sales and support organisation. This leads to the conclusion that their strong market positions could persist into the future, at least for the forward-looking time horizon of this market analysis. In EU countries it is generally the case that nationwide there is only a single fixed network capable of offering access to broadband, which is similar to the Georgian situation.</w:t>
      </w:r>
    </w:p>
    <w:p w14:paraId="3EF47561" w14:textId="789E4156"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It is therefore concluded that, in this prospective analysis of competitive conditions, the higher-speed retail fixed broadband market is not sufficiently competitive. This conclusion is based on a number of aspects supported by the analysis of </w:t>
      </w:r>
      <w:r w:rsidR="00F026B4">
        <w:rPr>
          <w:rFonts w:eastAsia="Times New Roman" w:cs="Arial"/>
          <w:sz w:val="24"/>
          <w:szCs w:val="24"/>
          <w:lang w:val="en-GB"/>
        </w:rPr>
        <w:t>FTTx</w:t>
      </w:r>
      <w:r w:rsidRPr="00BC1ABD">
        <w:rPr>
          <w:rFonts w:eastAsia="Times New Roman" w:cs="Arial"/>
          <w:sz w:val="24"/>
          <w:szCs w:val="24"/>
          <w:lang w:val="en-GB"/>
        </w:rPr>
        <w:t xml:space="preserve"> coverage and the imbalances amongst the market players in market shares for higher-speed broadband access service and imbalances in the operators’ relative level of national sales and support organisations. Subject to the further analysis and finding of significant market power, regulatory intervention at the wholesale level will be required to address the competition failures at retail level.</w:t>
      </w:r>
    </w:p>
    <w:p w14:paraId="4347CFD9" w14:textId="77777777" w:rsidR="000D100B" w:rsidRPr="00D05711" w:rsidRDefault="000D100B" w:rsidP="00D05711">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21" w:name="_Toc146107820"/>
      <w:bookmarkStart w:id="222" w:name="_Toc169258937"/>
      <w:r w:rsidRPr="00D05711">
        <w:rPr>
          <w:rFonts w:asciiTheme="minorHAnsi" w:hAnsiTheme="minorHAnsi" w:cstheme="minorHAnsi"/>
          <w:b w:val="0"/>
          <w:bCs w:val="0"/>
          <w:sz w:val="24"/>
          <w:szCs w:val="24"/>
          <w:lang w:val="en-GB"/>
        </w:rPr>
        <w:t>Retail basic fixed broadband access market</w:t>
      </w:r>
      <w:bookmarkEnd w:id="221"/>
      <w:bookmarkEnd w:id="222"/>
    </w:p>
    <w:p w14:paraId="34FD87DB" w14:textId="77777777" w:rsidR="000D100B" w:rsidRPr="00BC1ABD" w:rsidRDefault="000D100B" w:rsidP="000D100B">
      <w:pPr>
        <w:shd w:val="clear" w:color="auto" w:fill="FFFFFF"/>
        <w:spacing w:before="300" w:after="300" w:line="360" w:lineRule="atLeast"/>
        <w:jc w:val="both"/>
        <w:rPr>
          <w:rFonts w:eastAsia="Times New Roman" w:cs="Arial"/>
          <w:sz w:val="24"/>
          <w:szCs w:val="24"/>
          <w:lang w:val="en-GB"/>
        </w:rPr>
      </w:pPr>
      <w:r w:rsidRPr="00BC1ABD">
        <w:rPr>
          <w:rFonts w:eastAsia="Times New Roman" w:cs="Arial"/>
          <w:sz w:val="24"/>
          <w:szCs w:val="24"/>
          <w:lang w:val="en-GB"/>
        </w:rPr>
        <w:t>In the same case as for the higher-speed retail fixed broadband access market it should first be noted that there are no legal, administrative or regulatory barriers to entry into the basic retail fixed broadband access market in Georgia.</w:t>
      </w:r>
    </w:p>
    <w:p w14:paraId="7D51B618" w14:textId="20C6755C"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It was concluded in the Chapter </w:t>
      </w:r>
      <w:r w:rsidR="00F620D4">
        <w:rPr>
          <w:rFonts w:eastAsia="Times New Roman" w:cs="Arial"/>
          <w:sz w:val="24"/>
          <w:szCs w:val="24"/>
          <w:lang w:val="en-GB"/>
        </w:rPr>
        <w:t>3</w:t>
      </w:r>
      <w:r w:rsidRPr="00BC1ABD">
        <w:rPr>
          <w:rFonts w:eastAsia="Times New Roman" w:cs="Arial"/>
          <w:sz w:val="24"/>
          <w:szCs w:val="24"/>
          <w:lang w:val="en-GB"/>
        </w:rPr>
        <w:t>.5. that the basic retail fixed broadband access market in Georgia consists of FWA, xDSL and fixed broadband via mobile broadband services in the speed range of up to 10 Mbps, regardless of whether the specified broadband access service is offered alone or bundled with other electronic communications services and regardless of the access speeds provided within this defined speed range. The basic fixed retail broadband access market also has a national geographical dimension.</w:t>
      </w:r>
    </w:p>
    <w:p w14:paraId="42C3B93E" w14:textId="6564D5CE"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The following has been highlighted in Chapter </w:t>
      </w:r>
      <w:r w:rsidR="00F620D4">
        <w:rPr>
          <w:rFonts w:eastAsia="Times New Roman" w:cs="Arial"/>
          <w:sz w:val="24"/>
          <w:szCs w:val="24"/>
          <w:lang w:val="en-GB"/>
        </w:rPr>
        <w:t>3</w:t>
      </w:r>
      <w:r w:rsidRPr="00BC1ABD">
        <w:rPr>
          <w:rFonts w:eastAsia="Times New Roman" w:cs="Arial"/>
          <w:sz w:val="24"/>
          <w:szCs w:val="24"/>
          <w:lang w:val="en-GB"/>
        </w:rPr>
        <w:t>.3 and should be considered in relation to the current level of competition in this market:</w:t>
      </w:r>
    </w:p>
    <w:p w14:paraId="69A6698B" w14:textId="77777777" w:rsidR="000D100B" w:rsidRPr="00BC1ABD" w:rsidRDefault="000D100B" w:rsidP="000D100B">
      <w:pPr>
        <w:numPr>
          <w:ilvl w:val="0"/>
          <w:numId w:val="77"/>
        </w:numPr>
        <w:spacing w:before="240"/>
        <w:contextualSpacing/>
        <w:jc w:val="both"/>
        <w:rPr>
          <w:rFonts w:eastAsia="Times New Roman" w:cs="Arial"/>
          <w:sz w:val="24"/>
          <w:szCs w:val="24"/>
          <w:lang w:val="en-GB"/>
        </w:rPr>
      </w:pPr>
      <w:r w:rsidRPr="00BC1ABD">
        <w:rPr>
          <w:rFonts w:eastAsia="Times New Roman" w:cs="Arial"/>
          <w:sz w:val="24"/>
          <w:szCs w:val="24"/>
          <w:lang w:val="en-GB"/>
        </w:rPr>
        <w:t>FWA – 84 players are providing FWA services in separate geographical locations</w:t>
      </w:r>
    </w:p>
    <w:p w14:paraId="302BFA86" w14:textId="5E2E4405" w:rsidR="000D100B" w:rsidRPr="00BC1ABD" w:rsidRDefault="000D100B" w:rsidP="000D100B">
      <w:pPr>
        <w:numPr>
          <w:ilvl w:val="0"/>
          <w:numId w:val="77"/>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xDSL – Silknet and </w:t>
      </w:r>
      <w:r w:rsidR="001A02CA">
        <w:rPr>
          <w:rFonts w:eastAsia="Times New Roman" w:cs="Arial"/>
          <w:sz w:val="24"/>
          <w:szCs w:val="24"/>
          <w:lang w:val="en-GB"/>
        </w:rPr>
        <w:t>Akhali Kselebi</w:t>
      </w:r>
      <w:r w:rsidRPr="00BC1ABD">
        <w:rPr>
          <w:rFonts w:eastAsia="Times New Roman" w:cs="Arial"/>
          <w:sz w:val="24"/>
          <w:szCs w:val="24"/>
          <w:lang w:val="en-GB"/>
        </w:rPr>
        <w:t xml:space="preserve"> are providing xDSL services in specific geographical locations</w:t>
      </w:r>
    </w:p>
    <w:p w14:paraId="2236B847" w14:textId="77777777" w:rsidR="000D100B" w:rsidRPr="00BC1ABD" w:rsidRDefault="000D100B" w:rsidP="000D100B">
      <w:pPr>
        <w:numPr>
          <w:ilvl w:val="0"/>
          <w:numId w:val="77"/>
        </w:numPr>
        <w:spacing w:before="240"/>
        <w:contextualSpacing/>
        <w:jc w:val="both"/>
        <w:rPr>
          <w:rFonts w:eastAsia="Times New Roman" w:cs="Arial"/>
          <w:sz w:val="24"/>
          <w:szCs w:val="24"/>
          <w:lang w:val="en-GB"/>
        </w:rPr>
      </w:pPr>
      <w:r w:rsidRPr="00BC1ABD">
        <w:rPr>
          <w:rFonts w:eastAsia="Times New Roman" w:cs="Arial"/>
          <w:sz w:val="24"/>
          <w:szCs w:val="24"/>
          <w:lang w:val="en-GB"/>
        </w:rPr>
        <w:t>Mobile broadband – all 3 mobile network operators provide mobile broadband services with national coverage. These mobile networks could choose to offer fixed broadband access in the same market as FWA and xDSL.</w:t>
      </w:r>
    </w:p>
    <w:p w14:paraId="28484E37"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These factors indicate that, although there are some barriers to entry, the retail basic fixed broadband access market currently shows signs of effective competition as there are different operators involved in provision of the services in the market.</w:t>
      </w:r>
    </w:p>
    <w:p w14:paraId="78ED6653"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It should be emphasised that market competition in this market has been achieved without any usage of regulated wholesale access services based on copper pairs, although available. The existing competition in this market is based on separate network infrastructures using a mix of technologies. There has been only very limited use (compared to the high use in EU) of wholesale access services that would increase competition at the retail level. This shows that there is no clear historical trend or experience of service-based fixed broadband competition as competition took place on infrastructure level.</w:t>
      </w:r>
    </w:p>
    <w:p w14:paraId="467B6FE5" w14:textId="7F8DCD2C"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 xml:space="preserve">In a forward-looking perspective and based on the recent trends in the market (see Figure </w:t>
      </w:r>
      <w:r w:rsidR="00973AF6">
        <w:rPr>
          <w:rFonts w:eastAsia="Times New Roman" w:cs="Arial"/>
          <w:sz w:val="24"/>
          <w:szCs w:val="24"/>
          <w:lang w:val="en-GB"/>
        </w:rPr>
        <w:t>21</w:t>
      </w:r>
      <w:r w:rsidRPr="00BC1ABD">
        <w:rPr>
          <w:rFonts w:eastAsia="Times New Roman" w:cs="Arial"/>
          <w:sz w:val="24"/>
          <w:szCs w:val="24"/>
          <w:lang w:val="en-GB"/>
        </w:rPr>
        <w:t xml:space="preserve">) it is expected that many end-users will migrate to higher data speeds based on </w:t>
      </w:r>
      <w:r w:rsidR="00592449">
        <w:rPr>
          <w:rFonts w:eastAsia="Times New Roman" w:cs="Arial"/>
          <w:sz w:val="24"/>
          <w:szCs w:val="24"/>
          <w:lang w:val="en-GB"/>
        </w:rPr>
        <w:t>FTTx</w:t>
      </w:r>
      <w:r w:rsidRPr="00BC1ABD">
        <w:rPr>
          <w:rFonts w:eastAsia="Times New Roman" w:cs="Arial"/>
          <w:sz w:val="24"/>
          <w:szCs w:val="24"/>
          <w:lang w:val="en-GB"/>
        </w:rPr>
        <w:t>. The importance of the retail higher-speed fixed broadband access market will therefore increase.</w:t>
      </w:r>
    </w:p>
    <w:p w14:paraId="088073D8"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Although the FWA and xDSL networks do not have national footprints, the potential competition from the three mobile network operators in this market will not allow the smaller players to exercise any dominance in those geographical areas where there is only one FWA or xDSL network available. This point underlines the main difference between the level of competition in the basic and higher-speed retail fixed broadband markets.</w:t>
      </w:r>
    </w:p>
    <w:p w14:paraId="42E8DC2B" w14:textId="77777777" w:rsidR="000D100B" w:rsidRPr="00BC1ABD" w:rsidRDefault="000D100B" w:rsidP="000D100B">
      <w:pPr>
        <w:spacing w:before="240"/>
        <w:jc w:val="both"/>
        <w:rPr>
          <w:rFonts w:eastAsia="Times New Roman" w:cs="Arial"/>
          <w:sz w:val="24"/>
          <w:szCs w:val="24"/>
          <w:lang w:val="en-GB"/>
        </w:rPr>
      </w:pPr>
      <w:r w:rsidRPr="00BC1ABD">
        <w:rPr>
          <w:rFonts w:eastAsia="Times New Roman" w:cs="Arial"/>
          <w:sz w:val="24"/>
          <w:szCs w:val="24"/>
          <w:lang w:val="en-GB"/>
        </w:rPr>
        <w:t>It is considered that the most probable developments expected in the basic retail fixed broadband access market over the course of the forward-looking time horizon of this market analysis are:</w:t>
      </w:r>
    </w:p>
    <w:p w14:paraId="7A532806" w14:textId="77777777"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It is not expected that local players will undertake high investments in order to achieve national coverage</w:t>
      </w:r>
    </w:p>
    <w:p w14:paraId="6333562E" w14:textId="77777777"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There are no legal or regulatory barriers to entry, so new FWA players could enter, or existing FWA players could expand their markets on a local scale</w:t>
      </w:r>
    </w:p>
    <w:p w14:paraId="437E010C" w14:textId="77777777"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In line with the trends in other countries, some consolidation is expected amongst FWA providers to provide them with better economies of scale</w:t>
      </w:r>
    </w:p>
    <w:p w14:paraId="53FAF722" w14:textId="7E04FCA7"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It is expected that the provision of services via copper-based xDSL will decrease as most of those networks will at some stage be decommissioned and replaced with </w:t>
      </w:r>
      <w:r w:rsidR="00592449">
        <w:rPr>
          <w:rFonts w:eastAsia="Times New Roman" w:cs="Arial"/>
          <w:sz w:val="24"/>
          <w:szCs w:val="24"/>
          <w:lang w:val="en-GB"/>
        </w:rPr>
        <w:t>FTTx</w:t>
      </w:r>
      <w:r w:rsidRPr="00BC1ABD">
        <w:rPr>
          <w:rFonts w:eastAsia="Times New Roman" w:cs="Arial"/>
          <w:sz w:val="24"/>
          <w:szCs w:val="24"/>
          <w:lang w:val="en-GB"/>
        </w:rPr>
        <w:t xml:space="preserve"> networks, which is evidenced by same historical developments</w:t>
      </w:r>
    </w:p>
    <w:p w14:paraId="5DE7C205" w14:textId="752A72DF" w:rsidR="000D100B" w:rsidRPr="00BC1ABD" w:rsidRDefault="000D100B" w:rsidP="000D100B">
      <w:pPr>
        <w:numPr>
          <w:ilvl w:val="0"/>
          <w:numId w:val="7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It is expected that the number of end-users in this market will continue to reduce because, as the more future-proof technologies (notably </w:t>
      </w:r>
      <w:r w:rsidR="00592449">
        <w:rPr>
          <w:rFonts w:eastAsia="Times New Roman" w:cs="Arial"/>
          <w:sz w:val="24"/>
          <w:szCs w:val="24"/>
          <w:lang w:val="en-GB"/>
        </w:rPr>
        <w:t>FTTx</w:t>
      </w:r>
      <w:r w:rsidRPr="00BC1ABD">
        <w:rPr>
          <w:rFonts w:eastAsia="Times New Roman" w:cs="Arial"/>
          <w:sz w:val="24"/>
          <w:szCs w:val="24"/>
          <w:lang w:val="en-GB"/>
        </w:rPr>
        <w:t>) expand, the existing basic users will migrate to higher speeds.</w:t>
      </w:r>
    </w:p>
    <w:p w14:paraId="0ED6DF48" w14:textId="108861DF" w:rsidR="00667DAD" w:rsidRPr="00DE1202" w:rsidRDefault="000D100B" w:rsidP="00793F06">
      <w:pPr>
        <w:spacing w:before="240"/>
        <w:jc w:val="both"/>
        <w:rPr>
          <w:rFonts w:eastAsia="Times New Roman" w:cs="Arial"/>
          <w:sz w:val="24"/>
          <w:szCs w:val="24"/>
          <w:lang w:val="en-GB"/>
        </w:rPr>
      </w:pPr>
      <w:r w:rsidRPr="00DE1202">
        <w:rPr>
          <w:rFonts w:eastAsia="Times New Roman" w:cs="Arial"/>
          <w:sz w:val="24"/>
          <w:szCs w:val="24"/>
          <w:lang w:val="en-GB"/>
        </w:rPr>
        <w:t>It is therefore concluded in this prospective analysis of competitive conditions, that the basic retail fixed broadband access market is characterised by effective competition and so regulatory intervention on the related upstream wholesale markets is not required</w:t>
      </w:r>
      <w:r w:rsidR="00793F06" w:rsidRPr="00DE1202">
        <w:rPr>
          <w:rFonts w:eastAsia="Times New Roman" w:cs="Arial"/>
          <w:sz w:val="24"/>
          <w:szCs w:val="24"/>
          <w:lang w:val="en-GB"/>
        </w:rPr>
        <w:t>.</w:t>
      </w:r>
      <w:r w:rsidR="00667DAD" w:rsidRPr="00DE1202">
        <w:rPr>
          <w:rFonts w:eastAsia="Times New Roman" w:cs="Arial"/>
          <w:sz w:val="24"/>
          <w:szCs w:val="24"/>
          <w:lang w:val="en-GB"/>
        </w:rPr>
        <w:t xml:space="preserve"> </w:t>
      </w:r>
    </w:p>
    <w:p w14:paraId="13A91D71" w14:textId="1327762A" w:rsidR="00B271E6" w:rsidRPr="00DE1202" w:rsidRDefault="0080516E" w:rsidP="0033408C">
      <w:pPr>
        <w:pStyle w:val="Heading2"/>
        <w:numPr>
          <w:ilvl w:val="1"/>
          <w:numId w:val="88"/>
        </w:numPr>
        <w:spacing w:after="240"/>
        <w:rPr>
          <w:lang w:val="en-GB"/>
        </w:rPr>
      </w:pPr>
      <w:bookmarkStart w:id="223" w:name="_Toc169258938"/>
      <w:r w:rsidRPr="00DE1202">
        <w:rPr>
          <w:lang w:val="en-GB"/>
        </w:rPr>
        <w:t xml:space="preserve">Effects on </w:t>
      </w:r>
      <w:r w:rsidR="00FD15E5" w:rsidRPr="00DE1202">
        <w:rPr>
          <w:lang w:val="en-GB"/>
        </w:rPr>
        <w:t>consumers</w:t>
      </w:r>
      <w:bookmarkEnd w:id="223"/>
    </w:p>
    <w:p w14:paraId="3D9E11FE" w14:textId="2A28ABF4" w:rsidR="008F0803" w:rsidRPr="002C4FB1" w:rsidRDefault="00B26401" w:rsidP="00AD43DE">
      <w:pPr>
        <w:jc w:val="both"/>
        <w:rPr>
          <w:rFonts w:eastAsia="Times New Roman" w:cs="Arial"/>
          <w:sz w:val="24"/>
          <w:szCs w:val="24"/>
          <w:lang w:val="en-GB"/>
        </w:rPr>
      </w:pPr>
      <w:r w:rsidRPr="002C4FB1">
        <w:rPr>
          <w:rFonts w:eastAsia="Times New Roman" w:cs="Arial"/>
          <w:sz w:val="24"/>
          <w:szCs w:val="24"/>
          <w:lang w:val="en-GB"/>
        </w:rPr>
        <w:t xml:space="preserve">The prospective lack of competition in the higher-speed retail fixed broadband access market is likely to lead to significant </w:t>
      </w:r>
      <w:r w:rsidR="00AD43DE" w:rsidRPr="002C4FB1">
        <w:rPr>
          <w:rFonts w:eastAsia="Times New Roman" w:cs="Arial"/>
          <w:sz w:val="24"/>
          <w:szCs w:val="24"/>
          <w:lang w:val="en-GB"/>
        </w:rPr>
        <w:t xml:space="preserve">adverse effects on </w:t>
      </w:r>
      <w:r w:rsidR="00713F3C" w:rsidRPr="002C4FB1">
        <w:rPr>
          <w:rFonts w:eastAsia="Times New Roman" w:cs="Arial"/>
          <w:sz w:val="24"/>
          <w:szCs w:val="24"/>
          <w:lang w:val="en-GB"/>
        </w:rPr>
        <w:t>end-users</w:t>
      </w:r>
      <w:r w:rsidR="00664547" w:rsidRPr="002C4FB1">
        <w:rPr>
          <w:rFonts w:eastAsia="Times New Roman" w:cs="Arial"/>
          <w:sz w:val="24"/>
          <w:szCs w:val="24"/>
          <w:lang w:val="en-GB"/>
        </w:rPr>
        <w:t xml:space="preserve"> (‘consumer harm’).</w:t>
      </w:r>
    </w:p>
    <w:p w14:paraId="38C45B60" w14:textId="4EDD4D98" w:rsidR="0033408C" w:rsidRDefault="0033408C" w:rsidP="0033408C">
      <w:pPr>
        <w:jc w:val="both"/>
        <w:rPr>
          <w:rFonts w:eastAsia="Times New Roman" w:cs="Arial"/>
          <w:sz w:val="24"/>
          <w:szCs w:val="24"/>
          <w:lang w:val="en-GB"/>
        </w:rPr>
      </w:pPr>
      <w:r w:rsidRPr="002C4FB1">
        <w:rPr>
          <w:rFonts w:eastAsia="Times New Roman" w:cs="Arial"/>
          <w:sz w:val="24"/>
          <w:szCs w:val="24"/>
          <w:lang w:val="en-GB"/>
        </w:rPr>
        <w:t xml:space="preserve">In comparing Georgian take-up rates with EU countries for speeds of 100 Mbps or higher, it can be seen from Figure 27 that </w:t>
      </w:r>
      <w:r w:rsidR="00664547" w:rsidRPr="002C4FB1">
        <w:rPr>
          <w:rFonts w:eastAsia="Times New Roman" w:cs="Arial"/>
          <w:sz w:val="24"/>
          <w:szCs w:val="24"/>
          <w:lang w:val="en-GB"/>
        </w:rPr>
        <w:t>on</w:t>
      </w:r>
      <w:r w:rsidRPr="002C4FB1">
        <w:rPr>
          <w:rFonts w:eastAsia="Times New Roman" w:cs="Arial"/>
          <w:sz w:val="24"/>
          <w:szCs w:val="24"/>
          <w:lang w:val="en-GB"/>
        </w:rPr>
        <w:t xml:space="preserve"> average in </w:t>
      </w:r>
      <w:r w:rsidR="00664547" w:rsidRPr="002C4FB1">
        <w:rPr>
          <w:rFonts w:eastAsia="Times New Roman" w:cs="Arial"/>
          <w:sz w:val="24"/>
          <w:szCs w:val="24"/>
          <w:lang w:val="en-GB"/>
        </w:rPr>
        <w:t xml:space="preserve">the </w:t>
      </w:r>
      <w:r w:rsidRPr="002C4FB1">
        <w:rPr>
          <w:rFonts w:eastAsia="Times New Roman" w:cs="Arial"/>
          <w:sz w:val="24"/>
          <w:szCs w:val="24"/>
          <w:lang w:val="en-GB"/>
        </w:rPr>
        <w:t>EU</w:t>
      </w:r>
      <w:r w:rsidR="00664547" w:rsidRPr="002C4FB1">
        <w:rPr>
          <w:rFonts w:eastAsia="Times New Roman" w:cs="Arial"/>
          <w:sz w:val="24"/>
          <w:szCs w:val="24"/>
          <w:lang w:val="en-GB"/>
        </w:rPr>
        <w:t>,</w:t>
      </w:r>
      <w:r w:rsidRPr="002C4FB1">
        <w:rPr>
          <w:rFonts w:eastAsia="Times New Roman" w:cs="Arial"/>
          <w:sz w:val="24"/>
          <w:szCs w:val="24"/>
          <w:lang w:val="en-GB"/>
        </w:rPr>
        <w:t xml:space="preserve"> around </w:t>
      </w:r>
      <w:r w:rsidR="003B2BD4" w:rsidRPr="002C4FB1">
        <w:rPr>
          <w:rFonts w:eastAsia="Times New Roman" w:cs="Arial"/>
          <w:sz w:val="24"/>
          <w:szCs w:val="24"/>
          <w:lang w:val="en-GB"/>
        </w:rPr>
        <w:t>5</w:t>
      </w:r>
      <w:r w:rsidRPr="002C4FB1">
        <w:rPr>
          <w:rFonts w:eastAsia="Times New Roman" w:cs="Arial"/>
          <w:sz w:val="24"/>
          <w:szCs w:val="24"/>
          <w:lang w:val="en-GB"/>
        </w:rPr>
        <w:t xml:space="preserve">5% of households have fixed broadband access subscriptions of at least 100 Mbps. In </w:t>
      </w:r>
      <w:r w:rsidR="00ED1FC2" w:rsidRPr="002C4FB1">
        <w:rPr>
          <w:rFonts w:eastAsia="Times New Roman" w:cs="Arial"/>
          <w:sz w:val="24"/>
          <w:szCs w:val="24"/>
          <w:lang w:val="en-GB"/>
        </w:rPr>
        <w:t>ele</w:t>
      </w:r>
      <w:r w:rsidRPr="002C4FB1">
        <w:rPr>
          <w:rFonts w:eastAsia="Times New Roman" w:cs="Arial"/>
          <w:sz w:val="24"/>
          <w:szCs w:val="24"/>
          <w:lang w:val="en-GB"/>
        </w:rPr>
        <w:t xml:space="preserve">ven countries </w:t>
      </w:r>
      <w:r w:rsidR="00075E99" w:rsidRPr="002C4FB1">
        <w:rPr>
          <w:rFonts w:eastAsia="Times New Roman" w:cs="Arial"/>
          <w:sz w:val="24"/>
          <w:szCs w:val="24"/>
          <w:lang w:val="en-GB"/>
        </w:rPr>
        <w:t xml:space="preserve">more than </w:t>
      </w:r>
      <w:r w:rsidRPr="002C4FB1">
        <w:rPr>
          <w:rFonts w:eastAsia="Times New Roman" w:cs="Arial"/>
          <w:sz w:val="24"/>
          <w:szCs w:val="24"/>
          <w:lang w:val="en-GB"/>
        </w:rPr>
        <w:t>40% of households use at least 100 Mbps</w:t>
      </w:r>
      <w:r w:rsidR="00075E99" w:rsidRPr="002C4FB1">
        <w:rPr>
          <w:rFonts w:eastAsia="Times New Roman" w:cs="Arial"/>
          <w:sz w:val="24"/>
          <w:szCs w:val="24"/>
          <w:lang w:val="en-GB"/>
        </w:rPr>
        <w:t xml:space="preserve">, while in three countries </w:t>
      </w:r>
      <w:r w:rsidR="003B68A3" w:rsidRPr="002C4FB1">
        <w:rPr>
          <w:rFonts w:eastAsia="Times New Roman" w:cs="Arial"/>
          <w:sz w:val="24"/>
          <w:szCs w:val="24"/>
          <w:lang w:val="en-GB"/>
        </w:rPr>
        <w:t>more than 80% of households</w:t>
      </w:r>
      <w:r w:rsidR="003B68A3" w:rsidRPr="005B2F71">
        <w:rPr>
          <w:lang w:val="en-GB"/>
        </w:rPr>
        <w:t xml:space="preserve"> </w:t>
      </w:r>
      <w:r w:rsidR="003B68A3" w:rsidRPr="002C4FB1">
        <w:rPr>
          <w:rFonts w:eastAsia="Times New Roman" w:cs="Arial"/>
          <w:sz w:val="24"/>
          <w:szCs w:val="24"/>
          <w:lang w:val="en-GB"/>
        </w:rPr>
        <w:t>use at least 100 Mbps</w:t>
      </w:r>
      <w:r w:rsidRPr="002C4FB1">
        <w:rPr>
          <w:rFonts w:eastAsia="Times New Roman" w:cs="Arial"/>
          <w:sz w:val="24"/>
          <w:szCs w:val="24"/>
          <w:lang w:val="en-GB"/>
        </w:rPr>
        <w:t xml:space="preserve">. In Georgia, only 1% of users have subscriptions of 100 Mbps or above. Based on the retail price benchmarking study carried out by ComCom, the high-speed fixed broadband retail prices in Georgia are significantly higher than EU countries. In the mid-range part of the market down to the lowest speeds, Georgia compares more favourably with EU countries on retail </w:t>
      </w:r>
      <w:r w:rsidR="00664547" w:rsidRPr="002C4FB1">
        <w:rPr>
          <w:rFonts w:eastAsia="Times New Roman" w:cs="Arial"/>
          <w:sz w:val="24"/>
          <w:szCs w:val="24"/>
          <w:lang w:val="en-GB"/>
        </w:rPr>
        <w:t xml:space="preserve">broadband </w:t>
      </w:r>
      <w:r w:rsidRPr="002C4FB1">
        <w:rPr>
          <w:rFonts w:eastAsia="Times New Roman" w:cs="Arial"/>
          <w:sz w:val="24"/>
          <w:szCs w:val="24"/>
          <w:lang w:val="en-GB"/>
        </w:rPr>
        <w:t>prices.</w:t>
      </w:r>
    </w:p>
    <w:p w14:paraId="098B56B3" w14:textId="21FDAE2D" w:rsidR="00EA7A1F" w:rsidRPr="005B2F71" w:rsidRDefault="00EA7A1F" w:rsidP="005B2F71">
      <w:pPr>
        <w:spacing w:before="100" w:beforeAutospacing="1" w:after="100" w:afterAutospacing="1" w:line="240" w:lineRule="auto"/>
        <w:jc w:val="both"/>
        <w:rPr>
          <w:rFonts w:eastAsia="Times New Roman" w:cs="Arial"/>
          <w:sz w:val="24"/>
          <w:szCs w:val="24"/>
          <w:lang w:val="en-GB"/>
        </w:rPr>
      </w:pPr>
      <w:r w:rsidRPr="005B2F71">
        <w:rPr>
          <w:rFonts w:eastAsia="Times New Roman" w:cs="Arial"/>
          <w:sz w:val="24"/>
          <w:szCs w:val="24"/>
          <w:highlight w:val="yellow"/>
          <w:lang w:val="en-GB"/>
        </w:rPr>
        <w:t>The</w:t>
      </w:r>
      <w:r w:rsidR="00621703">
        <w:rPr>
          <w:rFonts w:eastAsia="Times New Roman" w:cs="Arial"/>
          <w:sz w:val="24"/>
          <w:szCs w:val="24"/>
          <w:highlight w:val="yellow"/>
          <w:lang w:val="en-GB"/>
        </w:rPr>
        <w:t xml:space="preserve"> </w:t>
      </w:r>
      <w:r w:rsidRPr="005B2F71">
        <w:rPr>
          <w:rFonts w:eastAsia="Times New Roman" w:cs="Arial"/>
          <w:sz w:val="24"/>
          <w:szCs w:val="24"/>
          <w:highlight w:val="yellow"/>
          <w:lang w:val="en-GB"/>
        </w:rPr>
        <w:t>ComCom benchmarking study results show that the 100 Mbps fixed broadband FTTx standalone offer</w:t>
      </w:r>
      <w:r w:rsidR="00621703">
        <w:rPr>
          <w:rFonts w:eastAsia="Times New Roman" w:cs="Arial"/>
          <w:sz w:val="24"/>
          <w:szCs w:val="24"/>
          <w:highlight w:val="yellow"/>
          <w:lang w:val="en-GB"/>
        </w:rPr>
        <w:t xml:space="preserve"> </w:t>
      </w:r>
      <w:r w:rsidRPr="005B2F71">
        <w:rPr>
          <w:rFonts w:eastAsia="Times New Roman" w:cs="Arial"/>
          <w:sz w:val="24"/>
          <w:szCs w:val="24"/>
          <w:highlight w:val="yellow"/>
          <w:lang w:val="en-GB"/>
        </w:rPr>
        <w:t>is 2.4 times more expensive (in 2023 PPP terms) than the equivalent average price</w:t>
      </w:r>
      <w:r w:rsidR="00621703">
        <w:rPr>
          <w:rFonts w:eastAsia="Times New Roman" w:cs="Arial"/>
          <w:sz w:val="24"/>
          <w:szCs w:val="24"/>
          <w:highlight w:val="yellow"/>
          <w:lang w:val="en-GB"/>
        </w:rPr>
        <w:t xml:space="preserve"> </w:t>
      </w:r>
      <w:r w:rsidRPr="005B2F71">
        <w:rPr>
          <w:rFonts w:eastAsia="Times New Roman" w:cs="Arial"/>
          <w:sz w:val="24"/>
          <w:szCs w:val="24"/>
          <w:highlight w:val="yellow"/>
          <w:lang w:val="en-GB"/>
        </w:rPr>
        <w:t xml:space="preserve">in the 23 EU countries surveyed. For a 25 Mbps offer (all technologies) Georgia's price is 12% lower in </w:t>
      </w:r>
      <w:r w:rsidR="00621703">
        <w:rPr>
          <w:rFonts w:eastAsia="Times New Roman" w:cs="Arial"/>
          <w:sz w:val="24"/>
          <w:szCs w:val="24"/>
          <w:highlight w:val="yellow"/>
          <w:lang w:val="en-GB"/>
        </w:rPr>
        <w:t xml:space="preserve">the Georgian </w:t>
      </w:r>
      <w:r w:rsidRPr="005B2F71">
        <w:rPr>
          <w:rFonts w:eastAsia="Times New Roman" w:cs="Arial"/>
          <w:sz w:val="24"/>
          <w:szCs w:val="24"/>
          <w:highlight w:val="yellow"/>
          <w:lang w:val="en-GB"/>
        </w:rPr>
        <w:t>regions and around the equivalent EU average prices in Tbilisi. At the lowest speeds (0.25 Mbps) Georgia prices are lower or around the EU equivalent average prices.</w:t>
      </w:r>
    </w:p>
    <w:p w14:paraId="69700561" w14:textId="77777777" w:rsidR="00EA7A1F" w:rsidRPr="002C4FB1" w:rsidRDefault="00EA7A1F" w:rsidP="0033408C">
      <w:pPr>
        <w:jc w:val="both"/>
        <w:rPr>
          <w:rFonts w:eastAsia="Times New Roman" w:cs="Arial"/>
          <w:sz w:val="24"/>
          <w:szCs w:val="24"/>
          <w:lang w:val="en-GB"/>
        </w:rPr>
      </w:pPr>
    </w:p>
    <w:p w14:paraId="6CD6C295" w14:textId="236FAFB8" w:rsidR="0033408C" w:rsidRPr="002C4FB1" w:rsidRDefault="0033408C" w:rsidP="0033408C">
      <w:pPr>
        <w:jc w:val="both"/>
        <w:rPr>
          <w:rFonts w:eastAsia="Times New Roman" w:cs="Arial"/>
          <w:sz w:val="24"/>
          <w:szCs w:val="24"/>
          <w:lang w:val="en-GB"/>
        </w:rPr>
      </w:pPr>
      <w:r w:rsidRPr="002C4FB1">
        <w:rPr>
          <w:rFonts w:eastAsia="Times New Roman" w:cs="Arial"/>
          <w:sz w:val="24"/>
          <w:szCs w:val="24"/>
          <w:lang w:val="en-GB"/>
        </w:rPr>
        <w:t xml:space="preserve">This gives a strong indication that there may </w:t>
      </w:r>
      <w:r w:rsidR="00664547" w:rsidRPr="002C4FB1">
        <w:rPr>
          <w:rFonts w:eastAsia="Times New Roman" w:cs="Arial"/>
          <w:sz w:val="24"/>
          <w:szCs w:val="24"/>
          <w:lang w:val="en-GB"/>
        </w:rPr>
        <w:t xml:space="preserve">already </w:t>
      </w:r>
      <w:r w:rsidRPr="002C4FB1">
        <w:rPr>
          <w:rFonts w:eastAsia="Times New Roman" w:cs="Arial"/>
          <w:sz w:val="24"/>
          <w:szCs w:val="24"/>
          <w:lang w:val="en-GB"/>
        </w:rPr>
        <w:t>be</w:t>
      </w:r>
      <w:r w:rsidR="00C846D0" w:rsidRPr="002C4FB1">
        <w:rPr>
          <w:rFonts w:eastAsia="Times New Roman" w:cs="Arial"/>
          <w:sz w:val="24"/>
          <w:szCs w:val="24"/>
          <w:lang w:val="en-GB"/>
        </w:rPr>
        <w:t xml:space="preserve"> </w:t>
      </w:r>
      <w:r w:rsidRPr="002C4FB1">
        <w:rPr>
          <w:rFonts w:eastAsia="Times New Roman" w:cs="Arial"/>
          <w:sz w:val="24"/>
          <w:szCs w:val="24"/>
          <w:lang w:val="en-GB"/>
        </w:rPr>
        <w:t>some pricing/ affordability issues with higher speeds using FTTx in Georgia</w:t>
      </w:r>
      <w:r w:rsidR="00A339A0" w:rsidRPr="002C4FB1">
        <w:rPr>
          <w:rFonts w:eastAsia="Times New Roman" w:cs="Arial"/>
          <w:sz w:val="24"/>
          <w:szCs w:val="24"/>
          <w:lang w:val="en-GB"/>
        </w:rPr>
        <w:t xml:space="preserve"> that results </w:t>
      </w:r>
      <w:r w:rsidR="00C17D27" w:rsidRPr="002C4FB1">
        <w:rPr>
          <w:rFonts w:eastAsia="Times New Roman" w:cs="Arial"/>
          <w:sz w:val="24"/>
          <w:szCs w:val="24"/>
          <w:lang w:val="en-GB"/>
        </w:rPr>
        <w:t>in</w:t>
      </w:r>
      <w:r w:rsidR="00A339A0" w:rsidRPr="002C4FB1">
        <w:rPr>
          <w:rFonts w:eastAsia="Times New Roman" w:cs="Arial"/>
          <w:sz w:val="24"/>
          <w:szCs w:val="24"/>
          <w:lang w:val="en-GB"/>
        </w:rPr>
        <w:t xml:space="preserve"> harm to end user</w:t>
      </w:r>
      <w:r w:rsidR="00E67296" w:rsidRPr="002C4FB1">
        <w:rPr>
          <w:rFonts w:eastAsia="Times New Roman" w:cs="Arial"/>
          <w:sz w:val="24"/>
          <w:szCs w:val="24"/>
          <w:lang w:val="en-GB"/>
        </w:rPr>
        <w:t>s</w:t>
      </w:r>
      <w:r w:rsidR="00664547" w:rsidRPr="002C4FB1">
        <w:rPr>
          <w:rFonts w:eastAsia="Times New Roman" w:cs="Arial"/>
          <w:sz w:val="24"/>
          <w:szCs w:val="24"/>
          <w:lang w:val="en-GB"/>
        </w:rPr>
        <w:t xml:space="preserve">. Georgian </w:t>
      </w:r>
      <w:r w:rsidR="00B0118F" w:rsidRPr="002C4FB1">
        <w:rPr>
          <w:rFonts w:eastAsia="Times New Roman" w:cs="Arial"/>
          <w:sz w:val="24"/>
          <w:szCs w:val="24"/>
          <w:lang w:val="en-GB"/>
        </w:rPr>
        <w:t>end users</w:t>
      </w:r>
      <w:r w:rsidR="00664547" w:rsidRPr="002C4FB1">
        <w:rPr>
          <w:rFonts w:eastAsia="Times New Roman" w:cs="Arial"/>
          <w:sz w:val="24"/>
          <w:szCs w:val="24"/>
          <w:lang w:val="en-GB"/>
        </w:rPr>
        <w:t>, a</w:t>
      </w:r>
      <w:r w:rsidRPr="002C4FB1">
        <w:rPr>
          <w:rFonts w:eastAsia="Times New Roman" w:cs="Arial"/>
          <w:sz w:val="24"/>
          <w:szCs w:val="24"/>
          <w:lang w:val="en-GB"/>
        </w:rPr>
        <w:t xml:space="preserve">lthough having fibre technology access </w:t>
      </w:r>
      <w:r w:rsidR="00664547" w:rsidRPr="002C4FB1">
        <w:rPr>
          <w:rFonts w:eastAsia="Times New Roman" w:cs="Arial"/>
          <w:sz w:val="24"/>
          <w:szCs w:val="24"/>
          <w:lang w:val="en-GB"/>
        </w:rPr>
        <w:t>at</w:t>
      </w:r>
      <w:r w:rsidRPr="002C4FB1">
        <w:rPr>
          <w:rFonts w:eastAsia="Times New Roman" w:cs="Arial"/>
          <w:sz w:val="24"/>
          <w:szCs w:val="24"/>
          <w:lang w:val="en-GB"/>
        </w:rPr>
        <w:t xml:space="preserve"> their premises, are not yet contracting significantly to the highe</w:t>
      </w:r>
      <w:r w:rsidR="00664547" w:rsidRPr="002C4FB1">
        <w:rPr>
          <w:rFonts w:eastAsia="Times New Roman" w:cs="Arial"/>
          <w:sz w:val="24"/>
          <w:szCs w:val="24"/>
          <w:lang w:val="en-GB"/>
        </w:rPr>
        <w:t>r</w:t>
      </w:r>
      <w:r w:rsidRPr="002C4FB1">
        <w:rPr>
          <w:rFonts w:eastAsia="Times New Roman" w:cs="Arial"/>
          <w:sz w:val="24"/>
          <w:szCs w:val="24"/>
          <w:lang w:val="en-GB"/>
        </w:rPr>
        <w:t xml:space="preserve"> speeds.</w:t>
      </w:r>
    </w:p>
    <w:p w14:paraId="4DACDA90" w14:textId="2E89FDF8" w:rsidR="00593039" w:rsidRPr="00593039" w:rsidRDefault="00C5616B" w:rsidP="00593039">
      <w:pPr>
        <w:jc w:val="both"/>
        <w:rPr>
          <w:rFonts w:eastAsia="Times New Roman" w:cs="Arial"/>
          <w:sz w:val="24"/>
          <w:szCs w:val="24"/>
          <w:lang w:val="en-US"/>
        </w:rPr>
      </w:pPr>
      <w:r w:rsidRPr="002C4FB1">
        <w:rPr>
          <w:rFonts w:eastAsia="Times New Roman" w:cs="Arial"/>
          <w:sz w:val="24"/>
          <w:szCs w:val="24"/>
          <w:lang w:val="en-US"/>
        </w:rPr>
        <w:t>I</w:t>
      </w:r>
      <w:r w:rsidR="00437144" w:rsidRPr="002C4FB1">
        <w:rPr>
          <w:rFonts w:eastAsia="Times New Roman" w:cs="Arial"/>
          <w:sz w:val="24"/>
          <w:szCs w:val="24"/>
          <w:lang w:val="en-US"/>
        </w:rPr>
        <w:t xml:space="preserve">t is likely that this </w:t>
      </w:r>
      <w:r w:rsidR="00664547" w:rsidRPr="002C4FB1">
        <w:rPr>
          <w:rFonts w:eastAsia="Times New Roman" w:cs="Arial"/>
          <w:sz w:val="24"/>
          <w:szCs w:val="24"/>
          <w:lang w:val="en-US"/>
        </w:rPr>
        <w:t>consumer</w:t>
      </w:r>
      <w:r w:rsidRPr="002C4FB1">
        <w:rPr>
          <w:rFonts w:eastAsia="Times New Roman" w:cs="Arial"/>
          <w:sz w:val="24"/>
          <w:szCs w:val="24"/>
          <w:lang w:val="en-US"/>
        </w:rPr>
        <w:t xml:space="preserve"> harm will persist in the absence of </w:t>
      </w:r>
      <w:r w:rsidR="00664547" w:rsidRPr="002C4FB1">
        <w:rPr>
          <w:rFonts w:eastAsia="Times New Roman" w:cs="Arial"/>
          <w:sz w:val="24"/>
          <w:szCs w:val="24"/>
          <w:lang w:val="en-US"/>
        </w:rPr>
        <w:t xml:space="preserve">the </w:t>
      </w:r>
      <w:r w:rsidRPr="002C4FB1">
        <w:rPr>
          <w:rFonts w:eastAsia="Times New Roman" w:cs="Arial"/>
          <w:sz w:val="24"/>
          <w:szCs w:val="24"/>
          <w:lang w:val="en-US"/>
        </w:rPr>
        <w:t xml:space="preserve">competitive constraints </w:t>
      </w:r>
      <w:r w:rsidR="00664547" w:rsidRPr="002C4FB1">
        <w:rPr>
          <w:rFonts w:eastAsia="Times New Roman" w:cs="Arial"/>
          <w:sz w:val="24"/>
          <w:szCs w:val="24"/>
          <w:lang w:val="en-US"/>
        </w:rPr>
        <w:t>which</w:t>
      </w:r>
      <w:r w:rsidRPr="002C4FB1">
        <w:rPr>
          <w:rFonts w:eastAsia="Times New Roman" w:cs="Arial"/>
          <w:sz w:val="24"/>
          <w:szCs w:val="24"/>
          <w:lang w:val="en-US"/>
        </w:rPr>
        <w:t xml:space="preserve"> </w:t>
      </w:r>
      <w:r w:rsidR="0046403A" w:rsidRPr="002C4FB1">
        <w:rPr>
          <w:rFonts w:eastAsia="Times New Roman" w:cs="Arial"/>
          <w:sz w:val="24"/>
          <w:szCs w:val="24"/>
          <w:lang w:val="en-US"/>
        </w:rPr>
        <w:t>c</w:t>
      </w:r>
      <w:r w:rsidRPr="002C4FB1">
        <w:rPr>
          <w:rFonts w:eastAsia="Times New Roman" w:cs="Arial"/>
          <w:sz w:val="24"/>
          <w:szCs w:val="24"/>
          <w:lang w:val="en-US"/>
        </w:rPr>
        <w:t>ou</w:t>
      </w:r>
      <w:r w:rsidR="00807DD8" w:rsidRPr="002C4FB1">
        <w:rPr>
          <w:rFonts w:eastAsia="Times New Roman" w:cs="Arial"/>
          <w:sz w:val="24"/>
          <w:szCs w:val="24"/>
          <w:lang w:val="en-US"/>
        </w:rPr>
        <w:t xml:space="preserve">ld be brought about by the entry of </w:t>
      </w:r>
      <w:r w:rsidR="00664547" w:rsidRPr="002C4FB1">
        <w:rPr>
          <w:rFonts w:eastAsia="Times New Roman" w:cs="Arial"/>
          <w:sz w:val="24"/>
          <w:szCs w:val="24"/>
          <w:lang w:val="en-US"/>
        </w:rPr>
        <w:t xml:space="preserve">new </w:t>
      </w:r>
      <w:r w:rsidR="00807DD8" w:rsidRPr="002C4FB1">
        <w:rPr>
          <w:rFonts w:eastAsia="Times New Roman" w:cs="Arial"/>
          <w:sz w:val="24"/>
          <w:szCs w:val="24"/>
          <w:lang w:val="en-US"/>
        </w:rPr>
        <w:t>competitors</w:t>
      </w:r>
      <w:r w:rsidR="00A55A41" w:rsidRPr="002C4FB1">
        <w:rPr>
          <w:rFonts w:eastAsia="Times New Roman" w:cs="Arial"/>
          <w:sz w:val="24"/>
          <w:szCs w:val="24"/>
          <w:lang w:val="en-US"/>
        </w:rPr>
        <w:t xml:space="preserve"> </w:t>
      </w:r>
      <w:r w:rsidR="004B0FAD" w:rsidRPr="002C4FB1">
        <w:rPr>
          <w:rFonts w:eastAsia="Times New Roman" w:cs="Arial"/>
          <w:sz w:val="24"/>
          <w:szCs w:val="24"/>
          <w:lang w:val="en-US"/>
        </w:rPr>
        <w:t xml:space="preserve">in the retail market </w:t>
      </w:r>
      <w:r w:rsidR="00A55A41" w:rsidRPr="002C4FB1">
        <w:rPr>
          <w:rFonts w:eastAsia="Times New Roman" w:cs="Arial"/>
          <w:sz w:val="24"/>
          <w:szCs w:val="24"/>
          <w:lang w:val="en-US"/>
        </w:rPr>
        <w:t xml:space="preserve">which could base their business case on using </w:t>
      </w:r>
      <w:r w:rsidR="00EC61EB" w:rsidRPr="002C4FB1">
        <w:rPr>
          <w:rFonts w:eastAsia="Times New Roman" w:cs="Arial"/>
          <w:sz w:val="24"/>
          <w:szCs w:val="24"/>
          <w:lang w:val="en-US"/>
        </w:rPr>
        <w:t xml:space="preserve">regulated </w:t>
      </w:r>
      <w:r w:rsidR="00A55A41" w:rsidRPr="002C4FB1">
        <w:rPr>
          <w:rFonts w:eastAsia="Times New Roman" w:cs="Arial"/>
          <w:sz w:val="24"/>
          <w:szCs w:val="24"/>
          <w:lang w:val="en-US"/>
        </w:rPr>
        <w:t>wholesale access infrastructure</w:t>
      </w:r>
      <w:r w:rsidR="006D2B9D" w:rsidRPr="002C4FB1">
        <w:rPr>
          <w:rFonts w:eastAsia="Times New Roman" w:cs="Arial"/>
          <w:sz w:val="24"/>
          <w:szCs w:val="24"/>
          <w:lang w:val="en-US"/>
        </w:rPr>
        <w:t xml:space="preserve"> only</w:t>
      </w:r>
      <w:r w:rsidR="00664547" w:rsidRPr="002C4FB1">
        <w:rPr>
          <w:rFonts w:eastAsia="Times New Roman" w:cs="Arial"/>
          <w:sz w:val="24"/>
          <w:szCs w:val="24"/>
          <w:lang w:val="en-US"/>
        </w:rPr>
        <w:t>. These competitors</w:t>
      </w:r>
      <w:r w:rsidR="00807DD8" w:rsidRPr="002C4FB1">
        <w:rPr>
          <w:rFonts w:eastAsia="Times New Roman" w:cs="Arial"/>
          <w:sz w:val="24"/>
          <w:szCs w:val="24"/>
          <w:lang w:val="en-US"/>
        </w:rPr>
        <w:t xml:space="preserve"> </w:t>
      </w:r>
      <w:r w:rsidR="00E91E22" w:rsidRPr="002C4FB1">
        <w:rPr>
          <w:rFonts w:eastAsia="Times New Roman" w:cs="Arial"/>
          <w:sz w:val="24"/>
          <w:szCs w:val="24"/>
          <w:lang w:val="en-US"/>
        </w:rPr>
        <w:t xml:space="preserve">would have an interest in </w:t>
      </w:r>
      <w:r w:rsidR="00FA68E9" w:rsidRPr="002C4FB1">
        <w:rPr>
          <w:rFonts w:eastAsia="Times New Roman" w:cs="Arial"/>
          <w:sz w:val="24"/>
          <w:szCs w:val="24"/>
          <w:lang w:val="en-US"/>
        </w:rPr>
        <w:t xml:space="preserve">promoting </w:t>
      </w:r>
      <w:r w:rsidR="00A31442" w:rsidRPr="002C4FB1">
        <w:rPr>
          <w:rFonts w:eastAsia="Times New Roman" w:cs="Arial"/>
          <w:sz w:val="24"/>
          <w:szCs w:val="24"/>
          <w:lang w:val="en-US"/>
        </w:rPr>
        <w:t>higher speed offerings</w:t>
      </w:r>
      <w:r w:rsidR="00664547" w:rsidRPr="002C4FB1">
        <w:rPr>
          <w:rFonts w:eastAsia="Times New Roman" w:cs="Arial"/>
          <w:sz w:val="24"/>
          <w:szCs w:val="24"/>
          <w:lang w:val="en-US"/>
        </w:rPr>
        <w:t>,</w:t>
      </w:r>
      <w:r w:rsidR="00AC67BE" w:rsidRPr="002C4FB1">
        <w:rPr>
          <w:rFonts w:eastAsia="Times New Roman" w:cs="Arial"/>
          <w:sz w:val="24"/>
          <w:szCs w:val="24"/>
          <w:lang w:val="en-US"/>
        </w:rPr>
        <w:t xml:space="preserve"> exploit</w:t>
      </w:r>
      <w:r w:rsidR="00664547" w:rsidRPr="002C4FB1">
        <w:rPr>
          <w:rFonts w:eastAsia="Times New Roman" w:cs="Arial"/>
          <w:sz w:val="24"/>
          <w:szCs w:val="24"/>
          <w:lang w:val="en-US"/>
        </w:rPr>
        <w:t>ing</w:t>
      </w:r>
      <w:r w:rsidR="00AC67BE" w:rsidRPr="002C4FB1">
        <w:rPr>
          <w:rFonts w:eastAsia="Times New Roman" w:cs="Arial"/>
          <w:sz w:val="24"/>
          <w:szCs w:val="24"/>
          <w:lang w:val="en-US"/>
        </w:rPr>
        <w:t xml:space="preserve"> th</w:t>
      </w:r>
      <w:r w:rsidR="0032342B" w:rsidRPr="002C4FB1">
        <w:rPr>
          <w:rFonts w:eastAsia="Times New Roman" w:cs="Arial"/>
          <w:sz w:val="24"/>
          <w:szCs w:val="24"/>
          <w:lang w:val="en-US"/>
        </w:rPr>
        <w:t>is app</w:t>
      </w:r>
      <w:r w:rsidR="00713F3C" w:rsidRPr="002C4FB1">
        <w:rPr>
          <w:rFonts w:eastAsia="Times New Roman" w:cs="Arial"/>
          <w:sz w:val="24"/>
          <w:szCs w:val="24"/>
          <w:lang w:val="en-US"/>
        </w:rPr>
        <w:t>arent</w:t>
      </w:r>
      <w:r w:rsidR="00AC67BE" w:rsidRPr="002C4FB1">
        <w:rPr>
          <w:rFonts w:eastAsia="Times New Roman" w:cs="Arial"/>
          <w:sz w:val="24"/>
          <w:szCs w:val="24"/>
          <w:lang w:val="en-US"/>
        </w:rPr>
        <w:t xml:space="preserve"> market</w:t>
      </w:r>
      <w:r w:rsidR="0032342B" w:rsidRPr="002C4FB1">
        <w:rPr>
          <w:rFonts w:eastAsia="Times New Roman" w:cs="Arial"/>
          <w:sz w:val="24"/>
          <w:szCs w:val="24"/>
          <w:lang w:val="en-US"/>
        </w:rPr>
        <w:t xml:space="preserve"> gap</w:t>
      </w:r>
      <w:r w:rsidR="00A31442" w:rsidRPr="002C4FB1">
        <w:rPr>
          <w:rFonts w:eastAsia="Times New Roman" w:cs="Arial"/>
          <w:sz w:val="24"/>
          <w:szCs w:val="24"/>
          <w:lang w:val="en-US"/>
        </w:rPr>
        <w:t>.</w:t>
      </w:r>
      <w:r w:rsidR="007A1EAA" w:rsidRPr="002C4FB1">
        <w:rPr>
          <w:rFonts w:eastAsia="Times New Roman" w:cs="Arial"/>
          <w:sz w:val="24"/>
          <w:szCs w:val="24"/>
          <w:lang w:val="en-US"/>
        </w:rPr>
        <w:t xml:space="preserve"> </w:t>
      </w:r>
      <w:r w:rsidR="006A79B1" w:rsidRPr="002C4FB1">
        <w:rPr>
          <w:rFonts w:eastAsia="Times New Roman" w:cs="Arial"/>
          <w:sz w:val="24"/>
          <w:szCs w:val="24"/>
          <w:lang w:val="en-US"/>
        </w:rPr>
        <w:t>Therefore, th</w:t>
      </w:r>
      <w:r w:rsidR="00BC1CCA" w:rsidRPr="002C4FB1">
        <w:rPr>
          <w:rFonts w:eastAsia="Times New Roman" w:cs="Arial"/>
          <w:sz w:val="24"/>
          <w:szCs w:val="24"/>
          <w:lang w:val="en-US"/>
        </w:rPr>
        <w:t>e negative</w:t>
      </w:r>
      <w:r w:rsidR="006A79B1" w:rsidRPr="002C4FB1">
        <w:rPr>
          <w:rFonts w:eastAsia="Times New Roman" w:cs="Arial"/>
          <w:sz w:val="24"/>
          <w:szCs w:val="24"/>
          <w:lang w:val="en-US"/>
        </w:rPr>
        <w:t xml:space="preserve"> effect on end-users </w:t>
      </w:r>
      <w:r w:rsidR="002A12BE" w:rsidRPr="002C4FB1">
        <w:rPr>
          <w:rFonts w:eastAsia="Times New Roman" w:cs="Arial"/>
          <w:sz w:val="24"/>
          <w:szCs w:val="24"/>
          <w:lang w:val="en-US"/>
        </w:rPr>
        <w:t>should</w:t>
      </w:r>
      <w:r w:rsidR="006A79B1" w:rsidRPr="002C4FB1">
        <w:rPr>
          <w:rFonts w:eastAsia="Times New Roman" w:cs="Arial"/>
          <w:sz w:val="24"/>
          <w:szCs w:val="24"/>
          <w:lang w:val="en-US"/>
        </w:rPr>
        <w:t xml:space="preserve"> be addressed by </w:t>
      </w:r>
      <w:r w:rsidR="000F476C" w:rsidRPr="002C4FB1">
        <w:rPr>
          <w:rFonts w:eastAsia="Times New Roman" w:cs="Arial"/>
          <w:i/>
          <w:iCs/>
          <w:sz w:val="24"/>
          <w:szCs w:val="24"/>
          <w:lang w:val="en-US"/>
        </w:rPr>
        <w:t>ex-ante</w:t>
      </w:r>
      <w:r w:rsidR="000F476C" w:rsidRPr="002C4FB1">
        <w:rPr>
          <w:rFonts w:eastAsia="Times New Roman" w:cs="Arial"/>
          <w:sz w:val="24"/>
          <w:szCs w:val="24"/>
          <w:lang w:val="en-US"/>
        </w:rPr>
        <w:t xml:space="preserve"> regulation on the corresponding wholesale market(s)</w:t>
      </w:r>
      <w:r w:rsidR="000D1E57" w:rsidRPr="002C4FB1">
        <w:rPr>
          <w:rFonts w:eastAsia="Times New Roman" w:cs="Arial"/>
          <w:sz w:val="24"/>
          <w:szCs w:val="24"/>
          <w:lang w:val="en-US"/>
        </w:rPr>
        <w:t xml:space="preserve"> in the framework of this market review</w:t>
      </w:r>
      <w:r w:rsidR="000F476C" w:rsidRPr="002C4FB1">
        <w:rPr>
          <w:rFonts w:eastAsia="Times New Roman" w:cs="Arial"/>
          <w:sz w:val="24"/>
          <w:szCs w:val="24"/>
          <w:lang w:val="en-US"/>
        </w:rPr>
        <w:t>.</w:t>
      </w:r>
    </w:p>
    <w:p w14:paraId="379882E2" w14:textId="77777777" w:rsidR="0033408C" w:rsidRPr="0033408C" w:rsidRDefault="0033408C" w:rsidP="0033408C">
      <w:pPr>
        <w:rPr>
          <w:lang w:val="en-GB"/>
        </w:rPr>
      </w:pPr>
    </w:p>
    <w:p w14:paraId="0B388B5A" w14:textId="77777777" w:rsidR="00623C3F" w:rsidRPr="00BC1ABD" w:rsidRDefault="00623C3F" w:rsidP="00623C3F">
      <w:pPr>
        <w:rPr>
          <w:lang w:val="en-GB"/>
        </w:rPr>
      </w:pPr>
    </w:p>
    <w:p w14:paraId="28B7095F" w14:textId="77777777" w:rsidR="00623C3F" w:rsidRPr="00BC1ABD" w:rsidRDefault="00623C3F" w:rsidP="00623C3F">
      <w:pPr>
        <w:rPr>
          <w:lang w:val="en-GB"/>
        </w:rPr>
      </w:pPr>
    </w:p>
    <w:p w14:paraId="3373BB88" w14:textId="41DDB625" w:rsidR="000A660E" w:rsidRDefault="000A660E">
      <w:pPr>
        <w:spacing w:after="160" w:line="259" w:lineRule="auto"/>
        <w:rPr>
          <w:lang w:val="en-GB"/>
        </w:rPr>
      </w:pPr>
      <w:r>
        <w:rPr>
          <w:lang w:val="en-GB"/>
        </w:rPr>
        <w:br w:type="page"/>
      </w:r>
    </w:p>
    <w:p w14:paraId="59DB44DA" w14:textId="33EF7BF3" w:rsidR="00B271E6" w:rsidRPr="00BC1ABD" w:rsidRDefault="00B271E6" w:rsidP="00EB11F7">
      <w:pPr>
        <w:pStyle w:val="Heading1"/>
        <w:numPr>
          <w:ilvl w:val="0"/>
          <w:numId w:val="88"/>
        </w:numPr>
        <w:rPr>
          <w:lang w:val="en-GB"/>
        </w:rPr>
      </w:pPr>
      <w:bookmarkStart w:id="224" w:name="_Toc169258939"/>
      <w:r w:rsidRPr="00BC1ABD">
        <w:rPr>
          <w:lang w:val="en-GB"/>
        </w:rPr>
        <w:t>Analysis</w:t>
      </w:r>
      <w:r w:rsidR="00090CD1" w:rsidRPr="00BC1ABD">
        <w:rPr>
          <w:lang w:val="en-GB"/>
        </w:rPr>
        <w:t xml:space="preserve"> </w:t>
      </w:r>
      <w:r w:rsidRPr="00BC1ABD">
        <w:rPr>
          <w:lang w:val="en-GB"/>
        </w:rPr>
        <w:t>of the upstream wholesale markets related to local and central access at a fixed location (markets 3a and 3b from EU Recommendation 2014)</w:t>
      </w:r>
      <w:bookmarkEnd w:id="224"/>
      <w:r w:rsidRPr="00BC1ABD">
        <w:rPr>
          <w:lang w:val="en-GB"/>
        </w:rPr>
        <w:tab/>
      </w:r>
    </w:p>
    <w:p w14:paraId="202431CE" w14:textId="78998012" w:rsidR="00986BEA" w:rsidRPr="00986BEA" w:rsidRDefault="00986BEA" w:rsidP="00986BEA">
      <w:pPr>
        <w:spacing w:before="240" w:after="0"/>
        <w:jc w:val="both"/>
        <w:rPr>
          <w:rFonts w:eastAsia="Times New Roman" w:cs="Arial"/>
          <w:sz w:val="24"/>
          <w:szCs w:val="24"/>
          <w:lang w:val="en-GB"/>
        </w:rPr>
      </w:pPr>
      <w:r w:rsidRPr="00986BEA">
        <w:rPr>
          <w:rFonts w:eastAsia="Times New Roman" w:cs="Arial"/>
          <w:sz w:val="24"/>
          <w:szCs w:val="24"/>
          <w:lang w:val="en-GB"/>
        </w:rPr>
        <w:t>ComCom imposes</w:t>
      </w:r>
      <w:r w:rsidR="008338F2">
        <w:rPr>
          <w:rFonts w:eastAsia="Times New Roman" w:cs="Arial"/>
          <w:sz w:val="24"/>
          <w:szCs w:val="24"/>
          <w:lang w:val="en-GB"/>
        </w:rPr>
        <w:t xml:space="preserve"> </w:t>
      </w:r>
      <w:r w:rsidR="008338F2" w:rsidRPr="00E517D9">
        <w:rPr>
          <w:rFonts w:eastAsia="Times New Roman" w:cs="Arial"/>
          <w:i/>
          <w:iCs/>
          <w:sz w:val="24"/>
          <w:szCs w:val="24"/>
          <w:lang w:val="en-GB"/>
        </w:rPr>
        <w:t>ex-ante</w:t>
      </w:r>
      <w:r w:rsidRPr="00986BEA">
        <w:rPr>
          <w:rFonts w:eastAsia="Times New Roman" w:cs="Arial"/>
          <w:sz w:val="24"/>
          <w:szCs w:val="24"/>
          <w:lang w:val="en-GB"/>
        </w:rPr>
        <w:t xml:space="preserve"> </w:t>
      </w:r>
      <w:r w:rsidR="008338F2">
        <w:rPr>
          <w:rFonts w:eastAsia="Times New Roman" w:cs="Arial"/>
          <w:sz w:val="24"/>
          <w:szCs w:val="24"/>
          <w:lang w:val="en-GB"/>
        </w:rPr>
        <w:t xml:space="preserve">regulation on </w:t>
      </w:r>
      <w:r w:rsidRPr="00986BEA">
        <w:rPr>
          <w:rFonts w:eastAsia="Times New Roman" w:cs="Arial"/>
          <w:sz w:val="24"/>
          <w:szCs w:val="24"/>
          <w:lang w:val="en-GB"/>
        </w:rPr>
        <w:t>wholesale access to ducts controlled by telecommunications operators, while non-telecommunications providers are not regulated yet. Access to non-telecommunications physical infrastructures is offered on the basis of commercial agreements between the owners of the infrastructures and the access seekers.</w:t>
      </w:r>
    </w:p>
    <w:p w14:paraId="5E1F5C86" w14:textId="273C989B" w:rsidR="00020562" w:rsidRDefault="00986BEA" w:rsidP="00986BEA">
      <w:pPr>
        <w:spacing w:before="240" w:after="0"/>
        <w:jc w:val="both"/>
        <w:rPr>
          <w:rFonts w:eastAsia="Times New Roman" w:cs="Arial"/>
          <w:sz w:val="24"/>
          <w:szCs w:val="24"/>
          <w:lang w:val="en-GB"/>
        </w:rPr>
      </w:pPr>
      <w:r w:rsidRPr="00986BEA">
        <w:rPr>
          <w:rFonts w:eastAsia="Times New Roman" w:cs="Arial"/>
          <w:sz w:val="24"/>
          <w:szCs w:val="24"/>
          <w:lang w:val="en-GB"/>
        </w:rPr>
        <w:t xml:space="preserve">However, this </w:t>
      </w:r>
      <w:r w:rsidRPr="00E517D9">
        <w:rPr>
          <w:rFonts w:eastAsia="Times New Roman" w:cs="Arial"/>
          <w:i/>
          <w:iCs/>
          <w:sz w:val="24"/>
          <w:szCs w:val="24"/>
          <w:lang w:val="en-GB"/>
        </w:rPr>
        <w:t>ex-ante</w:t>
      </w:r>
      <w:r w:rsidRPr="00986BEA">
        <w:rPr>
          <w:rFonts w:eastAsia="Times New Roman" w:cs="Arial"/>
          <w:sz w:val="24"/>
          <w:szCs w:val="24"/>
          <w:lang w:val="en-GB"/>
        </w:rPr>
        <w:t xml:space="preserve"> regulation and the commercial agreements concluded did not suffice on their own to solve the competition problem </w:t>
      </w:r>
      <w:r w:rsidR="00C36AE7">
        <w:rPr>
          <w:rFonts w:eastAsia="Times New Roman" w:cs="Arial"/>
          <w:sz w:val="24"/>
          <w:szCs w:val="24"/>
          <w:lang w:val="en-GB"/>
        </w:rPr>
        <w:t xml:space="preserve">on the higher-speed fixed broadband access market </w:t>
      </w:r>
      <w:r w:rsidRPr="00986BEA">
        <w:rPr>
          <w:rFonts w:eastAsia="Times New Roman" w:cs="Arial"/>
          <w:sz w:val="24"/>
          <w:szCs w:val="24"/>
          <w:lang w:val="en-GB"/>
        </w:rPr>
        <w:t xml:space="preserve">identified at retail level. The extension of the obligation to provide access to ducts </w:t>
      </w:r>
      <w:r w:rsidR="00C36AE7">
        <w:rPr>
          <w:rFonts w:eastAsia="Times New Roman" w:cs="Arial"/>
          <w:sz w:val="24"/>
          <w:szCs w:val="24"/>
          <w:lang w:val="en-GB"/>
        </w:rPr>
        <w:t xml:space="preserve">also </w:t>
      </w:r>
      <w:r w:rsidRPr="00986BEA">
        <w:rPr>
          <w:rFonts w:eastAsia="Times New Roman" w:cs="Arial"/>
          <w:sz w:val="24"/>
          <w:szCs w:val="24"/>
          <w:lang w:val="en-GB"/>
        </w:rPr>
        <w:t xml:space="preserve">to </w:t>
      </w:r>
      <w:r w:rsidR="00C36AE7">
        <w:rPr>
          <w:rFonts w:eastAsia="Times New Roman" w:cs="Arial"/>
          <w:sz w:val="24"/>
          <w:szCs w:val="24"/>
          <w:lang w:val="en-GB"/>
        </w:rPr>
        <w:t xml:space="preserve">include </w:t>
      </w:r>
      <w:r w:rsidRPr="00986BEA">
        <w:rPr>
          <w:rFonts w:eastAsia="Times New Roman" w:cs="Arial"/>
          <w:sz w:val="24"/>
          <w:szCs w:val="24"/>
          <w:lang w:val="en-GB"/>
        </w:rPr>
        <w:t>access to poles</w:t>
      </w:r>
      <w:r w:rsidR="004E4A99">
        <w:rPr>
          <w:rFonts w:eastAsia="Times New Roman" w:cs="Arial"/>
          <w:sz w:val="24"/>
          <w:szCs w:val="24"/>
          <w:lang w:val="en-GB"/>
        </w:rPr>
        <w:t xml:space="preserve"> and non-telecommunications physical infrastructures</w:t>
      </w:r>
      <w:r w:rsidRPr="00986BEA">
        <w:rPr>
          <w:rFonts w:eastAsia="Times New Roman" w:cs="Arial"/>
          <w:sz w:val="24"/>
          <w:szCs w:val="24"/>
          <w:lang w:val="en-GB"/>
        </w:rPr>
        <w:t xml:space="preserve">, if imposed, is also not expected to </w:t>
      </w:r>
      <w:r w:rsidR="004C211E">
        <w:rPr>
          <w:rFonts w:eastAsia="Times New Roman" w:cs="Arial"/>
          <w:sz w:val="24"/>
          <w:szCs w:val="24"/>
          <w:lang w:val="en-GB"/>
        </w:rPr>
        <w:t>be sufficient</w:t>
      </w:r>
      <w:r w:rsidRPr="00986BEA">
        <w:rPr>
          <w:rFonts w:eastAsia="Times New Roman" w:cs="Arial"/>
          <w:sz w:val="24"/>
          <w:szCs w:val="24"/>
          <w:lang w:val="en-GB"/>
        </w:rPr>
        <w:t xml:space="preserve"> to </w:t>
      </w:r>
      <w:r w:rsidR="004C211E">
        <w:rPr>
          <w:rFonts w:eastAsia="Times New Roman" w:cs="Arial"/>
          <w:sz w:val="24"/>
          <w:szCs w:val="24"/>
          <w:lang w:val="en-GB"/>
        </w:rPr>
        <w:t>avoid</w:t>
      </w:r>
      <w:r w:rsidRPr="00986BEA">
        <w:rPr>
          <w:rFonts w:eastAsia="Times New Roman" w:cs="Arial"/>
          <w:sz w:val="24"/>
          <w:szCs w:val="24"/>
          <w:lang w:val="en-GB"/>
        </w:rPr>
        <w:t xml:space="preserve"> significant consumer harm (see chapters 3.6.1 and 3.7.)</w:t>
      </w:r>
      <w:r w:rsidR="004C211E">
        <w:rPr>
          <w:rFonts w:eastAsia="Times New Roman" w:cs="Arial"/>
          <w:sz w:val="24"/>
          <w:szCs w:val="24"/>
          <w:lang w:val="en-GB"/>
        </w:rPr>
        <w:t xml:space="preserve">. </w:t>
      </w:r>
      <w:r w:rsidR="00E65997">
        <w:rPr>
          <w:rFonts w:eastAsia="Times New Roman" w:cs="Arial"/>
          <w:sz w:val="24"/>
          <w:szCs w:val="24"/>
          <w:lang w:val="en-GB"/>
        </w:rPr>
        <w:t>E</w:t>
      </w:r>
      <w:r w:rsidRPr="00986BEA">
        <w:rPr>
          <w:rFonts w:eastAsia="Times New Roman" w:cs="Arial"/>
          <w:sz w:val="24"/>
          <w:szCs w:val="24"/>
          <w:lang w:val="en-GB"/>
        </w:rPr>
        <w:t xml:space="preserve">ven when such access would be effectively available, </w:t>
      </w:r>
      <w:r w:rsidR="00E65997">
        <w:rPr>
          <w:rFonts w:eastAsia="Times New Roman" w:cs="Arial"/>
          <w:sz w:val="24"/>
          <w:szCs w:val="24"/>
          <w:lang w:val="en-GB"/>
        </w:rPr>
        <w:t xml:space="preserve">the </w:t>
      </w:r>
      <w:r w:rsidRPr="00986BEA">
        <w:rPr>
          <w:rFonts w:eastAsia="Times New Roman" w:cs="Arial"/>
          <w:sz w:val="24"/>
          <w:szCs w:val="24"/>
          <w:lang w:val="en-GB"/>
        </w:rPr>
        <w:t>deploy</w:t>
      </w:r>
      <w:r w:rsidR="00E65997">
        <w:rPr>
          <w:rFonts w:eastAsia="Times New Roman" w:cs="Arial"/>
          <w:sz w:val="24"/>
          <w:szCs w:val="24"/>
          <w:lang w:val="en-GB"/>
        </w:rPr>
        <w:t>ment of</w:t>
      </w:r>
      <w:r w:rsidRPr="00986BEA">
        <w:rPr>
          <w:rFonts w:eastAsia="Times New Roman" w:cs="Arial"/>
          <w:sz w:val="24"/>
          <w:szCs w:val="24"/>
          <w:lang w:val="en-GB"/>
        </w:rPr>
        <w:t xml:space="preserve"> competing F</w:t>
      </w:r>
      <w:r w:rsidR="00E65997">
        <w:rPr>
          <w:rFonts w:eastAsia="Times New Roman" w:cs="Arial"/>
          <w:sz w:val="24"/>
          <w:szCs w:val="24"/>
          <w:lang w:val="en-GB"/>
        </w:rPr>
        <w:t>TT</w:t>
      </w:r>
      <w:r w:rsidRPr="00986BEA">
        <w:rPr>
          <w:rFonts w:eastAsia="Times New Roman" w:cs="Arial"/>
          <w:sz w:val="24"/>
          <w:szCs w:val="24"/>
          <w:lang w:val="en-GB"/>
        </w:rPr>
        <w:t xml:space="preserve">x networks will require substantial time and </w:t>
      </w:r>
      <w:r w:rsidR="00E65997">
        <w:rPr>
          <w:rFonts w:eastAsia="Times New Roman" w:cs="Arial"/>
          <w:sz w:val="24"/>
          <w:szCs w:val="24"/>
          <w:lang w:val="en-GB"/>
        </w:rPr>
        <w:t xml:space="preserve">will </w:t>
      </w:r>
      <w:r w:rsidRPr="00986BEA">
        <w:rPr>
          <w:rFonts w:eastAsia="Times New Roman" w:cs="Arial"/>
          <w:sz w:val="24"/>
          <w:szCs w:val="24"/>
          <w:lang w:val="en-GB"/>
        </w:rPr>
        <w:t xml:space="preserve">not </w:t>
      </w:r>
      <w:r w:rsidR="00E65997">
        <w:rPr>
          <w:rFonts w:eastAsia="Times New Roman" w:cs="Arial"/>
          <w:sz w:val="24"/>
          <w:szCs w:val="24"/>
          <w:lang w:val="en-GB"/>
        </w:rPr>
        <w:t>have an impact</w:t>
      </w:r>
      <w:r w:rsidRPr="00986BEA">
        <w:rPr>
          <w:rFonts w:eastAsia="Times New Roman" w:cs="Arial"/>
          <w:sz w:val="24"/>
          <w:szCs w:val="24"/>
          <w:lang w:val="en-GB"/>
        </w:rPr>
        <w:t xml:space="preserve"> within the </w:t>
      </w:r>
      <w:r w:rsidR="00E65997">
        <w:rPr>
          <w:rFonts w:eastAsia="Times New Roman" w:cs="Arial"/>
          <w:sz w:val="24"/>
          <w:szCs w:val="24"/>
          <w:lang w:val="en-GB"/>
        </w:rPr>
        <w:t xml:space="preserve">forward-looking </w:t>
      </w:r>
      <w:r w:rsidRPr="00986BEA">
        <w:rPr>
          <w:rFonts w:eastAsia="Times New Roman" w:cs="Arial"/>
          <w:sz w:val="24"/>
          <w:szCs w:val="24"/>
          <w:lang w:val="en-GB"/>
        </w:rPr>
        <w:t>times</w:t>
      </w:r>
      <w:r w:rsidR="00E65997">
        <w:rPr>
          <w:rFonts w:eastAsia="Times New Roman" w:cs="Arial"/>
          <w:sz w:val="24"/>
          <w:szCs w:val="24"/>
          <w:lang w:val="en-GB"/>
        </w:rPr>
        <w:t>cale</w:t>
      </w:r>
      <w:r w:rsidRPr="00986BEA">
        <w:rPr>
          <w:rFonts w:eastAsia="Times New Roman" w:cs="Arial"/>
          <w:sz w:val="24"/>
          <w:szCs w:val="24"/>
          <w:lang w:val="en-GB"/>
        </w:rPr>
        <w:t xml:space="preserve"> of this market review. Therefore, it is concluded that action on </w:t>
      </w:r>
      <w:r w:rsidR="0037479D" w:rsidRPr="0037479D">
        <w:rPr>
          <w:rFonts w:eastAsia="Times New Roman" w:cs="Arial"/>
          <w:sz w:val="24"/>
          <w:szCs w:val="24"/>
          <w:lang w:val="en-GB"/>
        </w:rPr>
        <w:t xml:space="preserve">the </w:t>
      </w:r>
      <w:r w:rsidRPr="0037479D">
        <w:rPr>
          <w:rFonts w:eastAsia="Times New Roman" w:cs="Arial"/>
          <w:sz w:val="24"/>
          <w:szCs w:val="24"/>
          <w:lang w:val="en-GB"/>
        </w:rPr>
        <w:t>wholesale market</w:t>
      </w:r>
      <w:r w:rsidR="0037479D">
        <w:rPr>
          <w:rFonts w:eastAsia="Times New Roman" w:cs="Arial"/>
          <w:sz w:val="24"/>
          <w:szCs w:val="24"/>
          <w:lang w:val="en-GB"/>
        </w:rPr>
        <w:t xml:space="preserve">s further downstream from the wholesale market </w:t>
      </w:r>
      <w:r w:rsidR="00E31B19">
        <w:rPr>
          <w:rFonts w:eastAsia="Times New Roman" w:cs="Arial"/>
          <w:sz w:val="24"/>
          <w:szCs w:val="24"/>
          <w:lang w:val="en-GB"/>
        </w:rPr>
        <w:t xml:space="preserve">of access to physical infrastructure </w:t>
      </w:r>
      <w:r w:rsidRPr="00986BEA">
        <w:rPr>
          <w:rFonts w:eastAsia="Times New Roman" w:cs="Arial"/>
          <w:sz w:val="24"/>
          <w:szCs w:val="24"/>
          <w:lang w:val="en-GB"/>
        </w:rPr>
        <w:t>should be justified in order to deal with the lack of competition on the higher-speed retail fixed broadband market</w:t>
      </w:r>
      <w:r w:rsidR="00052B29" w:rsidRPr="00986BEA">
        <w:rPr>
          <w:rFonts w:eastAsia="Times New Roman" w:cs="Arial"/>
          <w:sz w:val="24"/>
          <w:szCs w:val="24"/>
          <w:lang w:val="en-GB"/>
        </w:rPr>
        <w:t>.</w:t>
      </w:r>
    </w:p>
    <w:p w14:paraId="7ACE7D37" w14:textId="00E722CA" w:rsidR="002632E2" w:rsidRPr="00BC1ABD" w:rsidRDefault="002632E2" w:rsidP="002632E2">
      <w:pPr>
        <w:spacing w:before="240" w:after="0"/>
        <w:jc w:val="both"/>
        <w:rPr>
          <w:rFonts w:eastAsia="Times New Roman" w:cs="Arial"/>
          <w:sz w:val="24"/>
          <w:szCs w:val="24"/>
          <w:lang w:val="en-GB"/>
        </w:rPr>
      </w:pPr>
      <w:r w:rsidRPr="00BC1ABD">
        <w:rPr>
          <w:rFonts w:eastAsia="Times New Roman" w:cs="Arial"/>
          <w:sz w:val="24"/>
          <w:szCs w:val="24"/>
          <w:lang w:val="en-GB"/>
        </w:rPr>
        <w:t xml:space="preserve">The wholesale markets for local and central access at a fixed location (known as markets 3a and 3b from the European Commission </w:t>
      </w:r>
      <w:r w:rsidRPr="00E517D9">
        <w:rPr>
          <w:sz w:val="24"/>
          <w:szCs w:val="24"/>
          <w:lang w:val="en-US"/>
        </w:rPr>
        <w:t>Recommendation</w:t>
      </w:r>
      <w:r w:rsidRPr="004C1031">
        <w:rPr>
          <w:rFonts w:eastAsia="Times New Roman" w:cs="Arial"/>
          <w:sz w:val="24"/>
          <w:szCs w:val="24"/>
          <w:lang w:val="en-GB"/>
        </w:rPr>
        <w:t xml:space="preserve"> </w:t>
      </w:r>
      <w:r w:rsidRPr="00BC1ABD">
        <w:rPr>
          <w:rFonts w:eastAsia="Times New Roman" w:cs="Arial"/>
          <w:sz w:val="24"/>
          <w:szCs w:val="24"/>
          <w:lang w:val="en-GB"/>
        </w:rPr>
        <w:t>from 2014</w:t>
      </w:r>
      <w:r w:rsidRPr="00BC1ABD">
        <w:rPr>
          <w:rFonts w:eastAsia="Times New Roman" w:cs="Arial"/>
          <w:sz w:val="24"/>
          <w:szCs w:val="24"/>
          <w:vertAlign w:val="superscript"/>
          <w:lang w:val="en-GB"/>
        </w:rPr>
        <w:footnoteReference w:id="77"/>
      </w:r>
      <w:r w:rsidRPr="00BC1ABD">
        <w:rPr>
          <w:rFonts w:eastAsia="Times New Roman" w:cs="Arial"/>
          <w:sz w:val="24"/>
          <w:szCs w:val="24"/>
          <w:lang w:val="en-GB"/>
        </w:rPr>
        <w:t>) need to be considered using a substitutability analysis of the services on local and central access in order to determine which services, as inter-substitutable services, form part of this relevant market.</w:t>
      </w:r>
    </w:p>
    <w:p w14:paraId="5EA6AA2E" w14:textId="31C6D8C7" w:rsidR="002632E2" w:rsidRPr="00BC1ABD" w:rsidRDefault="002632E2" w:rsidP="002632E2">
      <w:pPr>
        <w:spacing w:before="240" w:after="0"/>
        <w:jc w:val="both"/>
        <w:rPr>
          <w:rFonts w:eastAsia="Times New Roman" w:cs="Arial"/>
          <w:sz w:val="24"/>
          <w:szCs w:val="24"/>
          <w:lang w:val="en-GB"/>
        </w:rPr>
      </w:pPr>
      <w:r w:rsidRPr="00BC1ABD">
        <w:rPr>
          <w:rFonts w:eastAsia="Times New Roman" w:cs="Arial"/>
          <w:sz w:val="24"/>
          <w:szCs w:val="24"/>
          <w:lang w:val="en-GB"/>
        </w:rPr>
        <w:t xml:space="preserve">A precondition for the provision of fixed broadband access to end-users is that there is an existing local ‘last mile’ access to the premises of the end user. Access to an end-user could be achieved by a retail service provider with its own infrastructure or by using one or more wholesale offerings from operators having a physical network in the place where the end-user service is required. This type of ‘unbundled local access’ wholesale facility has been widely used in the EU (for example for fixed broadband access using xDSL - see Figure </w:t>
      </w:r>
      <w:r w:rsidR="0034548B">
        <w:rPr>
          <w:rFonts w:eastAsia="Times New Roman" w:cs="Arial"/>
          <w:sz w:val="24"/>
          <w:szCs w:val="24"/>
          <w:lang w:val="en-GB"/>
        </w:rPr>
        <w:t>22</w:t>
      </w:r>
      <w:r w:rsidRPr="00BC1ABD">
        <w:rPr>
          <w:rFonts w:eastAsia="Times New Roman" w:cs="Arial"/>
          <w:sz w:val="24"/>
          <w:szCs w:val="24"/>
          <w:lang w:val="en-GB"/>
        </w:rPr>
        <w:t>). Although unbundled local access is regulated in Georgia, it has not become a significant feature of the market. Georgian operators provide fixed broadband retail services almost exclusively using their own infrastructures.</w:t>
      </w:r>
    </w:p>
    <w:p w14:paraId="62A7C085" w14:textId="2A386B99" w:rsidR="001C5FBE" w:rsidRPr="00BC1ABD" w:rsidRDefault="002632E2" w:rsidP="002632E2">
      <w:pPr>
        <w:spacing w:before="240"/>
        <w:jc w:val="both"/>
        <w:rPr>
          <w:rFonts w:cs="Arial"/>
          <w:sz w:val="24"/>
          <w:szCs w:val="24"/>
          <w:lang w:val="en-GB"/>
        </w:rPr>
      </w:pPr>
      <w:r w:rsidRPr="00BC1ABD">
        <w:rPr>
          <w:rFonts w:eastAsia="Times New Roman" w:cs="Arial"/>
          <w:sz w:val="24"/>
          <w:szCs w:val="24"/>
          <w:lang w:val="en-GB"/>
        </w:rPr>
        <w:t xml:space="preserve">The </w:t>
      </w:r>
      <w:r w:rsidRPr="00E517D9">
        <w:rPr>
          <w:lang w:val="en-US"/>
        </w:rPr>
        <w:t>EU Guidelines on Market Analysis</w:t>
      </w:r>
      <w:r w:rsidRPr="00BC1ABD">
        <w:rPr>
          <w:rFonts w:eastAsia="Times New Roman" w:cs="Arial"/>
          <w:sz w:val="24"/>
          <w:szCs w:val="24"/>
          <w:vertAlign w:val="superscript"/>
          <w:lang w:val="en-GB"/>
        </w:rPr>
        <w:footnoteReference w:id="78"/>
      </w:r>
      <w:r w:rsidRPr="00BC1ABD">
        <w:rPr>
          <w:rFonts w:eastAsia="Times New Roman" w:cs="Arial"/>
          <w:sz w:val="24"/>
          <w:szCs w:val="24"/>
          <w:lang w:val="en-GB"/>
        </w:rPr>
        <w:t xml:space="preserve"> state that the demand for all wholesale services stems from the demand from end-users for retail services. Chapter </w:t>
      </w:r>
      <w:r w:rsidR="00BE37F2">
        <w:rPr>
          <w:rFonts w:eastAsia="Times New Roman" w:cs="Arial"/>
          <w:sz w:val="24"/>
          <w:szCs w:val="24"/>
          <w:lang w:val="en-GB"/>
        </w:rPr>
        <w:t>3</w:t>
      </w:r>
      <w:r w:rsidRPr="00BC1ABD">
        <w:rPr>
          <w:rFonts w:eastAsia="Times New Roman" w:cs="Arial"/>
          <w:sz w:val="24"/>
          <w:szCs w:val="24"/>
          <w:lang w:val="en-GB"/>
        </w:rPr>
        <w:t xml:space="preserve">.3.3. defines two complementary retail fixed broadband access markets – basic fixed broadband access and higher-speed retail broadband access. In this substitution analysis, the emphasis will be put on the relevant upstream wholesale service based on the higher-speed retail broadband access using </w:t>
      </w:r>
      <w:r w:rsidR="00592449">
        <w:rPr>
          <w:rFonts w:eastAsia="Times New Roman" w:cs="Arial"/>
          <w:sz w:val="24"/>
          <w:szCs w:val="24"/>
          <w:lang w:val="en-GB"/>
        </w:rPr>
        <w:t>FTTx</w:t>
      </w:r>
      <w:r w:rsidRPr="00BC1ABD">
        <w:rPr>
          <w:rFonts w:eastAsia="Times New Roman" w:cs="Arial"/>
          <w:sz w:val="24"/>
          <w:szCs w:val="24"/>
          <w:lang w:val="en-GB"/>
        </w:rPr>
        <w:t xml:space="preserve">. This requires the assessment of whether any other wholesale access services could be substitutes for supplying wholesale local and central </w:t>
      </w:r>
      <w:r w:rsidR="00592449">
        <w:rPr>
          <w:rFonts w:eastAsia="Times New Roman" w:cs="Arial"/>
          <w:sz w:val="24"/>
          <w:szCs w:val="24"/>
          <w:lang w:val="en-GB"/>
        </w:rPr>
        <w:t>FTTx</w:t>
      </w:r>
      <w:r w:rsidRPr="00BC1ABD">
        <w:rPr>
          <w:rFonts w:eastAsia="Times New Roman" w:cs="Arial"/>
          <w:sz w:val="24"/>
          <w:szCs w:val="24"/>
          <w:lang w:val="en-GB"/>
        </w:rPr>
        <w:t xml:space="preserve"> access, including self-supply services provided by each operator</w:t>
      </w:r>
      <w:r w:rsidR="001C5FBE" w:rsidRPr="00BC1ABD">
        <w:rPr>
          <w:rFonts w:cs="Arial"/>
          <w:sz w:val="24"/>
          <w:szCs w:val="24"/>
          <w:lang w:val="en-GB"/>
        </w:rPr>
        <w:t>.</w:t>
      </w:r>
    </w:p>
    <w:p w14:paraId="4BED4001" w14:textId="7D97C257" w:rsidR="00B271E6" w:rsidRPr="00BC1ABD" w:rsidRDefault="00B271E6" w:rsidP="00AB2683">
      <w:pPr>
        <w:pStyle w:val="Heading2"/>
        <w:numPr>
          <w:ilvl w:val="1"/>
          <w:numId w:val="88"/>
        </w:numPr>
        <w:spacing w:after="240"/>
        <w:rPr>
          <w:lang w:val="en-GB"/>
        </w:rPr>
      </w:pPr>
      <w:bookmarkStart w:id="225" w:name="_Toc169258940"/>
      <w:r w:rsidRPr="00BC1ABD">
        <w:rPr>
          <w:lang w:val="en-GB"/>
        </w:rPr>
        <w:t>Wholesale fixed local and central access product market definition</w:t>
      </w:r>
      <w:r w:rsidR="00335F11">
        <w:rPr>
          <w:lang w:val="en-GB"/>
        </w:rPr>
        <w:t xml:space="preserve">: </w:t>
      </w:r>
      <w:r w:rsidRPr="00BC1ABD">
        <w:rPr>
          <w:lang w:val="en-GB"/>
        </w:rPr>
        <w:t>Demand</w:t>
      </w:r>
      <w:r w:rsidR="00335F11">
        <w:rPr>
          <w:lang w:val="en-GB"/>
        </w:rPr>
        <w:t>-</w:t>
      </w:r>
      <w:r w:rsidRPr="00BC1ABD">
        <w:rPr>
          <w:lang w:val="en-GB"/>
        </w:rPr>
        <w:t>side substitution</w:t>
      </w:r>
      <w:bookmarkEnd w:id="225"/>
      <w:r w:rsidRPr="00BC1ABD">
        <w:rPr>
          <w:lang w:val="en-GB"/>
        </w:rPr>
        <w:tab/>
      </w:r>
    </w:p>
    <w:p w14:paraId="38252A87" w14:textId="6BB2E688"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The main wholesale services (based on </w:t>
      </w:r>
      <w:r w:rsidR="00592449">
        <w:rPr>
          <w:rFonts w:eastAsia="Times New Roman" w:cs="Arial"/>
          <w:sz w:val="24"/>
          <w:szCs w:val="24"/>
          <w:lang w:val="en-GB"/>
        </w:rPr>
        <w:t>FTTx</w:t>
      </w:r>
      <w:r w:rsidRPr="00BC1ABD">
        <w:rPr>
          <w:rFonts w:eastAsia="Times New Roman" w:cs="Arial"/>
          <w:sz w:val="24"/>
          <w:szCs w:val="24"/>
          <w:lang w:val="en-GB"/>
        </w:rPr>
        <w:t>) related to this relevant wholesale market are considered to be as follows:</w:t>
      </w:r>
    </w:p>
    <w:p w14:paraId="04DD485A" w14:textId="77777777" w:rsidR="00EF3CA3" w:rsidRPr="00BC1ABD" w:rsidRDefault="00EF3CA3" w:rsidP="00EF3CA3">
      <w:pPr>
        <w:numPr>
          <w:ilvl w:val="0"/>
          <w:numId w:val="78"/>
        </w:numPr>
        <w:contextualSpacing/>
        <w:jc w:val="both"/>
        <w:rPr>
          <w:rFonts w:eastAsia="Times New Roman" w:cs="Arial"/>
          <w:sz w:val="24"/>
          <w:szCs w:val="24"/>
          <w:lang w:val="en-GB"/>
        </w:rPr>
      </w:pPr>
      <w:r w:rsidRPr="00BC1ABD">
        <w:rPr>
          <w:rFonts w:eastAsia="Times New Roman" w:cs="Arial"/>
          <w:sz w:val="24"/>
          <w:szCs w:val="24"/>
          <w:lang w:val="en-GB"/>
        </w:rPr>
        <w:t>Physical or virtual wholesale access at a local level, and</w:t>
      </w:r>
    </w:p>
    <w:p w14:paraId="382D46DD" w14:textId="59C04ACA" w:rsidR="00EF3CA3" w:rsidRPr="00BC1ABD" w:rsidRDefault="00EF3CA3" w:rsidP="00EF3CA3">
      <w:pPr>
        <w:numPr>
          <w:ilvl w:val="0"/>
          <w:numId w:val="78"/>
        </w:numPr>
        <w:contextualSpacing/>
        <w:jc w:val="both"/>
        <w:rPr>
          <w:rFonts w:eastAsia="Times New Roman" w:cs="Arial"/>
          <w:sz w:val="24"/>
          <w:szCs w:val="24"/>
          <w:lang w:val="en-GB"/>
        </w:rPr>
      </w:pPr>
      <w:r w:rsidRPr="00BC1ABD">
        <w:rPr>
          <w:rFonts w:eastAsia="Times New Roman" w:cs="Arial"/>
          <w:sz w:val="24"/>
          <w:szCs w:val="24"/>
          <w:lang w:val="en-GB"/>
        </w:rPr>
        <w:t xml:space="preserve">Wholesale access at a central level (in the EU this is called the </w:t>
      </w:r>
      <w:r w:rsidRPr="00E517D9">
        <w:rPr>
          <w:sz w:val="24"/>
          <w:szCs w:val="24"/>
          <w:lang w:val="en-US"/>
        </w:rPr>
        <w:t>bitstream access</w:t>
      </w:r>
      <w:r w:rsidRPr="00254C4D">
        <w:rPr>
          <w:rFonts w:eastAsia="Times New Roman" w:cs="Arial"/>
          <w:sz w:val="24"/>
          <w:szCs w:val="24"/>
          <w:lang w:val="en-GB"/>
        </w:rPr>
        <w:t>’</w:t>
      </w:r>
      <w:r w:rsidRPr="00BC1ABD">
        <w:rPr>
          <w:rFonts w:eastAsia="Times New Roman" w:cs="Arial"/>
          <w:sz w:val="24"/>
          <w:szCs w:val="24"/>
          <w:lang w:val="en-GB"/>
        </w:rPr>
        <w:t xml:space="preserve"> service</w:t>
      </w:r>
      <w:r w:rsidRPr="00BC1ABD">
        <w:rPr>
          <w:rFonts w:eastAsia="Times New Roman" w:cs="Arial"/>
          <w:sz w:val="24"/>
          <w:szCs w:val="24"/>
          <w:vertAlign w:val="superscript"/>
          <w:lang w:val="en-GB"/>
        </w:rPr>
        <w:footnoteReference w:id="79"/>
      </w:r>
      <w:r w:rsidRPr="00BC1ABD">
        <w:rPr>
          <w:rFonts w:eastAsia="Times New Roman" w:cs="Arial"/>
          <w:sz w:val="24"/>
          <w:szCs w:val="24"/>
          <w:lang w:val="en-GB"/>
        </w:rPr>
        <w:t xml:space="preserve">). </w:t>
      </w:r>
    </w:p>
    <w:p w14:paraId="3C045F88" w14:textId="2491C3B6"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For an </w:t>
      </w:r>
      <w:r w:rsidR="00592449">
        <w:rPr>
          <w:rFonts w:eastAsia="Times New Roman" w:cs="Arial"/>
          <w:sz w:val="24"/>
          <w:szCs w:val="24"/>
          <w:lang w:val="en-GB"/>
        </w:rPr>
        <w:t>FTTx</w:t>
      </w:r>
      <w:r w:rsidRPr="00BC1ABD">
        <w:rPr>
          <w:rFonts w:eastAsia="Times New Roman" w:cs="Arial"/>
          <w:sz w:val="24"/>
          <w:szCs w:val="24"/>
          <w:lang w:val="en-GB"/>
        </w:rPr>
        <w:t xml:space="preserve"> point-to-point (P2P) infrastructure, the service generally known as </w:t>
      </w:r>
      <w:r w:rsidRPr="00E517D9">
        <w:rPr>
          <w:lang w:val="en-US"/>
        </w:rPr>
        <w:t>unbundled fibre</w:t>
      </w:r>
      <w:r w:rsidRPr="00BC1ABD">
        <w:rPr>
          <w:rFonts w:eastAsia="Times New Roman" w:cs="Arial"/>
          <w:sz w:val="24"/>
          <w:szCs w:val="24"/>
          <w:vertAlign w:val="superscript"/>
          <w:lang w:val="en-GB"/>
        </w:rPr>
        <w:footnoteReference w:id="80"/>
      </w:r>
      <w:r w:rsidRPr="00BC1ABD">
        <w:rPr>
          <w:rFonts w:eastAsia="Times New Roman" w:cs="Arial"/>
          <w:sz w:val="24"/>
          <w:szCs w:val="24"/>
          <w:lang w:val="en-GB"/>
        </w:rPr>
        <w:t xml:space="preserve"> is the basic wholesale local access. Bitstream access services could be provided to access seekers at different network points as well as with different points of presence (points of handover) on both types of </w:t>
      </w:r>
      <w:r w:rsidR="00592449">
        <w:rPr>
          <w:rFonts w:eastAsia="Times New Roman" w:cs="Arial"/>
          <w:sz w:val="24"/>
          <w:szCs w:val="24"/>
          <w:lang w:val="en-GB"/>
        </w:rPr>
        <w:t>FTTx</w:t>
      </w:r>
      <w:r w:rsidRPr="00BC1ABD">
        <w:rPr>
          <w:rFonts w:eastAsia="Times New Roman" w:cs="Arial"/>
          <w:sz w:val="24"/>
          <w:szCs w:val="24"/>
          <w:lang w:val="en-GB"/>
        </w:rPr>
        <w:t xml:space="preserve"> architecture (P2P and GPON).</w:t>
      </w:r>
    </w:p>
    <w:p w14:paraId="0ED1B6AE" w14:textId="77777777" w:rsidR="00EF3CA3" w:rsidRPr="00BC1ABD" w:rsidRDefault="00EF3CA3" w:rsidP="00EF3CA3">
      <w:pPr>
        <w:jc w:val="both"/>
        <w:rPr>
          <w:rFonts w:eastAsia="Times New Roman" w:cs="Arial"/>
          <w:sz w:val="24"/>
          <w:szCs w:val="24"/>
          <w:highlight w:val="yellow"/>
          <w:lang w:val="en-GB"/>
        </w:rPr>
      </w:pPr>
      <w:r w:rsidRPr="00BC1ABD">
        <w:rPr>
          <w:rFonts w:eastAsia="Times New Roman" w:cs="Arial"/>
          <w:sz w:val="24"/>
          <w:szCs w:val="24"/>
          <w:lang w:val="en-GB"/>
        </w:rPr>
        <w:t>In assessing demand-side substitution at the wholesale level, it is necessary to consider if there could be any substitutes for the fibre unbundling service (at both local and central access level) in such a way that is possible for users of this wholesale service, in the case of a small but significant increase in the price of the wholesale service, to start using their own access infrastructure or start using some other wholesale service which they could consider as a substitute.</w:t>
      </w:r>
    </w:p>
    <w:p w14:paraId="1E59F59F" w14:textId="6DD6C93C"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For effective competition in the fixed retail broadband access market, new entrants to the market (or existing operators that do not yet have the significant geographical coverage with their own infrastructures) that want to provide fixed broadband services based on </w:t>
      </w:r>
      <w:r w:rsidR="00592449">
        <w:rPr>
          <w:rFonts w:eastAsia="Times New Roman" w:cs="Arial"/>
          <w:sz w:val="24"/>
          <w:szCs w:val="24"/>
          <w:lang w:val="en-GB"/>
        </w:rPr>
        <w:t>FTTx</w:t>
      </w:r>
      <w:r w:rsidRPr="00BC1ABD">
        <w:rPr>
          <w:rFonts w:eastAsia="Times New Roman" w:cs="Arial"/>
          <w:sz w:val="24"/>
          <w:szCs w:val="24"/>
          <w:lang w:val="en-GB"/>
        </w:rPr>
        <w:t xml:space="preserve"> throughout Georgia, should be able to use an existing fibre infrastructure by making a wholesale agreement with the infrastructure owner. Currently, according to ComCom data, no Georgian operators are providing any wholesale services based on </w:t>
      </w:r>
      <w:r w:rsidR="00592449">
        <w:rPr>
          <w:rFonts w:eastAsia="Times New Roman" w:cs="Arial"/>
          <w:sz w:val="24"/>
          <w:szCs w:val="24"/>
          <w:lang w:val="en-GB"/>
        </w:rPr>
        <w:t>FTTx</w:t>
      </w:r>
      <w:r w:rsidRPr="00BC1ABD">
        <w:rPr>
          <w:rFonts w:eastAsia="Times New Roman" w:cs="Arial"/>
          <w:sz w:val="24"/>
          <w:szCs w:val="24"/>
          <w:lang w:val="en-GB"/>
        </w:rPr>
        <w:t xml:space="preserve"> networks. This means either there are no access seekers, or that access seekers are being denied the use of existing infrastructures by the owners of those infrastructures. As the market is not regulated in Georgia, no operators (whether dominant in the market or not) are obliged to offer wholesale services based on </w:t>
      </w:r>
      <w:r w:rsidR="00592449">
        <w:rPr>
          <w:rFonts w:eastAsia="Times New Roman" w:cs="Arial"/>
          <w:sz w:val="24"/>
          <w:szCs w:val="24"/>
          <w:lang w:val="en-GB"/>
        </w:rPr>
        <w:t>FTTx</w:t>
      </w:r>
      <w:r w:rsidRPr="00BC1ABD">
        <w:rPr>
          <w:rFonts w:eastAsia="Times New Roman" w:cs="Arial"/>
          <w:sz w:val="24"/>
          <w:szCs w:val="24"/>
          <w:lang w:val="en-GB"/>
        </w:rPr>
        <w:t>.</w:t>
      </w:r>
    </w:p>
    <w:p w14:paraId="7C30A861" w14:textId="77777777" w:rsidR="00EF3CA3" w:rsidRPr="00BC1ABD" w:rsidRDefault="00EF3CA3" w:rsidP="00EF3CA3">
      <w:pPr>
        <w:rPr>
          <w:rFonts w:eastAsia="Times New Roman" w:cs="Arial"/>
          <w:sz w:val="24"/>
          <w:szCs w:val="24"/>
          <w:u w:val="single"/>
          <w:lang w:val="en-GB"/>
        </w:rPr>
      </w:pPr>
      <w:r w:rsidRPr="00BC1ABD">
        <w:rPr>
          <w:rFonts w:eastAsia="Times New Roman" w:cs="Arial"/>
          <w:sz w:val="24"/>
          <w:szCs w:val="24"/>
          <w:u w:val="single"/>
          <w:lang w:val="en-GB"/>
        </w:rPr>
        <w:t>Physically unbundled fibre</w:t>
      </w:r>
    </w:p>
    <w:p w14:paraId="71B88659" w14:textId="63F30432"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Access networks based on </w:t>
      </w:r>
      <w:r w:rsidR="00592449">
        <w:rPr>
          <w:rFonts w:eastAsia="Times New Roman" w:cs="Arial"/>
          <w:sz w:val="24"/>
          <w:szCs w:val="24"/>
          <w:lang w:val="en-GB"/>
        </w:rPr>
        <w:t>FTTx</w:t>
      </w:r>
      <w:r w:rsidRPr="00BC1ABD">
        <w:rPr>
          <w:rFonts w:eastAsia="Times New Roman" w:cs="Arial"/>
          <w:sz w:val="24"/>
          <w:szCs w:val="24"/>
          <w:lang w:val="en-GB"/>
        </w:rPr>
        <w:t xml:space="preserve"> in Georgia are constructed by the operators using two different types of network architectures:</w:t>
      </w:r>
    </w:p>
    <w:p w14:paraId="4F0700F0" w14:textId="77777777" w:rsidR="00EF3CA3" w:rsidRPr="00BC1ABD" w:rsidRDefault="00EF3CA3" w:rsidP="00EF3CA3">
      <w:pPr>
        <w:numPr>
          <w:ilvl w:val="0"/>
          <w:numId w:val="79"/>
        </w:numPr>
        <w:spacing w:after="0"/>
        <w:jc w:val="both"/>
        <w:rPr>
          <w:rFonts w:eastAsia="Times New Roman" w:cs="Arial"/>
          <w:sz w:val="24"/>
          <w:szCs w:val="24"/>
          <w:lang w:val="en-GB"/>
        </w:rPr>
      </w:pPr>
      <w:r w:rsidRPr="00BC1ABD">
        <w:rPr>
          <w:rFonts w:eastAsia="Times New Roman" w:cs="Arial"/>
          <w:sz w:val="24"/>
          <w:szCs w:val="24"/>
          <w:lang w:val="en-GB"/>
        </w:rPr>
        <w:t>Point-to-point connection (P2P)</w:t>
      </w:r>
    </w:p>
    <w:p w14:paraId="5ABBD3B9" w14:textId="77777777" w:rsidR="00EF3CA3" w:rsidRPr="00BC1ABD" w:rsidRDefault="00EF3CA3" w:rsidP="00EF3CA3">
      <w:pPr>
        <w:numPr>
          <w:ilvl w:val="0"/>
          <w:numId w:val="79"/>
        </w:numPr>
        <w:spacing w:after="0"/>
        <w:jc w:val="both"/>
        <w:rPr>
          <w:rFonts w:eastAsia="Times New Roman" w:cs="Arial"/>
          <w:sz w:val="24"/>
          <w:szCs w:val="24"/>
          <w:lang w:val="en-GB"/>
        </w:rPr>
      </w:pPr>
      <w:r w:rsidRPr="00BC1ABD">
        <w:rPr>
          <w:rFonts w:eastAsia="Times New Roman" w:cs="Arial"/>
          <w:sz w:val="24"/>
          <w:szCs w:val="24"/>
          <w:lang w:val="en-GB"/>
        </w:rPr>
        <w:t>Point-to-multipoint connection (P2MP), which is a passive optical network (PON or GPON) structured in such a way that the signal from one optical fibre is distributed to several fibres before being terminated at the end-user premises.</w:t>
      </w:r>
    </w:p>
    <w:p w14:paraId="72B6468E" w14:textId="0E815E37" w:rsidR="00EF3CA3" w:rsidRDefault="00E3357A" w:rsidP="00EF3CA3">
      <w:pPr>
        <w:spacing w:after="0"/>
        <w:ind w:left="720"/>
        <w:jc w:val="both"/>
        <w:rPr>
          <w:rFonts w:eastAsia="Times New Roman" w:cs="Arial"/>
          <w:sz w:val="24"/>
          <w:szCs w:val="24"/>
          <w:lang w:val="en-GB"/>
        </w:rPr>
      </w:pPr>
      <w:r w:rsidRPr="00B64539">
        <w:rPr>
          <w:rFonts w:eastAsia="Times New Roman" w:cs="Arial"/>
          <w:sz w:val="24"/>
          <w:szCs w:val="24"/>
          <w:lang w:val="en-GB"/>
        </w:rPr>
        <w:t xml:space="preserve">Note: In both network architectures mentioned above it is possible to have the </w:t>
      </w:r>
      <w:r w:rsidR="00A76862" w:rsidRPr="00B64539">
        <w:rPr>
          <w:rFonts w:eastAsia="Times New Roman" w:cs="Arial"/>
          <w:sz w:val="24"/>
          <w:szCs w:val="24"/>
          <w:lang w:val="en-GB"/>
        </w:rPr>
        <w:t xml:space="preserve">solution with </w:t>
      </w:r>
      <w:r w:rsidR="00E35043" w:rsidRPr="00B64539">
        <w:rPr>
          <w:rFonts w:eastAsia="Times New Roman" w:cs="Arial"/>
          <w:sz w:val="24"/>
          <w:szCs w:val="24"/>
          <w:lang w:val="en-GB"/>
        </w:rPr>
        <w:t xml:space="preserve">UTP wiring using </w:t>
      </w:r>
      <w:r w:rsidR="00A76862" w:rsidRPr="00B64539">
        <w:rPr>
          <w:rFonts w:eastAsia="Times New Roman" w:cs="Arial"/>
          <w:sz w:val="24"/>
          <w:szCs w:val="24"/>
          <w:lang w:val="en-GB"/>
        </w:rPr>
        <w:t>Ethernet switch in multi-dwelling buildings</w:t>
      </w:r>
      <w:r w:rsidR="00EF6855" w:rsidRPr="00B64539">
        <w:rPr>
          <w:rFonts w:eastAsia="Times New Roman" w:cs="Arial"/>
          <w:sz w:val="24"/>
          <w:szCs w:val="24"/>
          <w:lang w:val="en-GB"/>
        </w:rPr>
        <w:t xml:space="preserve"> </w:t>
      </w:r>
      <w:r w:rsidR="00815434" w:rsidRPr="00B64539">
        <w:rPr>
          <w:rFonts w:eastAsia="Times New Roman" w:cs="Arial"/>
          <w:sz w:val="24"/>
          <w:szCs w:val="24"/>
          <w:lang w:val="en-GB"/>
        </w:rPr>
        <w:t>(FTTB)</w:t>
      </w:r>
      <w:r w:rsidR="00A76862" w:rsidRPr="00B64539">
        <w:rPr>
          <w:rFonts w:eastAsia="Times New Roman" w:cs="Arial"/>
          <w:sz w:val="24"/>
          <w:szCs w:val="24"/>
          <w:lang w:val="en-GB"/>
        </w:rPr>
        <w:t>.</w:t>
      </w:r>
    </w:p>
    <w:p w14:paraId="38DABE05" w14:textId="77777777" w:rsidR="00E35043" w:rsidRPr="00BC1ABD" w:rsidRDefault="00E35043" w:rsidP="00EF3CA3">
      <w:pPr>
        <w:spacing w:after="0"/>
        <w:ind w:left="720"/>
        <w:jc w:val="both"/>
        <w:rPr>
          <w:rFonts w:eastAsia="Times New Roman" w:cs="Arial"/>
          <w:sz w:val="24"/>
          <w:szCs w:val="24"/>
          <w:lang w:val="en-GB"/>
        </w:rPr>
      </w:pPr>
    </w:p>
    <w:p w14:paraId="2A574B94" w14:textId="31FF6723" w:rsidR="00C4166A" w:rsidRPr="008D233C" w:rsidRDefault="00EF3CA3" w:rsidP="008D233C">
      <w:pPr>
        <w:jc w:val="both"/>
        <w:rPr>
          <w:rFonts w:eastAsia="Times New Roman" w:cs="Arial"/>
          <w:sz w:val="24"/>
          <w:szCs w:val="24"/>
          <w:lang w:val="en-GB"/>
        </w:rPr>
      </w:pPr>
      <w:r w:rsidRPr="00BC1ABD">
        <w:rPr>
          <w:rFonts w:eastAsia="Times New Roman" w:cs="Arial"/>
          <w:sz w:val="24"/>
          <w:szCs w:val="24"/>
          <w:lang w:val="en-GB"/>
        </w:rPr>
        <w:t xml:space="preserve">Generally, in the point-to-point architecture, the operator deploys an Optical Line Terminal (OLT) in the operator’s nearest building Point of Presence (POP) or central office and each fibre directly connects the OLT and the individual end user (Figure </w:t>
      </w:r>
      <w:r w:rsidR="007E079D">
        <w:rPr>
          <w:rFonts w:eastAsia="Times New Roman" w:cs="Arial"/>
          <w:sz w:val="24"/>
          <w:szCs w:val="24"/>
          <w:lang w:val="en-GB"/>
        </w:rPr>
        <w:t>38</w:t>
      </w:r>
      <w:r w:rsidRPr="00BC1ABD">
        <w:rPr>
          <w:rFonts w:eastAsia="Times New Roman" w:cs="Arial"/>
          <w:sz w:val="24"/>
          <w:szCs w:val="24"/>
          <w:lang w:val="en-GB"/>
        </w:rPr>
        <w:t>). In this architecture, access to the unbundled fibre at the ODF (Optical Distribution Frame) location is possible because one fibre is assigned and reserved for each end-user household. In this case, the unbundling of the fibre to allow it to be used by another operator is straightforward.</w:t>
      </w:r>
      <w:bookmarkStart w:id="226" w:name="_Toc141200279"/>
    </w:p>
    <w:p w14:paraId="6AA6101C" w14:textId="0C199DFC" w:rsidR="00EF3CA3" w:rsidRPr="00BC1ABD" w:rsidRDefault="00EF3CA3" w:rsidP="00EF3CA3">
      <w:pPr>
        <w:spacing w:line="240" w:lineRule="auto"/>
        <w:jc w:val="center"/>
        <w:rPr>
          <w:rFonts w:asciiTheme="minorHAnsi" w:eastAsia="Times New Roman" w:hAnsiTheme="minorHAnsi" w:cs="Arial"/>
          <w:i/>
          <w:iCs/>
          <w:color w:val="44546A" w:themeColor="text2"/>
          <w:sz w:val="20"/>
          <w:szCs w:val="20"/>
          <w:lang w:val="en-GB"/>
        </w:rPr>
      </w:pPr>
      <w:bookmarkStart w:id="227" w:name="_Toc152931389"/>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38</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w:t>
      </w:r>
      <w:r w:rsidR="00592449">
        <w:rPr>
          <w:rFonts w:asciiTheme="minorHAnsi" w:eastAsia="Times New Roman" w:hAnsiTheme="minorHAnsi" w:cs="Arial"/>
          <w:i/>
          <w:iCs/>
          <w:color w:val="44546A" w:themeColor="text2"/>
          <w:sz w:val="20"/>
          <w:szCs w:val="20"/>
          <w:lang w:val="en-GB"/>
        </w:rPr>
        <w:t>FTTx</w:t>
      </w:r>
      <w:r w:rsidRPr="00BC1ABD">
        <w:rPr>
          <w:rFonts w:asciiTheme="minorHAnsi" w:eastAsia="Times New Roman" w:hAnsiTheme="minorHAnsi" w:cs="Arial"/>
          <w:i/>
          <w:iCs/>
          <w:color w:val="44546A" w:themeColor="text2"/>
          <w:sz w:val="20"/>
          <w:szCs w:val="20"/>
          <w:lang w:val="en-GB"/>
        </w:rPr>
        <w:t xml:space="preserve"> point-to-point (P2P) network architecture</w:t>
      </w:r>
      <w:bookmarkEnd w:id="226"/>
      <w:bookmarkEnd w:id="227"/>
    </w:p>
    <w:p w14:paraId="7FC4EF90" w14:textId="1E50EA7A" w:rsidR="00EF3CA3" w:rsidRPr="00BC1ABD" w:rsidRDefault="00EF3CA3" w:rsidP="00E82B0B">
      <w:pPr>
        <w:jc w:val="center"/>
        <w:rPr>
          <w:rFonts w:eastAsia="Times New Roman" w:cs="Arial"/>
          <w:sz w:val="24"/>
          <w:szCs w:val="24"/>
          <w:lang w:val="en-GB"/>
        </w:rPr>
      </w:pPr>
      <w:r w:rsidRPr="00BC1ABD">
        <w:rPr>
          <w:rFonts w:eastAsia="Times New Roman" w:cs="Arial"/>
          <w:noProof/>
          <w:lang w:val="sl-SI" w:eastAsia="sl-SI"/>
        </w:rPr>
        <w:drawing>
          <wp:inline distT="0" distB="0" distL="0" distR="0" wp14:anchorId="580B105D" wp14:editId="37055A48">
            <wp:extent cx="2880360" cy="1270000"/>
            <wp:effectExtent l="0" t="0" r="0" b="6350"/>
            <wp:docPr id="976877753"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a:extLst>
                        <a:ext uri="{28A0092B-C50C-407E-A947-70E740481C1C}">
                          <a14:useLocalDpi xmlns:a14="http://schemas.microsoft.com/office/drawing/2010/main" val="0"/>
                        </a:ext>
                      </a:extLst>
                    </a:blip>
                    <a:srcRect l="23772" t="17247" r="25743" b="16418"/>
                    <a:stretch/>
                  </pic:blipFill>
                  <pic:spPr bwMode="auto">
                    <a:xfrm>
                      <a:off x="0" y="0"/>
                      <a:ext cx="2880360" cy="1270000"/>
                    </a:xfrm>
                    <a:prstGeom prst="rect">
                      <a:avLst/>
                    </a:prstGeom>
                    <a:noFill/>
                    <a:ln>
                      <a:noFill/>
                    </a:ln>
                    <a:extLst>
                      <a:ext uri="{53640926-AAD7-44D8-BBD7-CCE9431645EC}">
                        <a14:shadowObscured xmlns:a14="http://schemas.microsoft.com/office/drawing/2010/main"/>
                      </a:ext>
                    </a:extLst>
                  </pic:spPr>
                </pic:pic>
              </a:graphicData>
            </a:graphic>
          </wp:inline>
        </w:drawing>
      </w:r>
    </w:p>
    <w:p w14:paraId="41276F02" w14:textId="77777777" w:rsidR="00EF3CA3" w:rsidRPr="00BC1ABD" w:rsidRDefault="00EF3CA3" w:rsidP="00EF3CA3">
      <w:pPr>
        <w:jc w:val="center"/>
        <w:rPr>
          <w:rFonts w:eastAsia="Times New Roman" w:cs="Arial"/>
          <w:sz w:val="20"/>
          <w:szCs w:val="20"/>
          <w:lang w:val="en-GB"/>
        </w:rPr>
      </w:pPr>
      <w:r w:rsidRPr="00BC1ABD">
        <w:rPr>
          <w:rFonts w:eastAsia="Times New Roman" w:cs="Arial"/>
          <w:sz w:val="20"/>
          <w:szCs w:val="20"/>
          <w:lang w:val="en-GB"/>
        </w:rPr>
        <w:t>Source: ERG Opinion on Regulatory Principles of NGA (ERG (07) 16rev2)</w:t>
      </w:r>
    </w:p>
    <w:p w14:paraId="20DA77C5" w14:textId="6B197A6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In the point-to-multipoint architecture, based on passive fibre-optic networks (PON or GPON) it is possible to share a single optical fibre between multiple users between the OLT and distribution point (Figure </w:t>
      </w:r>
      <w:r w:rsidR="007E079D">
        <w:rPr>
          <w:rFonts w:eastAsia="Times New Roman" w:cs="Arial"/>
          <w:sz w:val="24"/>
          <w:szCs w:val="24"/>
          <w:lang w:val="en-GB"/>
        </w:rPr>
        <w:t>3</w:t>
      </w:r>
      <w:r w:rsidR="0016403C">
        <w:rPr>
          <w:rFonts w:eastAsia="Times New Roman" w:cs="Arial"/>
          <w:sz w:val="24"/>
          <w:szCs w:val="24"/>
          <w:lang w:val="en-GB"/>
        </w:rPr>
        <w:t>9</w:t>
      </w:r>
      <w:r w:rsidRPr="00BC1ABD">
        <w:rPr>
          <w:rFonts w:eastAsia="Times New Roman" w:cs="Arial"/>
          <w:sz w:val="24"/>
          <w:szCs w:val="24"/>
          <w:lang w:val="en-GB"/>
        </w:rPr>
        <w:t>), In this case, the unbundling of the fibre (to allow it to be used by another operator) is not straightforward.</w:t>
      </w:r>
      <w:r w:rsidR="00B3094C">
        <w:rPr>
          <w:rFonts w:eastAsia="Times New Roman" w:cs="Arial"/>
          <w:sz w:val="24"/>
          <w:szCs w:val="24"/>
          <w:lang w:val="en-GB"/>
        </w:rPr>
        <w:t xml:space="preserve"> </w:t>
      </w:r>
    </w:p>
    <w:p w14:paraId="78318473" w14:textId="2DA51EC3" w:rsidR="00EF3CA3" w:rsidRPr="00BC1ABD" w:rsidRDefault="00EF3CA3" w:rsidP="00EF3CA3">
      <w:pPr>
        <w:spacing w:line="240" w:lineRule="auto"/>
        <w:jc w:val="center"/>
        <w:rPr>
          <w:rFonts w:asciiTheme="minorHAnsi" w:eastAsia="Times New Roman" w:hAnsiTheme="minorHAnsi" w:cs="Arial"/>
          <w:i/>
          <w:iCs/>
          <w:color w:val="44546A" w:themeColor="text2"/>
          <w:sz w:val="24"/>
          <w:szCs w:val="24"/>
          <w:lang w:val="en-GB"/>
        </w:rPr>
      </w:pPr>
      <w:bookmarkStart w:id="228" w:name="_Toc141200280"/>
      <w:bookmarkStart w:id="229" w:name="_Toc152931390"/>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39</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w:t>
      </w:r>
      <w:r w:rsidR="00592449">
        <w:rPr>
          <w:rFonts w:asciiTheme="minorHAnsi" w:eastAsia="Times New Roman" w:hAnsiTheme="minorHAnsi" w:cs="Arial"/>
          <w:i/>
          <w:iCs/>
          <w:color w:val="44546A" w:themeColor="text2"/>
          <w:sz w:val="20"/>
          <w:szCs w:val="20"/>
          <w:lang w:val="en-GB"/>
        </w:rPr>
        <w:t>FTTx</w:t>
      </w:r>
      <w:r w:rsidRPr="00BC1ABD">
        <w:rPr>
          <w:rFonts w:asciiTheme="minorHAnsi" w:eastAsia="Times New Roman" w:hAnsiTheme="minorHAnsi" w:cs="Arial"/>
          <w:i/>
          <w:iCs/>
          <w:color w:val="44546A" w:themeColor="text2"/>
          <w:sz w:val="20"/>
          <w:szCs w:val="20"/>
          <w:lang w:val="en-GB"/>
        </w:rPr>
        <w:t xml:space="preserve"> point-to-multipoint (P2MP) network architecture</w:t>
      </w:r>
      <w:r w:rsidRPr="00BC1ABD">
        <w:rPr>
          <w:rFonts w:asciiTheme="minorHAnsi" w:eastAsia="Times New Roman" w:hAnsiTheme="minorHAnsi" w:cs="Arial"/>
          <w:i/>
          <w:iCs/>
          <w:noProof/>
          <w:color w:val="44546A" w:themeColor="text2"/>
          <w:sz w:val="18"/>
          <w:szCs w:val="18"/>
          <w:lang w:val="sl-SI" w:eastAsia="sl-SI"/>
        </w:rPr>
        <w:drawing>
          <wp:inline distT="0" distB="0" distL="0" distR="0" wp14:anchorId="3B7F98A7" wp14:editId="58626BC0">
            <wp:extent cx="2926080" cy="1463040"/>
            <wp:effectExtent l="0" t="0" r="7620" b="3810"/>
            <wp:docPr id="1888280295"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l="23684" r="25031" b="22814"/>
                    <a:stretch/>
                  </pic:blipFill>
                  <pic:spPr bwMode="auto">
                    <a:xfrm>
                      <a:off x="0" y="0"/>
                      <a:ext cx="2926080" cy="1463040"/>
                    </a:xfrm>
                    <a:prstGeom prst="rect">
                      <a:avLst/>
                    </a:prstGeom>
                    <a:noFill/>
                    <a:ln>
                      <a:noFill/>
                    </a:ln>
                    <a:extLst>
                      <a:ext uri="{53640926-AAD7-44D8-BBD7-CCE9431645EC}">
                        <a14:shadowObscured xmlns:a14="http://schemas.microsoft.com/office/drawing/2010/main"/>
                      </a:ext>
                    </a:extLst>
                  </pic:spPr>
                </pic:pic>
              </a:graphicData>
            </a:graphic>
          </wp:inline>
        </w:drawing>
      </w:r>
      <w:bookmarkEnd w:id="228"/>
      <w:bookmarkEnd w:id="229"/>
    </w:p>
    <w:p w14:paraId="1EB31F59" w14:textId="77777777" w:rsidR="00EF3CA3" w:rsidRPr="00BC1ABD" w:rsidRDefault="00EF3CA3" w:rsidP="00EF3CA3">
      <w:pPr>
        <w:jc w:val="center"/>
        <w:rPr>
          <w:rFonts w:eastAsia="Times New Roman" w:cs="Arial"/>
          <w:sz w:val="20"/>
          <w:szCs w:val="20"/>
          <w:lang w:val="en-GB"/>
        </w:rPr>
      </w:pPr>
      <w:r w:rsidRPr="00BC1ABD">
        <w:rPr>
          <w:rFonts w:eastAsia="Times New Roman" w:cs="Arial"/>
          <w:sz w:val="20"/>
          <w:szCs w:val="20"/>
          <w:lang w:val="en-GB"/>
        </w:rPr>
        <w:t>Source: ERG Opinion on Regulatory Principles of NGA (ERG (07) 16rev2)</w:t>
      </w:r>
    </w:p>
    <w:p w14:paraId="58C65EA4"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In the point-to-multipoint case, access to the unbundled fibre is possible only in the distribution node within the optical distribution network where the fibre splitter is located. This access is less cost-effective because fewer users are located at the distribution node than at the central location.</w:t>
      </w:r>
      <w:r w:rsidRPr="00BC1ABD">
        <w:rPr>
          <w:rFonts w:eastAsia="Times New Roman"/>
          <w:sz w:val="24"/>
          <w:szCs w:val="24"/>
          <w:lang w:val="en-GB"/>
        </w:rPr>
        <w:t xml:space="preserve"> </w:t>
      </w:r>
      <w:r w:rsidRPr="00BC1ABD">
        <w:rPr>
          <w:rFonts w:eastAsia="Times New Roman" w:cs="Arial"/>
          <w:sz w:val="24"/>
          <w:szCs w:val="24"/>
          <w:lang w:val="en-GB"/>
        </w:rPr>
        <w:t>There is also a technical problem with P2MP unbundling. Splitters are usually not connected with an accessible link piece, instead the fibre is simply spliced. So, to allow unbundling, the fibre has first to be broken and then re-spliced into the feeding fibre of the access seeking operator. This needs the presence of a fibre technician at each distribution node to make the wholesale access possible.</w:t>
      </w:r>
    </w:p>
    <w:p w14:paraId="4D299417" w14:textId="0DABDF3C"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In line with the methodology for the market definition process used at the retail level in Chapter </w:t>
      </w:r>
      <w:r w:rsidR="0049791C">
        <w:rPr>
          <w:rFonts w:eastAsia="Times New Roman" w:cs="Arial"/>
          <w:sz w:val="24"/>
          <w:szCs w:val="24"/>
          <w:lang w:val="en-GB"/>
        </w:rPr>
        <w:t>3</w:t>
      </w:r>
      <w:r w:rsidRPr="00BC1ABD">
        <w:rPr>
          <w:rFonts w:eastAsia="Times New Roman" w:cs="Arial"/>
          <w:sz w:val="24"/>
          <w:szCs w:val="24"/>
          <w:lang w:val="en-GB"/>
        </w:rPr>
        <w:t xml:space="preserve">.3, the wholesale service of local access to the fibre infrastructure (fibre unbundling) will be treated as a main service on this wholesale market and all other services will be assessed in terms of their level of its substitutability with unbundled fibre access. </w:t>
      </w:r>
    </w:p>
    <w:p w14:paraId="4F232061" w14:textId="77777777" w:rsidR="00EF3CA3" w:rsidRPr="00BC1ABD" w:rsidRDefault="00EF3CA3" w:rsidP="00EF3CA3">
      <w:pPr>
        <w:jc w:val="both"/>
        <w:rPr>
          <w:rFonts w:eastAsia="Times New Roman" w:cs="Arial"/>
          <w:sz w:val="24"/>
          <w:szCs w:val="24"/>
          <w:u w:val="single"/>
          <w:lang w:val="en-GB"/>
        </w:rPr>
      </w:pPr>
      <w:r w:rsidRPr="00BC1ABD">
        <w:rPr>
          <w:rFonts w:eastAsia="Times New Roman" w:cs="Arial"/>
          <w:sz w:val="24"/>
          <w:szCs w:val="24"/>
          <w:u w:val="single"/>
          <w:lang w:val="en-GB"/>
        </w:rPr>
        <w:t>VULA (Virtual unbundled local access)</w:t>
      </w:r>
    </w:p>
    <w:p w14:paraId="119E03E8" w14:textId="4D6ABC7F"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With the development of next-generation access infrastructures with </w:t>
      </w:r>
      <w:r w:rsidR="00592449">
        <w:rPr>
          <w:rFonts w:eastAsia="Times New Roman" w:cs="Arial"/>
          <w:sz w:val="24"/>
          <w:szCs w:val="24"/>
          <w:lang w:val="en-GB"/>
        </w:rPr>
        <w:t>FTTx</w:t>
      </w:r>
      <w:r w:rsidRPr="00BC1ABD">
        <w:rPr>
          <w:rFonts w:eastAsia="Times New Roman" w:cs="Arial"/>
          <w:sz w:val="24"/>
          <w:szCs w:val="24"/>
          <w:lang w:val="en-GB"/>
        </w:rPr>
        <w:t xml:space="preserve"> networks, the difference between the physical local access wholesale service and virtual local access wholesale service is being removed. Virtual </w:t>
      </w:r>
      <w:r w:rsidRPr="00BC1ABD">
        <w:rPr>
          <w:rFonts w:eastAsia="Times New Roman"/>
          <w:sz w:val="24"/>
          <w:szCs w:val="24"/>
          <w:lang w:val="en-GB"/>
        </w:rPr>
        <w:t xml:space="preserve">access, as distinct from physical access, allows an access-seeker to achieve network access in the case where full fibre unbundling is not yet possible. </w:t>
      </w:r>
      <w:r w:rsidRPr="00BC1ABD">
        <w:rPr>
          <w:rFonts w:eastAsia="Times New Roman" w:cs="Arial"/>
          <w:sz w:val="24"/>
          <w:szCs w:val="24"/>
          <w:lang w:val="en-GB"/>
        </w:rPr>
        <w:t>With the development of technology, VULA has made this flexibility possible by implementing access at a central location within an operator’s GPON network infrastructure.</w:t>
      </w:r>
    </w:p>
    <w:p w14:paraId="76088683"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The main differentiating factor between a physical wholesale service and a virtual wholesale service is concerned with the location of the point of handover. In optical networks, a point of handover could be local (near to the end-user) or further towards the core of the operator’s network.</w:t>
      </w:r>
    </w:p>
    <w:p w14:paraId="401D4860" w14:textId="68FE3058"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VULA corresponds to the service of wholesale broadband access at the OLT level but has similar characteristics to fibre unbundling. VULA is designed to provide a wholesale service with the same features as physical unbundling on new network architectures where it is not possible to apply physical unbundling. The access happens more locally (typically at the operator’s local exchange main distribution frame or at the ODF location (see Figure </w:t>
      </w:r>
      <w:r w:rsidR="0016403C">
        <w:rPr>
          <w:rFonts w:eastAsia="Times New Roman" w:cs="Arial"/>
          <w:sz w:val="24"/>
          <w:szCs w:val="24"/>
          <w:lang w:val="en-GB"/>
        </w:rPr>
        <w:t>39</w:t>
      </w:r>
      <w:r w:rsidRPr="00BC1ABD">
        <w:rPr>
          <w:rFonts w:eastAsia="Times New Roman" w:cs="Arial"/>
          <w:sz w:val="24"/>
          <w:szCs w:val="24"/>
          <w:lang w:val="en-GB"/>
        </w:rPr>
        <w:t>). This is closer to the end-user than the point of handover generally used in a regional or national bitstream access service. With VULA, the access buyer will therefore achieve more local flexibility in network control, giving it enough tools to influence greater control of the provision of the end-user service.</w:t>
      </w:r>
    </w:p>
    <w:p w14:paraId="3E6E5D39" w14:textId="18B724A2"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Figure </w:t>
      </w:r>
      <w:r w:rsidR="0016403C">
        <w:rPr>
          <w:rFonts w:eastAsia="Times New Roman" w:cs="Arial"/>
          <w:sz w:val="24"/>
          <w:szCs w:val="24"/>
          <w:lang w:val="en-GB"/>
        </w:rPr>
        <w:t>40</w:t>
      </w:r>
      <w:r w:rsidRPr="00BC1ABD">
        <w:rPr>
          <w:rFonts w:eastAsia="Times New Roman" w:cs="Arial"/>
          <w:sz w:val="24"/>
          <w:szCs w:val="24"/>
          <w:lang w:val="en-GB"/>
        </w:rPr>
        <w:t xml:space="preserve"> shows VULA at the location of the operator’s local exchange or external cabinet. VULA offers greater control over the parameters and quality of end-user service than conventional wholesale broadband access (bitstream access), making it similar more to physical unbundling. The aim of a VULA wholesale service is to offer to the access seeker a similar opportunity for retail product differentiation as could be achieved using physical unbundling</w:t>
      </w:r>
      <w:r w:rsidRPr="00B64539">
        <w:rPr>
          <w:rFonts w:eastAsia="Times New Roman" w:cs="Arial"/>
          <w:sz w:val="24"/>
          <w:szCs w:val="24"/>
          <w:lang w:val="en-GB"/>
        </w:rPr>
        <w:t>.</w:t>
      </w:r>
      <w:r w:rsidR="009E1DB6" w:rsidRPr="00B64539">
        <w:rPr>
          <w:rFonts w:eastAsia="Times New Roman" w:cs="Arial"/>
          <w:sz w:val="24"/>
          <w:szCs w:val="24"/>
          <w:lang w:val="en-GB"/>
        </w:rPr>
        <w:t xml:space="preserve"> </w:t>
      </w:r>
      <w:r w:rsidR="00B4224D" w:rsidRPr="00B64539">
        <w:rPr>
          <w:rFonts w:eastAsia="Times New Roman" w:cs="Arial"/>
          <w:sz w:val="24"/>
          <w:szCs w:val="24"/>
          <w:lang w:val="en-GB"/>
        </w:rPr>
        <w:t>In case of UTP wiring using Ethernet switch in multi-dwelling buildings (FTTB), VULA on at aggregation node/switch  is possible, while physical unbundling is possible just for UTP wiring</w:t>
      </w:r>
      <w:r w:rsidR="00F14803" w:rsidRPr="00B64539">
        <w:rPr>
          <w:rFonts w:eastAsia="Times New Roman" w:cs="Arial"/>
          <w:sz w:val="24"/>
          <w:szCs w:val="24"/>
          <w:lang w:val="en-GB"/>
        </w:rPr>
        <w:t>.</w:t>
      </w:r>
    </w:p>
    <w:p w14:paraId="1A09D6E6" w14:textId="5799F9F2" w:rsidR="00EF3CA3" w:rsidRPr="00BC1ABD" w:rsidRDefault="00EF3CA3" w:rsidP="00E82B0B">
      <w:pPr>
        <w:spacing w:after="160" w:line="259" w:lineRule="auto"/>
        <w:jc w:val="center"/>
        <w:rPr>
          <w:rFonts w:asciiTheme="minorHAnsi" w:eastAsia="Times New Roman" w:hAnsiTheme="minorHAnsi" w:cs="Arial"/>
          <w:i/>
          <w:iCs/>
          <w:color w:val="44546A" w:themeColor="text2"/>
          <w:sz w:val="20"/>
          <w:szCs w:val="20"/>
          <w:lang w:val="en-GB"/>
        </w:rPr>
      </w:pPr>
      <w:bookmarkStart w:id="230" w:name="_Toc141200281"/>
      <w:bookmarkStart w:id="231" w:name="_Toc152931391"/>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40</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VULA network architecture</w:t>
      </w:r>
      <w:bookmarkEnd w:id="230"/>
      <w:bookmarkEnd w:id="231"/>
    </w:p>
    <w:p w14:paraId="06860834" w14:textId="50EAD348" w:rsidR="00EF3CA3" w:rsidRPr="00BC1ABD" w:rsidRDefault="00EF3CA3" w:rsidP="00EF3CA3">
      <w:pPr>
        <w:jc w:val="both"/>
        <w:rPr>
          <w:rFonts w:eastAsia="Times New Roman" w:cs="Arial"/>
          <w:sz w:val="20"/>
          <w:szCs w:val="20"/>
          <w:lang w:val="en-GB"/>
        </w:rPr>
      </w:pPr>
      <w:r w:rsidRPr="00BC1ABD">
        <w:rPr>
          <w:rFonts w:eastAsia="Times New Roman"/>
          <w:noProof/>
          <w:lang w:val="sl-SI" w:eastAsia="sl-SI"/>
        </w:rPr>
        <w:drawing>
          <wp:inline distT="0" distB="0" distL="0" distR="0" wp14:anchorId="2910027B" wp14:editId="6B30F9C4">
            <wp:extent cx="5760720" cy="2392680"/>
            <wp:effectExtent l="0" t="0" r="0" b="7620"/>
            <wp:docPr id="314880405" name="Slika 28"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80405" name="Slika 28" descr="Slika na kojoj se prikazuje tekst, snimka zaslona, dijagram, Font&#10;&#10;Opis je automatski generira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2392680"/>
                    </a:xfrm>
                    <a:prstGeom prst="rect">
                      <a:avLst/>
                    </a:prstGeom>
                    <a:noFill/>
                    <a:ln>
                      <a:noFill/>
                    </a:ln>
                  </pic:spPr>
                </pic:pic>
              </a:graphicData>
            </a:graphic>
          </wp:inline>
        </w:drawing>
      </w:r>
    </w:p>
    <w:p w14:paraId="5EF573C7" w14:textId="77777777" w:rsidR="00EF3CA3" w:rsidRPr="00BC1ABD" w:rsidRDefault="00EF3CA3" w:rsidP="00EF3CA3">
      <w:pPr>
        <w:jc w:val="center"/>
        <w:rPr>
          <w:rFonts w:eastAsia="Times New Roman" w:cs="Arial"/>
          <w:sz w:val="20"/>
          <w:szCs w:val="20"/>
          <w:lang w:val="en-GB"/>
        </w:rPr>
      </w:pPr>
      <w:r w:rsidRPr="00BC1ABD">
        <w:rPr>
          <w:rFonts w:eastAsia="Times New Roman" w:cs="Arial"/>
          <w:sz w:val="20"/>
          <w:szCs w:val="20"/>
          <w:lang w:val="en-GB"/>
        </w:rPr>
        <w:t>Source: Figure based on BEREC</w:t>
      </w:r>
    </w:p>
    <w:p w14:paraId="09677EAD"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It should also be noted that VULA service, according to its characteristics, is uncontended and the access seeker transports the traffic to and from the point of access using its own backhaul network as with the wholesale local access unbundling service.</w:t>
      </w:r>
    </w:p>
    <w:p w14:paraId="62735D1B" w14:textId="77777777" w:rsidR="00EF3CA3" w:rsidRPr="00BC1ABD" w:rsidRDefault="00EF3CA3" w:rsidP="00EF3CA3">
      <w:pPr>
        <w:jc w:val="both"/>
        <w:rPr>
          <w:rFonts w:eastAsia="Times New Roman" w:cs="Arial"/>
          <w:sz w:val="24"/>
          <w:szCs w:val="24"/>
          <w:lang w:val="en-GB"/>
        </w:rPr>
      </w:pPr>
      <w:r w:rsidRPr="00BC1ABD">
        <w:rPr>
          <w:rFonts w:eastAsia="Times New Roman"/>
          <w:sz w:val="24"/>
          <w:szCs w:val="24"/>
          <w:lang w:val="en-GB"/>
        </w:rPr>
        <w:t>In the EU, VULA has been judged to be best option to safeguard competition and enable consumers to benefit from a wider range of competitive services provided over next generation fibre infrastructure.</w:t>
      </w:r>
      <w:r w:rsidRPr="00BC1ABD">
        <w:rPr>
          <w:rFonts w:eastAsia="Times New Roman" w:cs="Arial"/>
          <w:sz w:val="24"/>
          <w:szCs w:val="24"/>
          <w:lang w:val="en-GB"/>
        </w:rPr>
        <w:t xml:space="preserve"> VULA is possible in all network topologies and in all technological solutions. Its great advantage is that it can be used in the case of FTTH GPON solutions in which physical unbundling is not generally possible.</w:t>
      </w:r>
    </w:p>
    <w:p w14:paraId="7EC7BFBA" w14:textId="1B2CC454"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If we compare the services of bitstream access at the OLT level (i.e. local bitstream access at point 1 of traffic handover in Figure </w:t>
      </w:r>
      <w:r w:rsidR="00592E49">
        <w:rPr>
          <w:rFonts w:eastAsia="Times New Roman" w:cs="Arial"/>
          <w:sz w:val="24"/>
          <w:szCs w:val="24"/>
          <w:lang w:val="en-GB"/>
        </w:rPr>
        <w:t>42</w:t>
      </w:r>
      <w:r w:rsidRPr="00BC1ABD">
        <w:rPr>
          <w:rFonts w:eastAsia="Times New Roman" w:cs="Arial"/>
          <w:sz w:val="24"/>
          <w:szCs w:val="24"/>
          <w:lang w:val="en-GB"/>
        </w:rPr>
        <w:t>) and the characteristics of VULA wholesale services, it can be concluded that these services are very similar in terms of technical characteristics. The VULA service is designed to enable unbundling on new fibre network architectures in the same way as was physically to unbundle a copper local access network. If we compare the technical characteristics of VULA imposed by many NRAs in the EU with the technical characteristics for local bitstream access (bitstream access at OLT level), we can conclude that these services have a high level of similarity in terms of the fixed broadband access services that they enable at the retail level.</w:t>
      </w:r>
    </w:p>
    <w:p w14:paraId="50134A7D"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It can therefore be considered that VULA service, with its main characteristics, performs as a substitute service to physical unbundled fibre because VULA provides:</w:t>
      </w:r>
    </w:p>
    <w:p w14:paraId="0F1D8A6F" w14:textId="77777777" w:rsidR="00EF3CA3" w:rsidRPr="00BC1ABD" w:rsidRDefault="00EF3CA3" w:rsidP="00EF3CA3">
      <w:pPr>
        <w:numPr>
          <w:ilvl w:val="0"/>
          <w:numId w:val="80"/>
        </w:numPr>
        <w:contextualSpacing/>
        <w:jc w:val="both"/>
        <w:rPr>
          <w:rFonts w:eastAsia="Times New Roman" w:cs="Arial"/>
          <w:sz w:val="24"/>
          <w:szCs w:val="24"/>
          <w:lang w:val="en-GB"/>
        </w:rPr>
      </w:pPr>
      <w:r w:rsidRPr="00BC1ABD">
        <w:rPr>
          <w:rFonts w:eastAsia="Times New Roman" w:cs="Arial"/>
          <w:sz w:val="24"/>
          <w:szCs w:val="24"/>
          <w:lang w:val="en-GB"/>
        </w:rPr>
        <w:t>The same local point of presence</w:t>
      </w:r>
    </w:p>
    <w:p w14:paraId="7B5482D0" w14:textId="77777777" w:rsidR="00EF3CA3" w:rsidRPr="00BC1ABD" w:rsidRDefault="00EF3CA3" w:rsidP="00EF3CA3">
      <w:pPr>
        <w:numPr>
          <w:ilvl w:val="0"/>
          <w:numId w:val="81"/>
        </w:numPr>
        <w:contextualSpacing/>
        <w:jc w:val="both"/>
        <w:rPr>
          <w:rFonts w:eastAsia="Times New Roman" w:cs="Arial"/>
          <w:sz w:val="24"/>
          <w:szCs w:val="24"/>
          <w:lang w:val="en-GB"/>
        </w:rPr>
      </w:pPr>
      <w:r w:rsidRPr="00BC1ABD">
        <w:rPr>
          <w:rFonts w:eastAsia="Times New Roman" w:cs="Arial"/>
          <w:sz w:val="24"/>
          <w:szCs w:val="24"/>
          <w:lang w:val="en-GB"/>
        </w:rPr>
        <w:t>Retail service conditions that can largely be set by the access seeker.</w:t>
      </w:r>
    </w:p>
    <w:p w14:paraId="742B5221" w14:textId="77777777" w:rsidR="00EF3CA3" w:rsidRPr="00BC1ABD" w:rsidRDefault="00EF3CA3" w:rsidP="00EF3CA3">
      <w:pPr>
        <w:numPr>
          <w:ilvl w:val="0"/>
          <w:numId w:val="80"/>
        </w:numPr>
        <w:contextualSpacing/>
        <w:jc w:val="both"/>
        <w:rPr>
          <w:rFonts w:eastAsia="Times New Roman" w:cs="Arial"/>
          <w:sz w:val="24"/>
          <w:szCs w:val="24"/>
          <w:lang w:val="en-GB"/>
        </w:rPr>
      </w:pPr>
      <w:r w:rsidRPr="00BC1ABD">
        <w:rPr>
          <w:rFonts w:eastAsia="Times New Roman" w:cs="Arial"/>
          <w:sz w:val="24"/>
          <w:szCs w:val="24"/>
          <w:lang w:val="en-GB"/>
        </w:rPr>
        <w:t>Sufficient control over the transmission network leaving room for differentiated retail offers</w:t>
      </w:r>
    </w:p>
    <w:p w14:paraId="3CFAC3D5" w14:textId="77777777" w:rsidR="00EF3CA3" w:rsidRPr="00BC1ABD" w:rsidRDefault="00EF3CA3" w:rsidP="00EF3CA3">
      <w:pPr>
        <w:numPr>
          <w:ilvl w:val="0"/>
          <w:numId w:val="80"/>
        </w:numPr>
        <w:contextualSpacing/>
        <w:jc w:val="both"/>
        <w:rPr>
          <w:rFonts w:eastAsia="Times New Roman" w:cs="Arial"/>
          <w:sz w:val="24"/>
          <w:szCs w:val="24"/>
          <w:lang w:val="en-GB"/>
        </w:rPr>
      </w:pPr>
      <w:r w:rsidRPr="00BC1ABD">
        <w:rPr>
          <w:rFonts w:eastAsia="Times New Roman" w:cs="Arial"/>
          <w:sz w:val="24"/>
          <w:szCs w:val="24"/>
          <w:lang w:val="en-GB"/>
        </w:rPr>
        <w:t>Similar costs of provision.</w:t>
      </w:r>
    </w:p>
    <w:p w14:paraId="7B37A85A" w14:textId="12CE3493"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A price comparison in Georgia between unbundled fibre and VULA products cannot be made because there are currently no wholesale services based on </w:t>
      </w:r>
      <w:r w:rsidR="00592449">
        <w:rPr>
          <w:rFonts w:eastAsia="Times New Roman" w:cs="Arial"/>
          <w:sz w:val="24"/>
          <w:szCs w:val="24"/>
          <w:lang w:val="en-GB"/>
        </w:rPr>
        <w:t>FTTx</w:t>
      </w:r>
      <w:r w:rsidRPr="00BC1ABD">
        <w:rPr>
          <w:rFonts w:eastAsia="Times New Roman" w:cs="Arial"/>
          <w:sz w:val="24"/>
          <w:szCs w:val="24"/>
          <w:lang w:val="en-GB"/>
        </w:rPr>
        <w:t xml:space="preserve"> offered on a regulated or a commercial basis. So, the substitutability analysis is mainly based on the general technical characteristics as well as the usual level of costs incurred for the provision of these services.</w:t>
      </w:r>
    </w:p>
    <w:p w14:paraId="21428D11"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It is therefore concluded that virtual unbundled local access (VULA) is in the same relevant market as physically unbundled fibre.</w:t>
      </w:r>
    </w:p>
    <w:p w14:paraId="112A8F22" w14:textId="77777777" w:rsidR="00EF3CA3" w:rsidRPr="00BC1ABD" w:rsidRDefault="00EF3CA3" w:rsidP="00EF3CA3">
      <w:pPr>
        <w:rPr>
          <w:rFonts w:eastAsia="Times New Roman" w:cs="Arial"/>
          <w:sz w:val="24"/>
          <w:szCs w:val="24"/>
          <w:u w:val="single"/>
          <w:lang w:val="en-GB"/>
        </w:rPr>
      </w:pPr>
      <w:bookmarkStart w:id="232" w:name="_Hlk121300739"/>
      <w:r w:rsidRPr="00BC1ABD">
        <w:rPr>
          <w:rFonts w:eastAsia="Times New Roman" w:cs="Arial"/>
          <w:sz w:val="24"/>
          <w:szCs w:val="24"/>
          <w:u w:val="single"/>
          <w:lang w:val="en-GB"/>
        </w:rPr>
        <w:t>Bitstream access</w:t>
      </w:r>
    </w:p>
    <w:p w14:paraId="28C1C98B" w14:textId="77777777" w:rsidR="00EF3CA3" w:rsidRPr="00BC1ABD" w:rsidRDefault="00EF3CA3" w:rsidP="00EF3CA3">
      <w:pPr>
        <w:spacing w:before="240"/>
        <w:jc w:val="both"/>
        <w:rPr>
          <w:rFonts w:eastAsia="Times New Roman"/>
          <w:sz w:val="24"/>
          <w:szCs w:val="24"/>
          <w:lang w:val="en-GB"/>
        </w:rPr>
      </w:pPr>
      <w:r w:rsidRPr="00BC1ABD">
        <w:rPr>
          <w:rFonts w:eastAsia="Times New Roman"/>
          <w:sz w:val="24"/>
          <w:szCs w:val="24"/>
          <w:lang w:val="en-GB"/>
        </w:rPr>
        <w:t>The Bitstream access (BSA) service is a widely used (in the EU) type of the active wholesale access service that facilitates the provision of retail broadband access to the end users of the access seeking operator, using the network elements of an infrastructure owner, including parts of their access and backhaul networks. The extent of the use of the backhaul network depends on the point of interconnection (handover point) between the two operators. Through the BSA service, the service used by the access-seeker’s end-user is delivered at the handover point, which could be local, regional or national. From that point, the access-seeker uses their own network infrastructure as part of the overall end-to-end service.</w:t>
      </w:r>
    </w:p>
    <w:p w14:paraId="2D5DAA32" w14:textId="77777777" w:rsidR="00EF3CA3" w:rsidRPr="00BC1ABD" w:rsidRDefault="00EF3CA3" w:rsidP="00EF3CA3">
      <w:pPr>
        <w:spacing w:before="240"/>
        <w:jc w:val="both"/>
        <w:rPr>
          <w:rFonts w:eastAsia="Times New Roman"/>
          <w:sz w:val="24"/>
          <w:szCs w:val="24"/>
          <w:lang w:val="en-GB"/>
        </w:rPr>
      </w:pPr>
      <w:r w:rsidRPr="00BC1ABD">
        <w:rPr>
          <w:rFonts w:eastAsia="Times New Roman"/>
          <w:sz w:val="24"/>
          <w:szCs w:val="24"/>
          <w:lang w:val="en-GB"/>
        </w:rPr>
        <w:t>The most important characteristic of the BSA service is that it gives the opportunity to the access-seeker to cover a greater number of households with a lower fixed cost. This significantly reduces the required investments compared with building its own infrastructure or by using unbundling fibre.</w:t>
      </w:r>
    </w:p>
    <w:p w14:paraId="7D570BB0" w14:textId="77777777" w:rsidR="00EF3CA3" w:rsidRPr="00BC1ABD" w:rsidRDefault="00EF3CA3" w:rsidP="00EF3CA3">
      <w:pPr>
        <w:spacing w:before="240"/>
        <w:jc w:val="both"/>
        <w:rPr>
          <w:rFonts w:eastAsia="Times New Roman"/>
          <w:sz w:val="24"/>
          <w:szCs w:val="24"/>
          <w:lang w:val="en-GB"/>
        </w:rPr>
      </w:pPr>
      <w:r w:rsidRPr="00BC1ABD">
        <w:rPr>
          <w:rFonts w:eastAsia="Times New Roman"/>
          <w:sz w:val="24"/>
          <w:szCs w:val="24"/>
          <w:lang w:val="en-GB"/>
        </w:rPr>
        <w:t>BSA has been used widely in the EU, mostly by new or recent entrants while they are building up the necessary customer base and revenues before considering investing in their own infrastructure to achieve greater geographical coverage. An operator with an ambitious objective to cover the whole country with its own infrastructure can usefully employ BSA to fill the coverage gaps before their own infrastructure is ready. This strategy is useful because with BSA, the new operator can test the demand in a given geographical area before making the decision to invest in their own infrastructure in that area.</w:t>
      </w:r>
    </w:p>
    <w:p w14:paraId="0F6862BD" w14:textId="7BF39368" w:rsidR="00EF3CA3" w:rsidRPr="00BC1ABD" w:rsidRDefault="00EF3CA3" w:rsidP="00EF3CA3">
      <w:pPr>
        <w:jc w:val="both"/>
        <w:rPr>
          <w:rFonts w:eastAsia="Times New Roman"/>
          <w:sz w:val="24"/>
          <w:szCs w:val="24"/>
          <w:lang w:val="en-GB"/>
        </w:rPr>
      </w:pPr>
      <w:r w:rsidRPr="00BC1ABD">
        <w:rPr>
          <w:rFonts w:eastAsia="Times New Roman"/>
          <w:sz w:val="24"/>
          <w:szCs w:val="24"/>
          <w:lang w:val="en-GB"/>
        </w:rPr>
        <w:t>BSA service has been positioned on the ‘</w:t>
      </w:r>
      <w:r w:rsidRPr="00E517D9">
        <w:rPr>
          <w:lang w:val="en-US"/>
        </w:rPr>
        <w:t>ladder of investment</w:t>
      </w:r>
      <w:r w:rsidRPr="00BC1ABD">
        <w:rPr>
          <w:rFonts w:eastAsia="Times New Roman"/>
          <w:sz w:val="24"/>
          <w:szCs w:val="24"/>
          <w:lang w:val="en-GB"/>
        </w:rPr>
        <w:t>’</w:t>
      </w:r>
      <w:r w:rsidRPr="00BC1ABD">
        <w:rPr>
          <w:rFonts w:eastAsia="Times New Roman"/>
          <w:sz w:val="24"/>
          <w:szCs w:val="24"/>
          <w:vertAlign w:val="superscript"/>
          <w:lang w:val="en-GB"/>
        </w:rPr>
        <w:footnoteReference w:id="81"/>
      </w:r>
      <w:r w:rsidRPr="00BC1ABD">
        <w:rPr>
          <w:rFonts w:eastAsia="Times New Roman"/>
          <w:sz w:val="24"/>
          <w:szCs w:val="24"/>
          <w:lang w:val="en-GB"/>
        </w:rPr>
        <w:t xml:space="preserve"> next to the wholesale service of physical unbundling (figure </w:t>
      </w:r>
      <w:r w:rsidR="00C54766">
        <w:rPr>
          <w:rFonts w:eastAsia="Times New Roman"/>
          <w:sz w:val="24"/>
          <w:szCs w:val="24"/>
          <w:lang w:val="en-GB"/>
        </w:rPr>
        <w:t>41</w:t>
      </w:r>
      <w:r w:rsidRPr="00BC1ABD">
        <w:rPr>
          <w:rFonts w:eastAsia="Times New Roman"/>
          <w:sz w:val="24"/>
          <w:szCs w:val="24"/>
          <w:lang w:val="en-GB"/>
        </w:rPr>
        <w:t>). The ladder of investment principle is built on the idea that investments by alternative operators can be generally made in step-by-step manner, depending on whether, from point of view of the alternative operator, building its own access infrastructure is considered feasible or not. The ladder of investment principle allows alternative operators, through several regulated access products, to invest incrementally in their own infrastructure and at the same time to serve a wider customer base.</w:t>
      </w:r>
      <w:r w:rsidRPr="00BC1ABD">
        <w:rPr>
          <w:rFonts w:eastAsia="Times New Roman" w:cs="Calibri"/>
          <w:sz w:val="24"/>
          <w:szCs w:val="24"/>
          <w:lang w:val="en-GB"/>
        </w:rPr>
        <w:t xml:space="preserve"> Once they have reached a critical mass of end-users or an economy of scale in a new geographic area (using a wholesale access service) they can then consider an investment case to extend the coverage of their network to that area and migrate their customers to their own network. In this way the large market entry barriers (for example connected with large investments in infrastructure, access to finance) are reduced. As the alternative operator develops its own network it can achieve greater control over the costs and features of its retail services in a competitive market.</w:t>
      </w:r>
    </w:p>
    <w:p w14:paraId="32A0B39E" w14:textId="4E0A96E6" w:rsidR="00EF3CA3" w:rsidRPr="00BC1ABD" w:rsidRDefault="00EF3CA3" w:rsidP="00EF3CA3">
      <w:pPr>
        <w:spacing w:line="240" w:lineRule="auto"/>
        <w:jc w:val="center"/>
        <w:rPr>
          <w:rFonts w:asciiTheme="minorHAnsi" w:eastAsia="Times New Roman" w:hAnsiTheme="minorHAnsi"/>
          <w:bCs/>
          <w:i/>
          <w:iCs/>
          <w:color w:val="44546A" w:themeColor="text2"/>
          <w:sz w:val="20"/>
          <w:szCs w:val="20"/>
          <w:lang w:val="en-GB"/>
        </w:rPr>
      </w:pPr>
      <w:bookmarkStart w:id="233" w:name="_Toc141200282"/>
      <w:bookmarkStart w:id="234" w:name="_Toc152931392"/>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41</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bCs/>
          <w:i/>
          <w:iCs/>
          <w:color w:val="44546A" w:themeColor="text2"/>
          <w:sz w:val="20"/>
          <w:szCs w:val="20"/>
          <w:lang w:val="en-GB"/>
        </w:rPr>
        <w:t xml:space="preserve"> The 'ladder of investment' concept</w:t>
      </w:r>
      <w:bookmarkEnd w:id="233"/>
      <w:bookmarkEnd w:id="234"/>
    </w:p>
    <w:p w14:paraId="5A178EC3" w14:textId="46E98A67" w:rsidR="00EF3CA3" w:rsidRPr="00BC1ABD" w:rsidRDefault="00EF3CA3" w:rsidP="00EF3CA3">
      <w:pPr>
        <w:spacing w:before="240"/>
        <w:jc w:val="center"/>
        <w:rPr>
          <w:rFonts w:eastAsia="Times New Roman"/>
          <w:sz w:val="24"/>
          <w:szCs w:val="24"/>
          <w:highlight w:val="green"/>
          <w:lang w:val="en-GB"/>
        </w:rPr>
      </w:pPr>
      <w:r w:rsidRPr="00BC1ABD">
        <w:rPr>
          <w:rFonts w:eastAsia="Times New Roman"/>
          <w:noProof/>
          <w:lang w:val="sl-SI" w:eastAsia="sl-SI"/>
        </w:rPr>
        <w:drawing>
          <wp:inline distT="0" distB="0" distL="0" distR="0" wp14:anchorId="663BEAEB" wp14:editId="67AC7756">
            <wp:extent cx="3200400" cy="2008527"/>
            <wp:effectExtent l="0" t="0" r="0" b="0"/>
            <wp:docPr id="1000317596" name="Slika 27" descr="Diagram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agram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7344" cy="2012885"/>
                    </a:xfrm>
                    <a:prstGeom prst="rect">
                      <a:avLst/>
                    </a:prstGeom>
                    <a:noFill/>
                    <a:ln>
                      <a:noFill/>
                    </a:ln>
                  </pic:spPr>
                </pic:pic>
              </a:graphicData>
            </a:graphic>
          </wp:inline>
        </w:drawing>
      </w:r>
    </w:p>
    <w:p w14:paraId="54CCAAED" w14:textId="77777777" w:rsidR="00EF3CA3" w:rsidRPr="00E5250B" w:rsidRDefault="00EF3CA3" w:rsidP="00EF3CA3">
      <w:pPr>
        <w:spacing w:before="240"/>
        <w:jc w:val="center"/>
        <w:rPr>
          <w:rFonts w:eastAsia="Times New Roman"/>
          <w:sz w:val="20"/>
          <w:szCs w:val="20"/>
          <w:lang w:val="en-GB"/>
        </w:rPr>
      </w:pPr>
      <w:r w:rsidRPr="00E5250B">
        <w:rPr>
          <w:rFonts w:eastAsia="Times New Roman"/>
          <w:sz w:val="20"/>
          <w:szCs w:val="20"/>
          <w:lang w:val="en-GB"/>
        </w:rPr>
        <w:t>Source: ERG document</w:t>
      </w:r>
    </w:p>
    <w:p w14:paraId="4AC62901" w14:textId="678AF11F" w:rsidR="00EF3CA3" w:rsidRPr="00BC1ABD" w:rsidRDefault="00EF3CA3" w:rsidP="00EF3CA3">
      <w:pPr>
        <w:jc w:val="both"/>
        <w:rPr>
          <w:rFonts w:eastAsia="Times New Roman"/>
          <w:sz w:val="24"/>
          <w:szCs w:val="24"/>
          <w:lang w:val="en-GB"/>
        </w:rPr>
      </w:pPr>
      <w:r w:rsidRPr="00BC1ABD">
        <w:rPr>
          <w:rFonts w:eastAsia="Times New Roman"/>
          <w:sz w:val="24"/>
          <w:szCs w:val="24"/>
          <w:lang w:val="en-GB"/>
        </w:rPr>
        <w:t xml:space="preserve">There are different types of BSA services depending on the proportion of the operator’s network used to provide the wholesale services. Different points of handover define the different possibilities for the control of the technical parameters that influence the broadband access services that can be provided to the end user. In other words, different points of handover determine the level to which an operator can add value to the service it uses from the infrastructure-owning operator. The further that the point of handover is from the ODF or end-user premises, the fewer the opportunities that the alternative operator has to differentiate its own retail service from the retail service offered by the infrastructure operator. Additionally, the further the point of handover is from the end-user, the more of backhaul network of the infrastructure owner is used. Therefore, the access-seeker has to pay more for the wholesale service to reflect the greater cost involved. In Figure </w:t>
      </w:r>
      <w:r w:rsidR="00C54766">
        <w:rPr>
          <w:rFonts w:eastAsia="Times New Roman"/>
          <w:sz w:val="24"/>
          <w:szCs w:val="24"/>
          <w:lang w:val="en-GB"/>
        </w:rPr>
        <w:t>42</w:t>
      </w:r>
      <w:r w:rsidRPr="00BC1ABD">
        <w:rPr>
          <w:rFonts w:eastAsia="Times New Roman"/>
          <w:sz w:val="24"/>
          <w:szCs w:val="24"/>
          <w:lang w:val="en-GB"/>
        </w:rPr>
        <w:t>, different points of handover are illustrated, as well as the boundary between the local access and backhaul parts of the network.</w:t>
      </w:r>
    </w:p>
    <w:p w14:paraId="744FDD14" w14:textId="5BC93072" w:rsidR="00EF3CA3" w:rsidRDefault="00EF3CA3" w:rsidP="00EF3CA3">
      <w:pPr>
        <w:spacing w:after="160" w:line="259" w:lineRule="auto"/>
        <w:rPr>
          <w:rFonts w:asciiTheme="minorHAnsi" w:eastAsia="Times New Roman" w:hAnsiTheme="minorHAnsi"/>
          <w:i/>
          <w:iCs/>
          <w:color w:val="44546A" w:themeColor="text2"/>
          <w:sz w:val="20"/>
          <w:szCs w:val="20"/>
          <w:lang w:val="en-GB"/>
        </w:rPr>
      </w:pPr>
      <w:bookmarkStart w:id="235" w:name="_Toc141200283"/>
    </w:p>
    <w:p w14:paraId="1AB34B7F"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3C0CA857"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32E90D84"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60B456A4"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4C91405D"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17A6661A"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1AC65330" w14:textId="77777777" w:rsidR="00B64539" w:rsidRDefault="00B64539" w:rsidP="00EF3CA3">
      <w:pPr>
        <w:spacing w:after="160" w:line="259" w:lineRule="auto"/>
        <w:rPr>
          <w:rFonts w:asciiTheme="minorHAnsi" w:eastAsia="Times New Roman" w:hAnsiTheme="minorHAnsi"/>
          <w:i/>
          <w:iCs/>
          <w:color w:val="44546A" w:themeColor="text2"/>
          <w:sz w:val="20"/>
          <w:szCs w:val="20"/>
          <w:lang w:val="en-GB"/>
        </w:rPr>
      </w:pPr>
    </w:p>
    <w:p w14:paraId="4A00419C" w14:textId="77777777" w:rsidR="00B64539" w:rsidRPr="00BC1ABD" w:rsidRDefault="00B64539" w:rsidP="00EF3CA3">
      <w:pPr>
        <w:spacing w:after="160" w:line="259" w:lineRule="auto"/>
        <w:rPr>
          <w:rFonts w:asciiTheme="minorHAnsi" w:eastAsia="Times New Roman" w:hAnsiTheme="minorHAnsi"/>
          <w:i/>
          <w:iCs/>
          <w:color w:val="44546A" w:themeColor="text2"/>
          <w:sz w:val="20"/>
          <w:szCs w:val="20"/>
          <w:lang w:val="en-GB"/>
        </w:rPr>
      </w:pPr>
    </w:p>
    <w:p w14:paraId="36E143D3" w14:textId="01BE19F1" w:rsidR="00EF3CA3" w:rsidRPr="00BC1ABD" w:rsidRDefault="00EF3CA3" w:rsidP="00EF3CA3">
      <w:pPr>
        <w:spacing w:line="240" w:lineRule="auto"/>
        <w:jc w:val="center"/>
        <w:rPr>
          <w:rFonts w:asciiTheme="minorHAnsi" w:eastAsia="Times New Roman" w:hAnsiTheme="minorHAnsi"/>
          <w:bCs/>
          <w:i/>
          <w:iCs/>
          <w:color w:val="44546A" w:themeColor="text2"/>
          <w:sz w:val="20"/>
          <w:szCs w:val="20"/>
          <w:lang w:val="en-GB"/>
        </w:rPr>
      </w:pPr>
      <w:bookmarkStart w:id="236" w:name="_Toc152931393"/>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42</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bCs/>
          <w:i/>
          <w:iCs/>
          <w:color w:val="44546A" w:themeColor="text2"/>
          <w:sz w:val="20"/>
          <w:szCs w:val="20"/>
          <w:lang w:val="en-GB"/>
        </w:rPr>
        <w:t xml:space="preserve"> Bitstream access concept (points of handover)</w:t>
      </w:r>
      <w:bookmarkEnd w:id="235"/>
      <w:bookmarkEnd w:id="236"/>
    </w:p>
    <w:p w14:paraId="7AF3BD5B" w14:textId="12A8BEB5" w:rsidR="00EF3CA3" w:rsidRPr="00BC1ABD" w:rsidRDefault="00EF3CA3" w:rsidP="00E82B0B">
      <w:pPr>
        <w:jc w:val="center"/>
        <w:rPr>
          <w:rFonts w:eastAsia="Times New Roman"/>
          <w:sz w:val="24"/>
          <w:szCs w:val="24"/>
          <w:lang w:val="en-GB"/>
        </w:rPr>
      </w:pPr>
      <w:r w:rsidRPr="00BC1ABD">
        <w:rPr>
          <w:rFonts w:eastAsia="Times New Roman"/>
          <w:noProof/>
          <w:lang w:val="sl-SI" w:eastAsia="sl-SI"/>
        </w:rPr>
        <w:drawing>
          <wp:inline distT="0" distB="0" distL="0" distR="0" wp14:anchorId="23B02917" wp14:editId="6635AD5F">
            <wp:extent cx="4971321" cy="2362200"/>
            <wp:effectExtent l="0" t="0" r="1270" b="0"/>
            <wp:docPr id="1558075652" name="Slika 26"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75652" name="Slika 26" descr="Slika na kojoj se prikazuje tekst, snimka zaslona, dijagram, Font&#10;&#10;Opis je automatski generir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4195" cy="2368317"/>
                    </a:xfrm>
                    <a:prstGeom prst="rect">
                      <a:avLst/>
                    </a:prstGeom>
                    <a:noFill/>
                    <a:ln>
                      <a:noFill/>
                    </a:ln>
                  </pic:spPr>
                </pic:pic>
              </a:graphicData>
            </a:graphic>
          </wp:inline>
        </w:drawing>
      </w:r>
    </w:p>
    <w:p w14:paraId="73B445BD" w14:textId="77777777" w:rsidR="00EF3CA3" w:rsidRPr="00BC1ABD" w:rsidRDefault="00EF3CA3" w:rsidP="00EF3CA3">
      <w:pPr>
        <w:jc w:val="center"/>
        <w:rPr>
          <w:rFonts w:eastAsia="Times New Roman"/>
          <w:sz w:val="20"/>
          <w:szCs w:val="20"/>
          <w:lang w:val="en-GB"/>
        </w:rPr>
      </w:pPr>
      <w:r w:rsidRPr="00BC1ABD">
        <w:rPr>
          <w:rFonts w:eastAsia="Times New Roman"/>
          <w:sz w:val="20"/>
          <w:szCs w:val="20"/>
          <w:lang w:val="en-GB"/>
        </w:rPr>
        <w:t>Source: Consultant team</w:t>
      </w:r>
    </w:p>
    <w:p w14:paraId="65E46343" w14:textId="349566B6" w:rsidR="00EF3CA3" w:rsidRPr="00BC1ABD" w:rsidRDefault="00EF3CA3" w:rsidP="00EF3CA3">
      <w:pPr>
        <w:jc w:val="both"/>
        <w:rPr>
          <w:rFonts w:eastAsia="Times New Roman"/>
          <w:sz w:val="24"/>
          <w:szCs w:val="24"/>
          <w:lang w:val="en-GB"/>
        </w:rPr>
      </w:pPr>
      <w:r w:rsidRPr="00BC1ABD">
        <w:rPr>
          <w:rFonts w:eastAsia="Times New Roman"/>
          <w:sz w:val="24"/>
          <w:szCs w:val="24"/>
          <w:lang w:val="en-GB"/>
        </w:rPr>
        <w:t xml:space="preserve">All the points of handover shown in figure </w:t>
      </w:r>
      <w:r w:rsidR="00C54766">
        <w:rPr>
          <w:rFonts w:eastAsia="Times New Roman"/>
          <w:sz w:val="24"/>
          <w:szCs w:val="24"/>
          <w:lang w:val="en-GB"/>
        </w:rPr>
        <w:t>42</w:t>
      </w:r>
      <w:r w:rsidRPr="00BC1ABD">
        <w:rPr>
          <w:rFonts w:eastAsia="Times New Roman"/>
          <w:sz w:val="24"/>
          <w:szCs w:val="24"/>
          <w:lang w:val="en-GB"/>
        </w:rPr>
        <w:t xml:space="preserve"> are access technology neutral. This is because different technologies do not influence the logics of the demarcation between access and backhaul services or the technical characteristics of the wholesale BSA service.</w:t>
      </w:r>
    </w:p>
    <w:p w14:paraId="05C0E812" w14:textId="77F98774" w:rsidR="00EF3CA3" w:rsidRPr="00BC1ABD" w:rsidRDefault="00EF3CA3" w:rsidP="00EF3CA3">
      <w:pPr>
        <w:jc w:val="both"/>
        <w:rPr>
          <w:rFonts w:eastAsia="Times New Roman"/>
          <w:sz w:val="24"/>
          <w:szCs w:val="24"/>
          <w:lang w:val="en-GB"/>
        </w:rPr>
      </w:pPr>
      <w:r w:rsidRPr="00BC1ABD">
        <w:rPr>
          <w:rFonts w:eastAsia="Times New Roman"/>
          <w:sz w:val="24"/>
          <w:szCs w:val="24"/>
          <w:lang w:val="en-GB"/>
        </w:rPr>
        <w:t xml:space="preserve">In Figure </w:t>
      </w:r>
      <w:r w:rsidR="00C54766">
        <w:rPr>
          <w:rFonts w:eastAsia="Times New Roman"/>
          <w:sz w:val="24"/>
          <w:szCs w:val="24"/>
          <w:lang w:val="en-GB"/>
        </w:rPr>
        <w:t>42</w:t>
      </w:r>
      <w:r w:rsidRPr="00BC1ABD">
        <w:rPr>
          <w:rFonts w:eastAsia="Times New Roman"/>
          <w:sz w:val="24"/>
          <w:szCs w:val="24"/>
          <w:lang w:val="en-GB"/>
        </w:rPr>
        <w:t xml:space="preserve">, Point 1 represents a technical solution in which the infrastructure owning operator provides a broadband access line whose point of handover is right after the OLT. In this case, the access-seeker is physically present at the local level, and it uses its own network for backhaul service, which allows the access-seeker largely to determine on its own the service and quality parameters through its own core network. This option requires a relatively large initial investment by the access seeker so that it can be present at number of different local level areas. This type of the BSA service, according to its characteristics, is quite similar to the fibre unbundling wholesale service (Figure </w:t>
      </w:r>
      <w:r w:rsidR="00C54766">
        <w:rPr>
          <w:rFonts w:eastAsia="Times New Roman"/>
          <w:sz w:val="24"/>
          <w:szCs w:val="24"/>
          <w:lang w:val="en-GB"/>
        </w:rPr>
        <w:t>38</w:t>
      </w:r>
      <w:r w:rsidRPr="00BC1ABD">
        <w:rPr>
          <w:rFonts w:eastAsia="Times New Roman"/>
          <w:sz w:val="24"/>
          <w:szCs w:val="24"/>
          <w:lang w:val="en-GB"/>
        </w:rPr>
        <w:t>), because the point of handover is similar. The difference is that BSA is an active wholesale service, with all the elements required to deliver a fixed broadband retail service to end users, whilst fibre unbundling offers only the passive infrastructure element.</w:t>
      </w:r>
    </w:p>
    <w:p w14:paraId="5493AF23" w14:textId="2D6DD26C" w:rsidR="00EF3CA3" w:rsidRPr="00BC1ABD" w:rsidRDefault="00EF3CA3" w:rsidP="00EF3CA3">
      <w:pPr>
        <w:jc w:val="both"/>
        <w:rPr>
          <w:rFonts w:asciiTheme="minorHAnsi" w:eastAsia="Times New Roman" w:hAnsiTheme="minorHAnsi" w:cs="Calibri"/>
          <w:lang w:val="en-GB"/>
        </w:rPr>
      </w:pPr>
      <w:r w:rsidRPr="00BC1ABD">
        <w:rPr>
          <w:rFonts w:eastAsia="Times New Roman"/>
          <w:sz w:val="24"/>
          <w:szCs w:val="24"/>
          <w:lang w:val="en-GB"/>
        </w:rPr>
        <w:t xml:space="preserve">VULA (Figure </w:t>
      </w:r>
      <w:r w:rsidR="00613D8B">
        <w:rPr>
          <w:rFonts w:eastAsia="Times New Roman"/>
          <w:sz w:val="24"/>
          <w:szCs w:val="24"/>
          <w:lang w:val="en-GB"/>
        </w:rPr>
        <w:t>40</w:t>
      </w:r>
      <w:r w:rsidRPr="00BC1ABD">
        <w:rPr>
          <w:rFonts w:eastAsia="Times New Roman"/>
          <w:sz w:val="24"/>
          <w:szCs w:val="24"/>
          <w:lang w:val="en-GB"/>
        </w:rPr>
        <w:t>) is a version of bitstream access with a local point of handover, so it also forms part of the substitution analysis regarding bitstream access.</w:t>
      </w:r>
    </w:p>
    <w:p w14:paraId="40B2BF2F" w14:textId="7C6D408B" w:rsidR="00EF3CA3" w:rsidRPr="00BC1ABD" w:rsidRDefault="00EF3CA3" w:rsidP="00EF3CA3">
      <w:pPr>
        <w:jc w:val="both"/>
        <w:rPr>
          <w:rFonts w:eastAsia="Times New Roman"/>
          <w:sz w:val="24"/>
          <w:szCs w:val="24"/>
          <w:lang w:val="en-GB"/>
        </w:rPr>
      </w:pPr>
      <w:r w:rsidRPr="00BC1ABD">
        <w:rPr>
          <w:rFonts w:eastAsia="Times New Roman"/>
          <w:sz w:val="24"/>
          <w:szCs w:val="24"/>
          <w:lang w:val="en-GB"/>
        </w:rPr>
        <w:t xml:space="preserve">Points 2 or 3 in Figure </w:t>
      </w:r>
      <w:r w:rsidR="00613D8B">
        <w:rPr>
          <w:rFonts w:eastAsia="Times New Roman"/>
          <w:sz w:val="24"/>
          <w:szCs w:val="24"/>
          <w:lang w:val="en-GB"/>
        </w:rPr>
        <w:t>42</w:t>
      </w:r>
      <w:r w:rsidRPr="00BC1ABD">
        <w:rPr>
          <w:rFonts w:eastAsia="Times New Roman"/>
          <w:sz w:val="24"/>
          <w:szCs w:val="24"/>
          <w:lang w:val="en-GB"/>
        </w:rPr>
        <w:t xml:space="preserve"> represent technical solutions in which the infrastructure-owning operator provides a broadband access line including a backhaul service and hands over to the access-seeker at a point further into the infrastructure owner’s core network, using an appropriate technology (Ethernet level or IP level). The access-seeking operator can change the quality-of-service parameters to some extent, but the access-seeker does not have as much control over the service delivered to the end-user, as it had with access at point 1. The access-seeker’s investments are lower in comparison with point 1 solution and the access-seeker can access to a larger geographical area with a larger potential market. If the access -seeker uses a number of regional or national points of handover, it can gain access to an even greater, potentially national retail market. However, as the number of points of access increases, then more of the backhaul services of the infrastructure owner are used, so that the cost of the wholesale service paid by the access-buyer is higher.</w:t>
      </w:r>
    </w:p>
    <w:p w14:paraId="245D5660" w14:textId="7D73D923" w:rsidR="00EF3CA3" w:rsidRPr="00BC1ABD" w:rsidRDefault="00EF3CA3" w:rsidP="00EF3CA3">
      <w:pPr>
        <w:jc w:val="both"/>
        <w:rPr>
          <w:rFonts w:eastAsia="Times New Roman"/>
          <w:sz w:val="24"/>
          <w:szCs w:val="24"/>
          <w:lang w:val="en-GB"/>
        </w:rPr>
      </w:pPr>
      <w:r w:rsidRPr="00BC1ABD">
        <w:rPr>
          <w:rFonts w:eastAsia="Times New Roman"/>
          <w:sz w:val="24"/>
          <w:szCs w:val="24"/>
          <w:lang w:val="en-GB"/>
        </w:rPr>
        <w:t xml:space="preserve">Point 4 in Figure </w:t>
      </w:r>
      <w:r w:rsidR="00613D8B">
        <w:rPr>
          <w:rFonts w:eastAsia="Times New Roman"/>
          <w:sz w:val="24"/>
          <w:szCs w:val="24"/>
          <w:lang w:val="en-GB"/>
        </w:rPr>
        <w:t>42</w:t>
      </w:r>
      <w:r w:rsidRPr="00BC1ABD">
        <w:rPr>
          <w:rFonts w:eastAsia="Times New Roman"/>
          <w:sz w:val="24"/>
          <w:szCs w:val="24"/>
          <w:lang w:val="en-GB"/>
        </w:rPr>
        <w:t xml:space="preserve"> represents a technical solution in which the infrastructure-owning operator provides wholesale access that includes a direct external link to the global internet. At this level, the service that the infrastructure-owner offers to the access-seeker is technically the same as the service the infrastructure operator offers to its own end users, so this largely equivalent to a re-sale service. Since the first three access points solutions give the access-seeker the ability to distinguish between its own retail services and the products offered by the infrastructure operator, this is not possible at the fourth access point and therefore this re-sale product is not normally considered as a true BSA service.</w:t>
      </w:r>
    </w:p>
    <w:p w14:paraId="2BC774B9" w14:textId="69629E8A" w:rsidR="00EF3CA3" w:rsidRPr="00BC1ABD" w:rsidRDefault="00EF3CA3" w:rsidP="00EF3CA3">
      <w:pPr>
        <w:jc w:val="both"/>
        <w:rPr>
          <w:rFonts w:eastAsia="Times New Roman"/>
          <w:sz w:val="24"/>
          <w:szCs w:val="24"/>
          <w:lang w:val="en-GB"/>
        </w:rPr>
      </w:pPr>
      <w:r w:rsidRPr="00BC1ABD">
        <w:rPr>
          <w:rFonts w:eastAsia="Times New Roman"/>
          <w:sz w:val="24"/>
          <w:szCs w:val="24"/>
          <w:lang w:val="en-GB"/>
        </w:rPr>
        <w:t xml:space="preserve">In the Georgian case, taking into consideration the network architectures of the </w:t>
      </w:r>
      <w:r w:rsidR="00592449">
        <w:rPr>
          <w:rFonts w:eastAsia="Times New Roman"/>
          <w:sz w:val="24"/>
          <w:szCs w:val="24"/>
          <w:lang w:val="en-GB"/>
        </w:rPr>
        <w:t>FTTx</w:t>
      </w:r>
      <w:r w:rsidRPr="00BC1ABD">
        <w:rPr>
          <w:rFonts w:eastAsia="Times New Roman"/>
          <w:sz w:val="24"/>
          <w:szCs w:val="24"/>
          <w:lang w:val="en-GB"/>
        </w:rPr>
        <w:t xml:space="preserve"> operators, it is considered that it is possible to have BSA wholesale access at the following network levels (points of handover) irrespective of the technologies used in the </w:t>
      </w:r>
      <w:r w:rsidR="00592449">
        <w:rPr>
          <w:rFonts w:eastAsia="Times New Roman"/>
          <w:sz w:val="24"/>
          <w:szCs w:val="24"/>
          <w:lang w:val="en-GB"/>
        </w:rPr>
        <w:t>FTTx</w:t>
      </w:r>
      <w:r w:rsidRPr="00BC1ABD">
        <w:rPr>
          <w:rFonts w:eastAsia="Times New Roman"/>
          <w:sz w:val="24"/>
          <w:szCs w:val="24"/>
          <w:lang w:val="en-GB"/>
        </w:rPr>
        <w:t xml:space="preserve"> access network:</w:t>
      </w:r>
    </w:p>
    <w:p w14:paraId="1DD59A80" w14:textId="0881245B" w:rsidR="00EF3CA3" w:rsidRPr="00BC1ABD" w:rsidRDefault="00EF3CA3" w:rsidP="00EF3CA3">
      <w:pPr>
        <w:numPr>
          <w:ilvl w:val="0"/>
          <w:numId w:val="82"/>
        </w:numPr>
        <w:contextualSpacing/>
        <w:jc w:val="both"/>
        <w:rPr>
          <w:rFonts w:eastAsia="Times New Roman"/>
          <w:sz w:val="24"/>
          <w:szCs w:val="24"/>
          <w:lang w:val="en-GB"/>
        </w:rPr>
      </w:pPr>
      <w:r w:rsidRPr="00BC1ABD">
        <w:rPr>
          <w:rFonts w:eastAsia="Times New Roman"/>
          <w:sz w:val="24"/>
          <w:szCs w:val="24"/>
          <w:lang w:val="en-GB"/>
        </w:rPr>
        <w:t>Handover at the local level (OLT)</w:t>
      </w:r>
      <w:r w:rsidR="00CE221E">
        <w:rPr>
          <w:rFonts w:eastAsia="Times New Roman"/>
          <w:sz w:val="24"/>
          <w:szCs w:val="24"/>
          <w:lang w:val="en-GB"/>
        </w:rPr>
        <w:t>;</w:t>
      </w:r>
    </w:p>
    <w:p w14:paraId="2694EA4E" w14:textId="220ED99A" w:rsidR="00EF3CA3" w:rsidRPr="00BC1ABD" w:rsidRDefault="00EF3CA3" w:rsidP="00EF3CA3">
      <w:pPr>
        <w:numPr>
          <w:ilvl w:val="0"/>
          <w:numId w:val="82"/>
        </w:numPr>
        <w:contextualSpacing/>
        <w:jc w:val="both"/>
        <w:rPr>
          <w:rFonts w:eastAsia="Times New Roman"/>
          <w:sz w:val="24"/>
          <w:szCs w:val="24"/>
          <w:lang w:val="en-GB"/>
        </w:rPr>
      </w:pPr>
      <w:r w:rsidRPr="00BC1ABD">
        <w:rPr>
          <w:rFonts w:eastAsia="Times New Roman"/>
          <w:sz w:val="24"/>
          <w:szCs w:val="24"/>
          <w:lang w:val="en-GB"/>
        </w:rPr>
        <w:t>Handover at a regional level (Ethernet/IP)</w:t>
      </w:r>
      <w:r w:rsidR="00CE221E">
        <w:rPr>
          <w:rFonts w:eastAsia="Times New Roman"/>
          <w:sz w:val="24"/>
          <w:szCs w:val="24"/>
          <w:lang w:val="en-GB"/>
        </w:rPr>
        <w:t>;</w:t>
      </w:r>
    </w:p>
    <w:p w14:paraId="39ED88F4" w14:textId="505865DC" w:rsidR="00EF3CA3" w:rsidRPr="00BC1ABD" w:rsidRDefault="00EF3CA3" w:rsidP="00EF3CA3">
      <w:pPr>
        <w:numPr>
          <w:ilvl w:val="0"/>
          <w:numId w:val="82"/>
        </w:numPr>
        <w:contextualSpacing/>
        <w:jc w:val="both"/>
        <w:rPr>
          <w:rFonts w:eastAsia="Times New Roman"/>
          <w:sz w:val="24"/>
          <w:szCs w:val="24"/>
          <w:lang w:val="en-GB"/>
        </w:rPr>
      </w:pPr>
      <w:r w:rsidRPr="00BC1ABD">
        <w:rPr>
          <w:rFonts w:eastAsia="Times New Roman"/>
          <w:sz w:val="24"/>
          <w:szCs w:val="24"/>
          <w:lang w:val="en-GB"/>
        </w:rPr>
        <w:t>Handover at the national level (Ethernet/IP)</w:t>
      </w:r>
      <w:r w:rsidR="00CE221E">
        <w:rPr>
          <w:rFonts w:eastAsia="Times New Roman"/>
          <w:sz w:val="24"/>
          <w:szCs w:val="24"/>
          <w:lang w:val="en-GB"/>
        </w:rPr>
        <w:t>.</w:t>
      </w:r>
    </w:p>
    <w:p w14:paraId="68ABD194"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Therefore, it could be concluded that the Bitstream access services at different points of handover are substitutes to unbundled physical fibre access. The choice of handover point should be largely determined by the access-seeker, taking account of its current network coverage and the network architecture. If the access-seeker already has widespread network coverage, then the cost of wholesale Bitstream access at local area would not require much additional cost. If the access-seeker’s own network is not widespread, the access-seeker will probably choose points 2 or 3 of handover (that is at a regional or a national level) in order to gain a more geographical coverage with lower initial investments. This means that the business decision of the access-seeker will strongly depend on its local presence and on the amount of core network that it already owns. This means that Bitstream access services at all levels are perceived by an access-seeker as being in the same market. </w:t>
      </w:r>
    </w:p>
    <w:p w14:paraId="22940BE9" w14:textId="77777777" w:rsidR="00EF3CA3" w:rsidRPr="00BC1ABD" w:rsidRDefault="00EF3CA3" w:rsidP="00EF3CA3">
      <w:pPr>
        <w:jc w:val="both"/>
        <w:rPr>
          <w:rFonts w:eastAsia="Times New Roman" w:cs="Arial"/>
          <w:sz w:val="24"/>
          <w:szCs w:val="24"/>
          <w:u w:val="single"/>
          <w:lang w:val="en-GB"/>
        </w:rPr>
      </w:pPr>
      <w:r w:rsidRPr="00BC1ABD">
        <w:rPr>
          <w:rFonts w:eastAsia="Times New Roman" w:cs="Arial"/>
          <w:sz w:val="24"/>
          <w:szCs w:val="24"/>
          <w:u w:val="single"/>
          <w:lang w:val="en-GB"/>
        </w:rPr>
        <w:t>Wavelength unbundling</w:t>
      </w:r>
    </w:p>
    <w:p w14:paraId="2499A7C3"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This technology is not mature enough to be widely deployed and it is unlikely to be a substitute within the forward-looking time horizon of this market analysis.</w:t>
      </w:r>
    </w:p>
    <w:p w14:paraId="35C5AD92" w14:textId="77777777" w:rsidR="00EF3CA3" w:rsidRPr="00BC1ABD" w:rsidRDefault="00EF3CA3" w:rsidP="00EF3CA3">
      <w:pPr>
        <w:rPr>
          <w:rFonts w:eastAsia="Times New Roman" w:cs="Arial"/>
          <w:sz w:val="24"/>
          <w:szCs w:val="24"/>
          <w:u w:val="single"/>
          <w:lang w:val="en-GB"/>
        </w:rPr>
      </w:pPr>
      <w:r w:rsidRPr="00BC1ABD">
        <w:rPr>
          <w:rFonts w:eastAsia="Times New Roman" w:cs="Arial"/>
          <w:sz w:val="24"/>
          <w:szCs w:val="24"/>
          <w:u w:val="single"/>
          <w:lang w:val="en-GB"/>
        </w:rPr>
        <w:t>Building of own infrastructure</w:t>
      </w:r>
    </w:p>
    <w:bookmarkEnd w:id="232"/>
    <w:p w14:paraId="7BA089AF"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The possibility that an access-seeker builds its own infrastructure needs to be considered in the case of a small but significant increase in the price of the fibre unbundling service.</w:t>
      </w:r>
    </w:p>
    <w:p w14:paraId="58CF01FF" w14:textId="78DCC27E"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Building an own nationwide fibre access network requires a long period and large investments and represents a large entry barrier to any new operator. The main driver of new investments in own fibre access infrastructure is the demand and density of end users in a given geographical area. Fixed broadband retail access demand will increase, not only from new users, but also from existing users that wish to migrate to higher-speed broadband services. Most new investments are likely to be in </w:t>
      </w:r>
      <w:r w:rsidR="00592449">
        <w:rPr>
          <w:rFonts w:eastAsia="Times New Roman" w:cs="Arial"/>
          <w:sz w:val="24"/>
          <w:szCs w:val="24"/>
          <w:lang w:val="en-GB"/>
        </w:rPr>
        <w:t>FTTx</w:t>
      </w:r>
      <w:r w:rsidRPr="00BC1ABD">
        <w:rPr>
          <w:rFonts w:eastAsia="Times New Roman" w:cs="Arial"/>
          <w:sz w:val="24"/>
          <w:szCs w:val="24"/>
          <w:lang w:val="en-GB"/>
        </w:rPr>
        <w:t xml:space="preserve"> access networks because of their relative speed and quality improvements over FWA and xDSL networks.</w:t>
      </w:r>
    </w:p>
    <w:p w14:paraId="188C848E" w14:textId="481E5B2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It is considered that only in a situation where there are significant economies of scale, a very high density of potential users and an inadequate existing infrastructure, will the building an own fibre-access infrastructure be a substitute to fibre unbundling. The existing investments in fibre access infrastructures in Georgia and the network coverage currently achieved by operators (see Chapter </w:t>
      </w:r>
      <w:r w:rsidR="00C56966">
        <w:rPr>
          <w:rFonts w:eastAsia="Times New Roman" w:cs="Arial"/>
          <w:sz w:val="24"/>
          <w:szCs w:val="24"/>
          <w:lang w:val="en-GB"/>
        </w:rPr>
        <w:t>3</w:t>
      </w:r>
      <w:r w:rsidRPr="00BC1ABD">
        <w:rPr>
          <w:rFonts w:eastAsia="Times New Roman" w:cs="Arial"/>
          <w:sz w:val="24"/>
          <w:szCs w:val="24"/>
          <w:lang w:val="en-GB"/>
        </w:rPr>
        <w:t xml:space="preserve">.1.) demonstrate that in the most densely populated area of Georgia, the required investment incentives have been reached in many areas. However, only two </w:t>
      </w:r>
      <w:r w:rsidR="00592449">
        <w:rPr>
          <w:rFonts w:eastAsia="Times New Roman" w:cs="Arial"/>
          <w:sz w:val="24"/>
          <w:szCs w:val="24"/>
          <w:lang w:val="en-GB"/>
        </w:rPr>
        <w:t>FTTx</w:t>
      </w:r>
      <w:r w:rsidRPr="00BC1ABD">
        <w:rPr>
          <w:rFonts w:eastAsia="Times New Roman" w:cs="Arial"/>
          <w:sz w:val="24"/>
          <w:szCs w:val="24"/>
          <w:lang w:val="en-GB"/>
        </w:rPr>
        <w:t xml:space="preserve"> operators (Magticom and Silknet) covers a large number of households in Georgia.</w:t>
      </w:r>
    </w:p>
    <w:p w14:paraId="61C60B28" w14:textId="29820AD4"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If another operator chose to build its own infrastructure in terms of provision of Bitstream access (see Figure </w:t>
      </w:r>
      <w:r w:rsidR="00613D8B">
        <w:rPr>
          <w:rFonts w:eastAsia="Times New Roman" w:cs="Arial"/>
          <w:sz w:val="24"/>
          <w:szCs w:val="24"/>
          <w:lang w:val="en-GB"/>
        </w:rPr>
        <w:t>42</w:t>
      </w:r>
      <w:r w:rsidRPr="00BC1ABD">
        <w:rPr>
          <w:rFonts w:eastAsia="Times New Roman" w:cs="Arial"/>
          <w:sz w:val="24"/>
          <w:szCs w:val="24"/>
          <w:lang w:val="en-GB"/>
        </w:rPr>
        <w:t>), then some level of investment in backhaul networks will still be required. All networks covering different cities usually have already developed the backhaul capacity, but still to have the national footprint there is a need to build backhaul capacity ready to be used for national coverage. This is still the cost that could be significant.</w:t>
      </w:r>
    </w:p>
    <w:p w14:paraId="05A6F9FE" w14:textId="4F9BB8EA"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It is therefore unlikely that in the forward-looking time horizon of this market analysis (the next three years) any operator would build its own infrastructure instead of gaining similar coverage using a wholesale fibre unbundling or Bitstream option. Building of an own network is not considered to present an option to put effective competitive pressure on the existing </w:t>
      </w:r>
      <w:r w:rsidR="00592449">
        <w:rPr>
          <w:rFonts w:eastAsia="Times New Roman" w:cs="Arial"/>
          <w:sz w:val="24"/>
          <w:szCs w:val="24"/>
          <w:lang w:val="en-GB"/>
        </w:rPr>
        <w:t>FTTx</w:t>
      </w:r>
      <w:r w:rsidRPr="00BC1ABD">
        <w:rPr>
          <w:rFonts w:eastAsia="Times New Roman" w:cs="Arial"/>
          <w:sz w:val="24"/>
          <w:szCs w:val="24"/>
          <w:lang w:val="en-GB"/>
        </w:rPr>
        <w:t xml:space="preserve"> operators.</w:t>
      </w:r>
    </w:p>
    <w:p w14:paraId="71D12D6F"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Therefore, it is concluded that the construction of an own access network does not represent a substitute service for fibre unbundling. In the event of a small but significant increase in the price of the wholesale fibre unbundling service, the access seeker would not be encouraged to build its own access infrastructure in all the areas that it currently does not cover.</w:t>
      </w:r>
    </w:p>
    <w:p w14:paraId="00C8E2F4" w14:textId="77777777" w:rsidR="00EF3CA3" w:rsidRPr="00BC1ABD" w:rsidRDefault="00EF3CA3" w:rsidP="00EF3CA3">
      <w:pPr>
        <w:rPr>
          <w:rFonts w:eastAsia="Times New Roman" w:cs="Arial"/>
          <w:sz w:val="24"/>
          <w:szCs w:val="24"/>
          <w:u w:val="single"/>
          <w:lang w:val="en-GB"/>
        </w:rPr>
      </w:pPr>
      <w:r w:rsidRPr="00BC1ABD">
        <w:rPr>
          <w:rFonts w:eastAsia="Times New Roman" w:cs="Arial"/>
          <w:sz w:val="24"/>
          <w:szCs w:val="24"/>
          <w:u w:val="single"/>
          <w:lang w:val="en-GB"/>
        </w:rPr>
        <w:t>Self-supply</w:t>
      </w:r>
    </w:p>
    <w:p w14:paraId="35B76636" w14:textId="77777777"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Theoretically, self-supply is an important consideration where a dominant player providing an unbundled fibre wholesale service raises its wholesale price. With an increase in wholesale price, the retail price of the service of the access-seeker would also tend to increase. This is because the access seeker will, in some way, have to transfer the increased wholesale price to end-users, or its financial margin would be squeezed. Consequently, the higher price of a retail service based on a wholesale access service will lead to end users starting to use the services provided by any infrastructure operators in that area. This which in turn put competitive pressure on the wholesale price increase.</w:t>
      </w:r>
    </w:p>
    <w:p w14:paraId="57D8E89A" w14:textId="5B75BABD"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Given that at the retail level, the broadband access market is largely based on </w:t>
      </w:r>
      <w:r w:rsidR="00592449">
        <w:rPr>
          <w:rFonts w:eastAsia="Times New Roman" w:cs="Arial"/>
          <w:sz w:val="24"/>
          <w:szCs w:val="24"/>
          <w:lang w:val="en-GB"/>
        </w:rPr>
        <w:t>FTTx</w:t>
      </w:r>
      <w:r w:rsidRPr="00BC1ABD">
        <w:rPr>
          <w:rFonts w:eastAsia="Times New Roman" w:cs="Arial"/>
          <w:sz w:val="24"/>
          <w:szCs w:val="24"/>
          <w:lang w:val="en-GB"/>
        </w:rPr>
        <w:t xml:space="preserve"> service (See Chapter </w:t>
      </w:r>
      <w:r w:rsidR="00C56966">
        <w:rPr>
          <w:rFonts w:eastAsia="Times New Roman" w:cs="Arial"/>
          <w:sz w:val="24"/>
          <w:szCs w:val="24"/>
          <w:lang w:val="en-GB"/>
        </w:rPr>
        <w:t>3</w:t>
      </w:r>
      <w:r w:rsidRPr="00BC1ABD">
        <w:rPr>
          <w:rFonts w:eastAsia="Times New Roman" w:cs="Arial"/>
          <w:sz w:val="24"/>
          <w:szCs w:val="24"/>
          <w:lang w:val="en-GB"/>
        </w:rPr>
        <w:t xml:space="preserve">.3) it is necessary to determine whether there is sufficient competitive pressure from existing operators who provide retail </w:t>
      </w:r>
      <w:r w:rsidR="00592449">
        <w:rPr>
          <w:rFonts w:eastAsia="Times New Roman" w:cs="Arial"/>
          <w:sz w:val="24"/>
          <w:szCs w:val="24"/>
          <w:lang w:val="en-GB"/>
        </w:rPr>
        <w:t>FTTx</w:t>
      </w:r>
      <w:r w:rsidRPr="00BC1ABD">
        <w:rPr>
          <w:rFonts w:eastAsia="Times New Roman" w:cs="Arial"/>
          <w:sz w:val="24"/>
          <w:szCs w:val="24"/>
          <w:lang w:val="en-GB"/>
        </w:rPr>
        <w:t xml:space="preserve"> services through their own access infrastructure for their own retail needs (self-supply), in such a way that they can influence the hypothetical price levels of the unbundled fibre access service. In the case of the existence of this competitive pressure on the retail level, </w:t>
      </w:r>
      <w:r w:rsidR="00592449">
        <w:rPr>
          <w:rFonts w:eastAsia="Times New Roman" w:cs="Arial"/>
          <w:sz w:val="24"/>
          <w:szCs w:val="24"/>
          <w:lang w:val="en-GB"/>
        </w:rPr>
        <w:t>FTTx</w:t>
      </w:r>
      <w:r w:rsidRPr="00BC1ABD">
        <w:rPr>
          <w:rFonts w:eastAsia="Times New Roman" w:cs="Arial"/>
          <w:sz w:val="24"/>
          <w:szCs w:val="24"/>
          <w:lang w:val="en-GB"/>
        </w:rPr>
        <w:t xml:space="preserve"> self-supplied services should be included in the definition of the fixed wholesale access market.</w:t>
      </w:r>
    </w:p>
    <w:p w14:paraId="37605016" w14:textId="4E89D37B"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Considering that in Georgia there are several operators providing retail broadband access through </w:t>
      </w:r>
      <w:r w:rsidR="00592449">
        <w:rPr>
          <w:rFonts w:eastAsia="Times New Roman" w:cs="Arial"/>
          <w:sz w:val="24"/>
          <w:szCs w:val="24"/>
          <w:lang w:val="en-GB"/>
        </w:rPr>
        <w:t>FTTx</w:t>
      </w:r>
      <w:r w:rsidRPr="00BC1ABD">
        <w:rPr>
          <w:rFonts w:eastAsia="Times New Roman" w:cs="Arial"/>
          <w:sz w:val="24"/>
          <w:szCs w:val="24"/>
          <w:lang w:val="en-GB"/>
        </w:rPr>
        <w:t xml:space="preserve"> (see Chapter </w:t>
      </w:r>
      <w:r w:rsidR="00957DA2">
        <w:rPr>
          <w:rFonts w:eastAsia="Times New Roman" w:cs="Arial"/>
          <w:sz w:val="24"/>
          <w:szCs w:val="24"/>
          <w:lang w:val="en-GB"/>
        </w:rPr>
        <w:t>3</w:t>
      </w:r>
      <w:r w:rsidRPr="00BC1ABD">
        <w:rPr>
          <w:rFonts w:eastAsia="Times New Roman" w:cs="Arial"/>
          <w:sz w:val="24"/>
          <w:szCs w:val="24"/>
          <w:lang w:val="en-GB"/>
        </w:rPr>
        <w:t>.1), it needs to be assessed if those players could provide sufficient competitive pressure in a way that it affects the pricing of wholesale unbundled access.</w:t>
      </w:r>
    </w:p>
    <w:p w14:paraId="04ED244D" w14:textId="702370C2"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Within the coverage areas of </w:t>
      </w:r>
      <w:r w:rsidR="00592449">
        <w:rPr>
          <w:rFonts w:eastAsia="Times New Roman" w:cs="Arial"/>
          <w:sz w:val="24"/>
          <w:szCs w:val="24"/>
          <w:lang w:val="en-GB"/>
        </w:rPr>
        <w:t>FTTx</w:t>
      </w:r>
      <w:r w:rsidRPr="00BC1ABD">
        <w:rPr>
          <w:rFonts w:eastAsia="Times New Roman" w:cs="Arial"/>
          <w:sz w:val="24"/>
          <w:szCs w:val="24"/>
          <w:lang w:val="en-GB"/>
        </w:rPr>
        <w:t xml:space="preserve"> infrastructures, the competitive pressure could exist only in the areas where operators are present with their own infrastructures. Having in mind that most of the operators do not have national coverage (as described in the chapter </w:t>
      </w:r>
      <w:r w:rsidR="0049791C">
        <w:rPr>
          <w:rFonts w:eastAsia="Times New Roman" w:cs="Arial"/>
          <w:sz w:val="24"/>
          <w:szCs w:val="24"/>
          <w:lang w:val="en-GB"/>
        </w:rPr>
        <w:t>3</w:t>
      </w:r>
      <w:r w:rsidRPr="00BC1ABD">
        <w:rPr>
          <w:rFonts w:eastAsia="Times New Roman" w:cs="Arial"/>
          <w:sz w:val="24"/>
          <w:szCs w:val="24"/>
          <w:lang w:val="en-GB"/>
        </w:rPr>
        <w:t xml:space="preserve">.1), the competitive pressure of self-supplied services would have to be considered in each geographical area where </w:t>
      </w:r>
      <w:r w:rsidR="00592449">
        <w:rPr>
          <w:rFonts w:eastAsia="Times New Roman" w:cs="Arial"/>
          <w:sz w:val="24"/>
          <w:szCs w:val="24"/>
          <w:lang w:val="en-GB"/>
        </w:rPr>
        <w:t>FTTx</w:t>
      </w:r>
      <w:r w:rsidRPr="00BC1ABD">
        <w:rPr>
          <w:rFonts w:eastAsia="Times New Roman" w:cs="Arial"/>
          <w:sz w:val="24"/>
          <w:szCs w:val="24"/>
          <w:lang w:val="en-GB"/>
        </w:rPr>
        <w:t xml:space="preserve"> networks exist. This approach would require a significant level of geo-segmentation of local markets.</w:t>
      </w:r>
    </w:p>
    <w:p w14:paraId="18965C51" w14:textId="1AA9ACE1"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It is considered that in the geographical areas where there is infrastructure competition (that is in areas where more than one </w:t>
      </w:r>
      <w:r w:rsidR="00592449">
        <w:rPr>
          <w:rFonts w:eastAsia="Times New Roman" w:cs="Arial"/>
          <w:sz w:val="24"/>
          <w:szCs w:val="24"/>
          <w:lang w:val="en-GB"/>
        </w:rPr>
        <w:t>FTTx</w:t>
      </w:r>
      <w:r w:rsidRPr="00BC1ABD">
        <w:rPr>
          <w:rFonts w:eastAsia="Times New Roman" w:cs="Arial"/>
          <w:sz w:val="24"/>
          <w:szCs w:val="24"/>
          <w:lang w:val="en-GB"/>
        </w:rPr>
        <w:t xml:space="preserve"> operators use their own infrastructure), these operators could pose significant competitive pressure on each other regarding the pricing of unbundled fibre access.</w:t>
      </w:r>
    </w:p>
    <w:p w14:paraId="5B6047B2" w14:textId="7A59E483" w:rsidR="00EF3CA3" w:rsidRPr="00BC1ABD" w:rsidRDefault="00EF3CA3" w:rsidP="00EF3CA3">
      <w:pPr>
        <w:jc w:val="both"/>
        <w:rPr>
          <w:rFonts w:eastAsia="Times New Roman" w:cs="Arial"/>
          <w:sz w:val="24"/>
          <w:szCs w:val="24"/>
          <w:lang w:val="en-GB"/>
        </w:rPr>
      </w:pPr>
      <w:r w:rsidRPr="00BC1ABD">
        <w:rPr>
          <w:rFonts w:eastAsia="Times New Roman" w:cs="Arial"/>
          <w:sz w:val="24"/>
          <w:szCs w:val="24"/>
          <w:lang w:val="en-GB"/>
        </w:rPr>
        <w:t xml:space="preserve">It is therefore concluded that in the geographical analysis of this relevant market, all the existing </w:t>
      </w:r>
      <w:r w:rsidR="00592449">
        <w:rPr>
          <w:rFonts w:eastAsia="Times New Roman" w:cs="Arial"/>
          <w:sz w:val="24"/>
          <w:szCs w:val="24"/>
          <w:lang w:val="en-GB"/>
        </w:rPr>
        <w:t>FTTx</w:t>
      </w:r>
      <w:r w:rsidRPr="00BC1ABD">
        <w:rPr>
          <w:rFonts w:eastAsia="Times New Roman" w:cs="Arial"/>
          <w:sz w:val="24"/>
          <w:szCs w:val="24"/>
          <w:lang w:val="en-GB"/>
        </w:rPr>
        <w:t xml:space="preserve"> infrastructures in all the settlements should be taken into account, using each operator’s coverage data as well as the actual number of connections for each retail operator. This means that during the market analysis process that examines the competition on this relevant market, there should be clear criteria for assessing the level of competition in each settlement. These criteria should take into account (amongst other aspects) the self-supply services of the existing fibre infrastructures as well as the actual retail take-up rates in order to understand the competitive pressure between the different infrastructure operators.</w:t>
      </w:r>
    </w:p>
    <w:p w14:paraId="40F83C34" w14:textId="0B2F8ABE" w:rsidR="001C5FBE" w:rsidRPr="009367E3" w:rsidRDefault="00EF3CA3" w:rsidP="009367E3">
      <w:pPr>
        <w:jc w:val="both"/>
        <w:rPr>
          <w:rFonts w:eastAsia="Times New Roman" w:cs="Arial"/>
          <w:sz w:val="24"/>
          <w:szCs w:val="24"/>
          <w:lang w:val="en-GB"/>
        </w:rPr>
      </w:pPr>
      <w:r w:rsidRPr="00BC1ABD">
        <w:rPr>
          <w:rFonts w:eastAsia="Times New Roman" w:cs="Arial"/>
          <w:sz w:val="24"/>
          <w:szCs w:val="24"/>
          <w:lang w:val="en-GB"/>
        </w:rPr>
        <w:t>Having in mind that on this relevant market there are no current wholesale services provided, it is clear that self-supply of services should be taken into account. This should be done by assessing competition in each settlement. As a result, it is concluded that self-supplied broadband access services in the forward-looking time horizon of this market analysis form part of the same relevant market as wholesale unbundled fibre</w:t>
      </w:r>
      <w:r w:rsidR="009D7748" w:rsidRPr="00BC1ABD">
        <w:rPr>
          <w:rFonts w:eastAsia="Times New Roman" w:cs="Arial"/>
          <w:sz w:val="24"/>
          <w:szCs w:val="24"/>
          <w:lang w:val="en-GB"/>
        </w:rPr>
        <w:t xml:space="preserve">. </w:t>
      </w:r>
    </w:p>
    <w:p w14:paraId="1D60ED93" w14:textId="2631301E" w:rsidR="00C41774" w:rsidRPr="00BC1ABD" w:rsidRDefault="00B271E6" w:rsidP="009367E3">
      <w:pPr>
        <w:pStyle w:val="Heading2"/>
        <w:numPr>
          <w:ilvl w:val="1"/>
          <w:numId w:val="88"/>
        </w:numPr>
        <w:spacing w:after="240"/>
        <w:rPr>
          <w:lang w:val="en-GB"/>
        </w:rPr>
      </w:pPr>
      <w:bookmarkStart w:id="237" w:name="_Toc169258941"/>
      <w:r w:rsidRPr="00BC1ABD">
        <w:rPr>
          <w:lang w:val="en-GB"/>
        </w:rPr>
        <w:t>Product market definition</w:t>
      </w:r>
      <w:r w:rsidR="00335F11">
        <w:rPr>
          <w:lang w:val="en-GB"/>
        </w:rPr>
        <w:t>:</w:t>
      </w:r>
      <w:r w:rsidRPr="00BC1ABD">
        <w:rPr>
          <w:lang w:val="en-GB"/>
        </w:rPr>
        <w:t xml:space="preserve"> </w:t>
      </w:r>
      <w:r w:rsidR="00335F11">
        <w:rPr>
          <w:lang w:val="en-GB"/>
        </w:rPr>
        <w:t>S</w:t>
      </w:r>
      <w:r w:rsidRPr="00BC1ABD">
        <w:rPr>
          <w:lang w:val="en-GB"/>
        </w:rPr>
        <w:t>upply</w:t>
      </w:r>
      <w:r w:rsidR="00335F11">
        <w:rPr>
          <w:lang w:val="en-GB"/>
        </w:rPr>
        <w:t>-</w:t>
      </w:r>
      <w:r w:rsidRPr="00BC1ABD">
        <w:rPr>
          <w:lang w:val="en-GB"/>
        </w:rPr>
        <w:t>side substitution</w:t>
      </w:r>
      <w:bookmarkEnd w:id="237"/>
    </w:p>
    <w:p w14:paraId="28C06A31" w14:textId="3CD9C504" w:rsidR="0002157F" w:rsidRPr="00BC1ABD" w:rsidRDefault="0002157F" w:rsidP="0002157F">
      <w:pPr>
        <w:jc w:val="both"/>
        <w:rPr>
          <w:rFonts w:eastAsia="Times New Roman" w:cs="Arial"/>
          <w:sz w:val="24"/>
          <w:szCs w:val="24"/>
          <w:lang w:val="en-GB"/>
        </w:rPr>
      </w:pPr>
      <w:r w:rsidRPr="00BC1ABD">
        <w:rPr>
          <w:rFonts w:eastAsia="Times New Roman" w:cs="Arial"/>
          <w:sz w:val="24"/>
          <w:szCs w:val="24"/>
          <w:lang w:val="en-GB"/>
        </w:rPr>
        <w:t>Substitutability on the supply</w:t>
      </w:r>
      <w:r w:rsidR="00F54BCD">
        <w:rPr>
          <w:rFonts w:eastAsia="Times New Roman" w:cs="Arial"/>
          <w:sz w:val="24"/>
          <w:szCs w:val="24"/>
          <w:lang w:val="en-GB"/>
        </w:rPr>
        <w:t>-</w:t>
      </w:r>
      <w:r w:rsidRPr="00BC1ABD">
        <w:rPr>
          <w:rFonts w:eastAsia="Times New Roman" w:cs="Arial"/>
          <w:sz w:val="24"/>
          <w:szCs w:val="24"/>
          <w:lang w:val="en-GB"/>
        </w:rPr>
        <w:t>side refers to the possibility that other operators, not present in this relevant market, in the event of a small but significant increase in the price of the wholesale unbundled fibre access service, would offer the same service to that wholesale service, without incurring significant additional costs.</w:t>
      </w:r>
    </w:p>
    <w:p w14:paraId="78B69DD5" w14:textId="0968117C" w:rsidR="0002157F" w:rsidRPr="00BC1ABD" w:rsidRDefault="0002157F" w:rsidP="0002157F">
      <w:pPr>
        <w:jc w:val="both"/>
        <w:rPr>
          <w:rFonts w:eastAsia="Times New Roman" w:cs="Arial"/>
          <w:sz w:val="24"/>
          <w:szCs w:val="24"/>
          <w:lang w:val="en-GB"/>
        </w:rPr>
      </w:pPr>
      <w:r w:rsidRPr="00BC1ABD">
        <w:rPr>
          <w:rFonts w:eastAsia="Times New Roman" w:cs="Arial"/>
          <w:sz w:val="24"/>
          <w:szCs w:val="24"/>
          <w:lang w:val="en-GB"/>
        </w:rPr>
        <w:t xml:space="preserve">At present there are no </w:t>
      </w:r>
      <w:r w:rsidR="00592449">
        <w:rPr>
          <w:rFonts w:eastAsia="Times New Roman" w:cs="Arial"/>
          <w:sz w:val="24"/>
          <w:szCs w:val="24"/>
          <w:lang w:val="en-GB"/>
        </w:rPr>
        <w:t>FTTx</w:t>
      </w:r>
      <w:r w:rsidRPr="00BC1ABD">
        <w:rPr>
          <w:rFonts w:eastAsia="Times New Roman" w:cs="Arial"/>
          <w:sz w:val="24"/>
          <w:szCs w:val="24"/>
          <w:lang w:val="en-GB"/>
        </w:rPr>
        <w:t xml:space="preserve"> operators offering wholesale fixed local and central access services in Georgia, apart from the existence of self-supply in the market (see Chapter </w:t>
      </w:r>
      <w:r w:rsidR="005016BA">
        <w:rPr>
          <w:rFonts w:eastAsia="Times New Roman" w:cs="Arial"/>
          <w:sz w:val="24"/>
          <w:szCs w:val="24"/>
          <w:lang w:val="en-GB"/>
        </w:rPr>
        <w:t>4</w:t>
      </w:r>
      <w:r w:rsidRPr="00BC1ABD">
        <w:rPr>
          <w:rFonts w:eastAsia="Times New Roman" w:cs="Arial"/>
          <w:sz w:val="24"/>
          <w:szCs w:val="24"/>
          <w:lang w:val="en-GB"/>
        </w:rPr>
        <w:t>.1).</w:t>
      </w:r>
    </w:p>
    <w:p w14:paraId="10D1F1E3" w14:textId="78736C27" w:rsidR="0002157F" w:rsidRPr="00BC1ABD" w:rsidRDefault="0002157F" w:rsidP="0002157F">
      <w:pPr>
        <w:jc w:val="both"/>
        <w:rPr>
          <w:rFonts w:eastAsia="Times New Roman" w:cs="Arial"/>
          <w:sz w:val="24"/>
          <w:szCs w:val="24"/>
          <w:lang w:val="en-GB"/>
        </w:rPr>
      </w:pPr>
      <w:r w:rsidRPr="00BC1ABD">
        <w:rPr>
          <w:rFonts w:eastAsia="Times New Roman" w:cs="Arial"/>
          <w:sz w:val="24"/>
          <w:szCs w:val="24"/>
          <w:lang w:val="en-GB"/>
        </w:rPr>
        <w:t xml:space="preserve">It is considered to be unlikely that other operators (apart from those already active on this market using self-supply within their own </w:t>
      </w:r>
      <w:r w:rsidR="00592449">
        <w:rPr>
          <w:rFonts w:eastAsia="Times New Roman" w:cs="Arial"/>
          <w:sz w:val="24"/>
          <w:szCs w:val="24"/>
          <w:lang w:val="en-GB"/>
        </w:rPr>
        <w:t>FTTx</w:t>
      </w:r>
      <w:r w:rsidRPr="00BC1ABD">
        <w:rPr>
          <w:rFonts w:eastAsia="Times New Roman" w:cs="Arial"/>
          <w:sz w:val="24"/>
          <w:szCs w:val="24"/>
          <w:lang w:val="en-GB"/>
        </w:rPr>
        <w:t xml:space="preserve"> coverage) would be able to start providing wholesale unbundled fibre access services with significant coverage during the forward-looking time horizon of this market analysis.</w:t>
      </w:r>
    </w:p>
    <w:p w14:paraId="61394E88" w14:textId="2C871ECC" w:rsidR="0002157F" w:rsidRPr="00BC1ABD" w:rsidRDefault="0002157F" w:rsidP="0002157F">
      <w:pPr>
        <w:jc w:val="both"/>
        <w:rPr>
          <w:rFonts w:eastAsia="Times New Roman" w:cs="Arial"/>
          <w:sz w:val="24"/>
          <w:szCs w:val="24"/>
          <w:lang w:val="en-GB"/>
        </w:rPr>
      </w:pPr>
      <w:r w:rsidRPr="00BC1ABD">
        <w:rPr>
          <w:rFonts w:eastAsia="Times New Roman" w:cs="Arial"/>
          <w:sz w:val="24"/>
          <w:szCs w:val="24"/>
          <w:lang w:val="en-GB"/>
        </w:rPr>
        <w:t>The possibility has to be considered that an operator could start to offer a service identical to wholesale unbundled fibre access through other (non-</w:t>
      </w:r>
      <w:r w:rsidR="00592449">
        <w:rPr>
          <w:rFonts w:eastAsia="Times New Roman" w:cs="Arial"/>
          <w:sz w:val="24"/>
          <w:szCs w:val="24"/>
          <w:lang w:val="en-GB"/>
        </w:rPr>
        <w:t>FTTx</w:t>
      </w:r>
      <w:r w:rsidRPr="00BC1ABD">
        <w:rPr>
          <w:rFonts w:eastAsia="Times New Roman" w:cs="Arial"/>
          <w:sz w:val="24"/>
          <w:szCs w:val="24"/>
          <w:lang w:val="en-GB"/>
        </w:rPr>
        <w:t>) networks. In Georgia, the alternative networks use copper pairs or FWA (which are not future-proof). The more future-proof cable access networks (</w:t>
      </w:r>
      <w:r w:rsidRPr="00E517D9">
        <w:rPr>
          <w:lang w:val="en-US"/>
        </w:rPr>
        <w:t>DOCSIS</w:t>
      </w:r>
      <w:r w:rsidRPr="00BC1ABD">
        <w:rPr>
          <w:rFonts w:eastAsia="Times New Roman" w:cs="Arial"/>
          <w:sz w:val="24"/>
          <w:szCs w:val="24"/>
          <w:lang w:val="en-GB"/>
        </w:rPr>
        <w:t xml:space="preserve"> based</w:t>
      </w:r>
      <w:r w:rsidRPr="00BC1ABD">
        <w:rPr>
          <w:rFonts w:eastAsia="Times New Roman" w:cs="Arial"/>
          <w:sz w:val="24"/>
          <w:szCs w:val="24"/>
          <w:vertAlign w:val="superscript"/>
          <w:lang w:val="en-GB"/>
        </w:rPr>
        <w:footnoteReference w:id="82"/>
      </w:r>
      <w:r w:rsidRPr="00BC1ABD">
        <w:rPr>
          <w:rFonts w:eastAsia="Times New Roman" w:cs="Arial"/>
          <w:sz w:val="24"/>
          <w:szCs w:val="24"/>
          <w:lang w:val="en-GB"/>
        </w:rPr>
        <w:t xml:space="preserve">) are not available in Georgia, so there can be no supply-side competitive pressures. Although the </w:t>
      </w:r>
      <w:r w:rsidR="00CE221E" w:rsidRPr="00E517D9">
        <w:rPr>
          <w:lang w:val="en-US"/>
        </w:rPr>
        <w:t>Open Net</w:t>
      </w:r>
      <w:r w:rsidRPr="00BC1ABD">
        <w:rPr>
          <w:rFonts w:eastAsia="Times New Roman" w:cs="Arial"/>
          <w:sz w:val="24"/>
          <w:szCs w:val="24"/>
          <w:vertAlign w:val="superscript"/>
          <w:lang w:val="en-GB"/>
        </w:rPr>
        <w:footnoteReference w:id="83"/>
      </w:r>
      <w:r w:rsidRPr="00BC1ABD">
        <w:rPr>
          <w:rFonts w:eastAsia="Times New Roman" w:cs="Arial"/>
          <w:sz w:val="24"/>
          <w:szCs w:val="24"/>
          <w:lang w:val="en-GB"/>
        </w:rPr>
        <w:t xml:space="preserve"> project is in progress to facilitate rural coverage in Georgia, the new infrastructure only provides the backhaul part of the network, it does not build access networks itself.</w:t>
      </w:r>
    </w:p>
    <w:p w14:paraId="67BD33E9" w14:textId="7DDAECD2" w:rsidR="00B271E6" w:rsidRPr="00EA5052" w:rsidRDefault="0002157F" w:rsidP="00EA5052">
      <w:pPr>
        <w:jc w:val="both"/>
        <w:rPr>
          <w:rFonts w:cs="Arial"/>
          <w:sz w:val="24"/>
          <w:szCs w:val="24"/>
          <w:lang w:val="en-GB"/>
        </w:rPr>
      </w:pPr>
      <w:r w:rsidRPr="00BC1ABD">
        <w:rPr>
          <w:rFonts w:eastAsia="Times New Roman" w:cs="Arial"/>
          <w:sz w:val="24"/>
          <w:szCs w:val="24"/>
          <w:lang w:val="en-GB"/>
        </w:rPr>
        <w:t>It is therefore concluded that in Georgia there is no substitute on the supply-side in relation to wholesale fixed fibre access services</w:t>
      </w:r>
      <w:r w:rsidR="00F24E1B" w:rsidRPr="00BC1ABD">
        <w:rPr>
          <w:rFonts w:cs="Arial"/>
          <w:sz w:val="24"/>
          <w:szCs w:val="24"/>
          <w:lang w:val="en-GB"/>
        </w:rPr>
        <w:t>.</w:t>
      </w:r>
    </w:p>
    <w:p w14:paraId="607D71C5" w14:textId="382AAB38" w:rsidR="00B271E6" w:rsidRPr="00BC1ABD" w:rsidRDefault="00E8318E" w:rsidP="009367E3">
      <w:pPr>
        <w:pStyle w:val="Heading2"/>
        <w:numPr>
          <w:ilvl w:val="1"/>
          <w:numId w:val="88"/>
        </w:numPr>
        <w:spacing w:after="240"/>
        <w:rPr>
          <w:lang w:val="en-GB"/>
        </w:rPr>
      </w:pPr>
      <w:bookmarkStart w:id="238" w:name="_Toc169258942"/>
      <w:r w:rsidRPr="00BC1ABD">
        <w:rPr>
          <w:lang w:val="en-GB"/>
        </w:rPr>
        <w:t>Conclusion on the wholesale fixed local and central access product market definition</w:t>
      </w:r>
      <w:bookmarkEnd w:id="238"/>
      <w:r w:rsidR="00B271E6" w:rsidRPr="00BC1ABD">
        <w:rPr>
          <w:lang w:val="en-GB"/>
        </w:rPr>
        <w:tab/>
      </w:r>
    </w:p>
    <w:p w14:paraId="2EEFEC87" w14:textId="280C9C35"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 xml:space="preserve">Based on the analysis made in the sections </w:t>
      </w:r>
      <w:r w:rsidR="008124D7">
        <w:rPr>
          <w:rFonts w:eastAsia="Times New Roman" w:cs="Arial"/>
          <w:sz w:val="24"/>
          <w:szCs w:val="24"/>
          <w:lang w:val="en-GB"/>
        </w:rPr>
        <w:t>4.</w:t>
      </w:r>
      <w:r w:rsidRPr="00BC1ABD">
        <w:rPr>
          <w:rFonts w:eastAsia="Times New Roman" w:cs="Arial"/>
          <w:sz w:val="24"/>
          <w:szCs w:val="24"/>
          <w:lang w:val="en-GB"/>
        </w:rPr>
        <w:t xml:space="preserve">1 and </w:t>
      </w:r>
      <w:r w:rsidR="008124D7">
        <w:rPr>
          <w:rFonts w:eastAsia="Times New Roman" w:cs="Arial"/>
          <w:sz w:val="24"/>
          <w:szCs w:val="24"/>
          <w:lang w:val="en-GB"/>
        </w:rPr>
        <w:t>4</w:t>
      </w:r>
      <w:r w:rsidRPr="00BC1ABD">
        <w:rPr>
          <w:rFonts w:eastAsia="Times New Roman" w:cs="Arial"/>
          <w:sz w:val="24"/>
          <w:szCs w:val="24"/>
          <w:lang w:val="en-GB"/>
        </w:rPr>
        <w:t xml:space="preserve">.2, it is concluded that the wholesale local and central access market in Georgia </w:t>
      </w:r>
      <w:r w:rsidR="007E7D1A">
        <w:rPr>
          <w:rFonts w:eastAsia="Times New Roman" w:cs="Arial"/>
          <w:sz w:val="24"/>
          <w:szCs w:val="24"/>
          <w:lang w:val="en-GB"/>
        </w:rPr>
        <w:t>at a</w:t>
      </w:r>
      <w:r w:rsidRPr="00BC1ABD">
        <w:rPr>
          <w:rFonts w:eastAsia="Times New Roman" w:cs="Arial"/>
          <w:sz w:val="24"/>
          <w:szCs w:val="24"/>
          <w:lang w:val="en-GB"/>
        </w:rPr>
        <w:t xml:space="preserve"> fixed location consists of following services:</w:t>
      </w:r>
    </w:p>
    <w:p w14:paraId="4551B682" w14:textId="1916CB98" w:rsidR="00E314EB" w:rsidRPr="00B64539" w:rsidRDefault="00E314EB" w:rsidP="00E314EB">
      <w:pPr>
        <w:numPr>
          <w:ilvl w:val="0"/>
          <w:numId w:val="83"/>
        </w:numPr>
        <w:contextualSpacing/>
        <w:jc w:val="both"/>
        <w:rPr>
          <w:rFonts w:eastAsia="Times New Roman" w:cs="Arial"/>
          <w:sz w:val="24"/>
          <w:szCs w:val="24"/>
          <w:lang w:val="en-GB"/>
        </w:rPr>
      </w:pPr>
      <w:r w:rsidRPr="00B64539">
        <w:rPr>
          <w:rFonts w:eastAsia="Times New Roman" w:cs="Arial"/>
          <w:sz w:val="24"/>
          <w:szCs w:val="24"/>
          <w:lang w:val="en-GB"/>
        </w:rPr>
        <w:t>Unbundled fibre services based on FTTH P2P access network architecture</w:t>
      </w:r>
      <w:r w:rsidR="00B4224D" w:rsidRPr="00B64539">
        <w:rPr>
          <w:rFonts w:eastAsia="Times New Roman" w:cs="Arial"/>
          <w:sz w:val="24"/>
          <w:szCs w:val="24"/>
          <w:lang w:val="en-GB"/>
        </w:rPr>
        <w:t>;</w:t>
      </w:r>
    </w:p>
    <w:p w14:paraId="6AD36D4B" w14:textId="204A5596" w:rsidR="00E314EB" w:rsidRPr="00B64539" w:rsidRDefault="00B4224D" w:rsidP="00B4224D">
      <w:pPr>
        <w:numPr>
          <w:ilvl w:val="0"/>
          <w:numId w:val="83"/>
        </w:numPr>
        <w:contextualSpacing/>
        <w:jc w:val="both"/>
        <w:rPr>
          <w:rFonts w:eastAsia="Times New Roman" w:cs="Arial"/>
          <w:sz w:val="24"/>
          <w:szCs w:val="24"/>
          <w:lang w:val="en-GB"/>
        </w:rPr>
      </w:pPr>
      <w:r w:rsidRPr="00B64539">
        <w:rPr>
          <w:rFonts w:eastAsia="Times New Roman" w:cs="Arial"/>
          <w:sz w:val="24"/>
          <w:szCs w:val="24"/>
          <w:lang w:val="en-GB"/>
        </w:rPr>
        <w:t>VULA services based on FTTH (P2P and GPON) and FTTB UTP Ethernet to Home access network architectures;</w:t>
      </w:r>
    </w:p>
    <w:p w14:paraId="4C14CECE" w14:textId="1AD80CD4" w:rsidR="00E314EB" w:rsidRPr="00BC1ABD" w:rsidRDefault="00E314EB" w:rsidP="00E314EB">
      <w:pPr>
        <w:numPr>
          <w:ilvl w:val="0"/>
          <w:numId w:val="83"/>
        </w:numPr>
        <w:contextualSpacing/>
        <w:jc w:val="both"/>
        <w:rPr>
          <w:rFonts w:eastAsia="Times New Roman" w:cs="Arial"/>
          <w:sz w:val="24"/>
          <w:szCs w:val="24"/>
          <w:lang w:val="en-GB"/>
        </w:rPr>
      </w:pPr>
      <w:r w:rsidRPr="00BC1ABD">
        <w:rPr>
          <w:rFonts w:eastAsia="Times New Roman" w:cs="Arial"/>
          <w:sz w:val="24"/>
          <w:szCs w:val="24"/>
          <w:lang w:val="en-GB"/>
        </w:rPr>
        <w:t xml:space="preserve">Bitstream access service (BSA) </w:t>
      </w:r>
      <w:r w:rsidRPr="00BC1ABD">
        <w:rPr>
          <w:rFonts w:eastAsia="Times New Roman"/>
          <w:sz w:val="24"/>
          <w:szCs w:val="24"/>
          <w:lang w:val="en-GB"/>
        </w:rPr>
        <w:t xml:space="preserve">on the following levels (points of handover) irrespective of the technologies used in the </w:t>
      </w:r>
      <w:r w:rsidR="00592449">
        <w:rPr>
          <w:rFonts w:eastAsia="Times New Roman"/>
          <w:sz w:val="24"/>
          <w:szCs w:val="24"/>
          <w:lang w:val="en-GB"/>
        </w:rPr>
        <w:t>FTTx</w:t>
      </w:r>
      <w:r w:rsidRPr="00BC1ABD">
        <w:rPr>
          <w:rFonts w:eastAsia="Times New Roman"/>
          <w:sz w:val="24"/>
          <w:szCs w:val="24"/>
          <w:lang w:val="en-GB"/>
        </w:rPr>
        <w:t xml:space="preserve"> access network:</w:t>
      </w:r>
    </w:p>
    <w:p w14:paraId="554E98B7" w14:textId="0C187D63" w:rsidR="00E314EB" w:rsidRPr="00BC1ABD" w:rsidRDefault="00E314EB" w:rsidP="00E314EB">
      <w:pPr>
        <w:numPr>
          <w:ilvl w:val="1"/>
          <w:numId w:val="82"/>
        </w:numPr>
        <w:contextualSpacing/>
        <w:jc w:val="both"/>
        <w:rPr>
          <w:rFonts w:eastAsia="Times New Roman"/>
          <w:sz w:val="24"/>
          <w:szCs w:val="24"/>
          <w:lang w:val="en-GB"/>
        </w:rPr>
      </w:pPr>
      <w:r w:rsidRPr="00BC1ABD">
        <w:rPr>
          <w:rFonts w:eastAsia="Times New Roman"/>
          <w:sz w:val="24"/>
          <w:szCs w:val="24"/>
          <w:lang w:val="en-GB"/>
        </w:rPr>
        <w:t>Point of Handover on local level (OLT)</w:t>
      </w:r>
      <w:r w:rsidR="00B4224D">
        <w:rPr>
          <w:rFonts w:eastAsia="Times New Roman"/>
          <w:sz w:val="24"/>
          <w:szCs w:val="24"/>
          <w:lang w:val="en-GB"/>
        </w:rPr>
        <w:t>;</w:t>
      </w:r>
    </w:p>
    <w:p w14:paraId="43458331" w14:textId="738CCD2A" w:rsidR="00E314EB" w:rsidRPr="00BC1ABD" w:rsidRDefault="00E314EB" w:rsidP="00E314EB">
      <w:pPr>
        <w:numPr>
          <w:ilvl w:val="1"/>
          <w:numId w:val="82"/>
        </w:numPr>
        <w:contextualSpacing/>
        <w:jc w:val="both"/>
        <w:rPr>
          <w:rFonts w:eastAsia="Times New Roman"/>
          <w:sz w:val="24"/>
          <w:szCs w:val="24"/>
          <w:lang w:val="en-GB"/>
        </w:rPr>
      </w:pPr>
      <w:r w:rsidRPr="00BC1ABD">
        <w:rPr>
          <w:rFonts w:eastAsia="Times New Roman"/>
          <w:sz w:val="24"/>
          <w:szCs w:val="24"/>
          <w:lang w:val="en-GB"/>
        </w:rPr>
        <w:t>Point of Handover on regional level (Ethernet/IP)</w:t>
      </w:r>
      <w:r w:rsidR="00B4224D">
        <w:rPr>
          <w:rFonts w:eastAsia="Times New Roman"/>
          <w:sz w:val="24"/>
          <w:szCs w:val="24"/>
          <w:lang w:val="en-GB"/>
        </w:rPr>
        <w:t>;</w:t>
      </w:r>
    </w:p>
    <w:p w14:paraId="5CC6B90E" w14:textId="34AA5ABC" w:rsidR="00E314EB" w:rsidRPr="00BC1ABD" w:rsidRDefault="00E314EB" w:rsidP="00E314EB">
      <w:pPr>
        <w:numPr>
          <w:ilvl w:val="1"/>
          <w:numId w:val="82"/>
        </w:numPr>
        <w:contextualSpacing/>
        <w:jc w:val="both"/>
        <w:rPr>
          <w:rFonts w:eastAsia="Times New Roman" w:cs="Arial"/>
          <w:sz w:val="24"/>
          <w:szCs w:val="24"/>
          <w:lang w:val="en-GB"/>
        </w:rPr>
      </w:pPr>
      <w:r w:rsidRPr="00BC1ABD">
        <w:rPr>
          <w:rFonts w:eastAsia="Times New Roman"/>
          <w:sz w:val="24"/>
          <w:szCs w:val="24"/>
          <w:lang w:val="en-GB"/>
        </w:rPr>
        <w:t>Point of Handover on national level (Ethernet/IP)</w:t>
      </w:r>
      <w:r w:rsidR="00B4224D">
        <w:rPr>
          <w:rFonts w:eastAsia="Times New Roman"/>
          <w:sz w:val="24"/>
          <w:szCs w:val="24"/>
          <w:lang w:val="en-GB"/>
        </w:rPr>
        <w:t>.</w:t>
      </w:r>
    </w:p>
    <w:p w14:paraId="6E0D6142" w14:textId="20604BBC" w:rsidR="001B0633" w:rsidRPr="00BC1ABD" w:rsidRDefault="00E314EB" w:rsidP="00E314EB">
      <w:pPr>
        <w:pStyle w:val="ListParagraph"/>
        <w:numPr>
          <w:ilvl w:val="0"/>
          <w:numId w:val="83"/>
        </w:numPr>
        <w:jc w:val="both"/>
        <w:rPr>
          <w:rFonts w:cs="Arial"/>
          <w:sz w:val="24"/>
          <w:szCs w:val="24"/>
          <w:lang w:val="en-GB"/>
        </w:rPr>
      </w:pPr>
      <w:r w:rsidRPr="00BC1ABD">
        <w:rPr>
          <w:rFonts w:eastAsia="Times New Roman" w:cs="Arial"/>
          <w:sz w:val="24"/>
          <w:szCs w:val="24"/>
          <w:lang w:val="en-GB"/>
        </w:rPr>
        <w:t xml:space="preserve">Self-supply of </w:t>
      </w:r>
      <w:r w:rsidR="00592449">
        <w:rPr>
          <w:rFonts w:eastAsia="Times New Roman" w:cs="Arial"/>
          <w:sz w:val="24"/>
          <w:szCs w:val="24"/>
          <w:lang w:val="en-GB"/>
        </w:rPr>
        <w:t>FTTx</w:t>
      </w:r>
      <w:r w:rsidRPr="00BC1ABD">
        <w:rPr>
          <w:rFonts w:eastAsia="Times New Roman" w:cs="Arial"/>
          <w:sz w:val="24"/>
          <w:szCs w:val="24"/>
          <w:lang w:val="en-GB"/>
        </w:rPr>
        <w:t xml:space="preserve"> from all operators with their own </w:t>
      </w:r>
      <w:r w:rsidR="00592449">
        <w:rPr>
          <w:rFonts w:eastAsia="Times New Roman" w:cs="Arial"/>
          <w:sz w:val="24"/>
          <w:szCs w:val="24"/>
          <w:lang w:val="en-GB"/>
        </w:rPr>
        <w:t>FTTx</w:t>
      </w:r>
      <w:r w:rsidRPr="00BC1ABD">
        <w:rPr>
          <w:rFonts w:eastAsia="Times New Roman" w:cs="Arial"/>
          <w:sz w:val="24"/>
          <w:szCs w:val="24"/>
          <w:lang w:val="en-GB"/>
        </w:rPr>
        <w:t xml:space="preserve"> networks</w:t>
      </w:r>
    </w:p>
    <w:p w14:paraId="3EEA79C4" w14:textId="77777777" w:rsidR="00F24E1B" w:rsidRPr="00BC1ABD" w:rsidRDefault="00F24E1B" w:rsidP="00E8318E">
      <w:pPr>
        <w:rPr>
          <w:lang w:val="en-GB"/>
        </w:rPr>
      </w:pPr>
    </w:p>
    <w:p w14:paraId="5AF07167" w14:textId="553B67CA" w:rsidR="00C556D6" w:rsidRPr="00BC1ABD" w:rsidRDefault="00B271E6" w:rsidP="00EB11F7">
      <w:pPr>
        <w:pStyle w:val="Heading2"/>
        <w:numPr>
          <w:ilvl w:val="1"/>
          <w:numId w:val="88"/>
        </w:numPr>
        <w:spacing w:after="240"/>
        <w:rPr>
          <w:lang w:val="en-GB"/>
        </w:rPr>
      </w:pPr>
      <w:bookmarkStart w:id="239" w:name="_Toc169258943"/>
      <w:r w:rsidRPr="00BC1ABD">
        <w:rPr>
          <w:lang w:val="en-GB"/>
        </w:rPr>
        <w:t>Geographical market definition</w:t>
      </w:r>
      <w:bookmarkEnd w:id="239"/>
    </w:p>
    <w:p w14:paraId="2076040D" w14:textId="77777777"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 xml:space="preserve">The legal and regulatory conditions applying to </w:t>
      </w:r>
      <w:r w:rsidRPr="00394E97">
        <w:rPr>
          <w:rFonts w:asciiTheme="minorHAnsi" w:eastAsia="Times New Roman" w:hAnsiTheme="minorHAnsi" w:cs="Calibri"/>
          <w:sz w:val="24"/>
          <w:szCs w:val="24"/>
          <w:lang w:val="en-GB"/>
        </w:rPr>
        <w:t xml:space="preserve">the wholesale fixed local and central access market </w:t>
      </w:r>
      <w:r w:rsidRPr="00BC1ABD">
        <w:rPr>
          <w:rFonts w:eastAsia="Times New Roman" w:cs="Arial"/>
          <w:sz w:val="24"/>
          <w:szCs w:val="24"/>
          <w:lang w:val="en-GB"/>
        </w:rPr>
        <w:t>are the same in the whole territory of Georgia.</w:t>
      </w:r>
    </w:p>
    <w:p w14:paraId="1875CB40" w14:textId="5EC22E49" w:rsidR="000015A4" w:rsidRPr="00BC1ABD" w:rsidRDefault="00E314EB" w:rsidP="000015A4">
      <w:pPr>
        <w:jc w:val="both"/>
        <w:rPr>
          <w:rFonts w:eastAsia="Times New Roman" w:cs="Arial"/>
          <w:sz w:val="24"/>
          <w:szCs w:val="24"/>
          <w:lang w:val="en-GB"/>
        </w:rPr>
      </w:pPr>
      <w:r w:rsidRPr="00BC1ABD">
        <w:rPr>
          <w:rFonts w:eastAsia="Times New Roman" w:cs="Arial"/>
          <w:sz w:val="24"/>
          <w:szCs w:val="24"/>
          <w:lang w:val="en-GB"/>
        </w:rPr>
        <w:t xml:space="preserve">The retail higher-speed fixed broadband access market (as described in chapter </w:t>
      </w:r>
      <w:r w:rsidR="0049791C">
        <w:rPr>
          <w:rFonts w:eastAsia="Times New Roman" w:cs="Arial"/>
          <w:sz w:val="24"/>
          <w:szCs w:val="24"/>
          <w:lang w:val="en-GB"/>
        </w:rPr>
        <w:t>3</w:t>
      </w:r>
      <w:r w:rsidRPr="00BC1ABD">
        <w:rPr>
          <w:rFonts w:eastAsia="Times New Roman" w:cs="Arial"/>
          <w:sz w:val="24"/>
          <w:szCs w:val="24"/>
          <w:lang w:val="en-GB"/>
        </w:rPr>
        <w:t xml:space="preserve">.4.) is national in its scope. This wholesale market is a notional wholesale market because there are no current wholesale offers in place. Market shares are defined by the current self-supply within the operators providing </w:t>
      </w:r>
      <w:r w:rsidR="00592449">
        <w:rPr>
          <w:rFonts w:eastAsia="Times New Roman" w:cs="Arial"/>
          <w:sz w:val="24"/>
          <w:szCs w:val="24"/>
          <w:lang w:val="en-GB"/>
        </w:rPr>
        <w:t>FTTx</w:t>
      </w:r>
      <w:r w:rsidRPr="00BC1ABD">
        <w:rPr>
          <w:rFonts w:eastAsia="Times New Roman" w:cs="Arial"/>
          <w:sz w:val="24"/>
          <w:szCs w:val="24"/>
          <w:lang w:val="en-GB"/>
        </w:rPr>
        <w:t xml:space="preserve"> retail services. In other </w:t>
      </w:r>
      <w:r w:rsidR="00CE221E" w:rsidRPr="00BC1ABD">
        <w:rPr>
          <w:rFonts w:eastAsia="Times New Roman" w:cs="Arial"/>
          <w:sz w:val="24"/>
          <w:szCs w:val="24"/>
          <w:lang w:val="en-GB"/>
        </w:rPr>
        <w:t>words,</w:t>
      </w:r>
      <w:r w:rsidRPr="00BC1ABD">
        <w:rPr>
          <w:rFonts w:eastAsia="Times New Roman" w:cs="Arial"/>
          <w:sz w:val="24"/>
          <w:szCs w:val="24"/>
          <w:lang w:val="en-GB"/>
        </w:rPr>
        <w:t xml:space="preserve"> the wholesale market shares are the same as the downstream retail market shares. This notional market largely relies on the network access (last mile) infrastructure owned by Magticom because it has the largest market coverage. Magticom’s geographical coverage is followed by Silknet, while all other </w:t>
      </w:r>
      <w:r w:rsidR="00592449">
        <w:rPr>
          <w:rFonts w:eastAsia="Times New Roman" w:cs="Arial"/>
          <w:sz w:val="24"/>
          <w:szCs w:val="24"/>
          <w:lang w:val="en-GB"/>
        </w:rPr>
        <w:t>FTTx</w:t>
      </w:r>
      <w:r w:rsidRPr="00BC1ABD">
        <w:rPr>
          <w:rFonts w:eastAsia="Times New Roman" w:cs="Arial"/>
          <w:sz w:val="24"/>
          <w:szCs w:val="24"/>
          <w:lang w:val="en-GB"/>
        </w:rPr>
        <w:t xml:space="preserve"> operators have a significantly lower footprint. It is considered that there are no significant nationally available alternatives to the </w:t>
      </w:r>
      <w:r w:rsidR="00592449">
        <w:rPr>
          <w:rFonts w:eastAsia="Times New Roman" w:cs="Arial"/>
          <w:sz w:val="24"/>
          <w:szCs w:val="24"/>
          <w:lang w:val="en-GB"/>
        </w:rPr>
        <w:t>FTTx</w:t>
      </w:r>
      <w:r w:rsidRPr="00BC1ABD">
        <w:rPr>
          <w:rFonts w:eastAsia="Times New Roman" w:cs="Arial"/>
          <w:sz w:val="24"/>
          <w:szCs w:val="24"/>
          <w:lang w:val="en-GB"/>
        </w:rPr>
        <w:t xml:space="preserve"> access networks of Magticom and Silknet. The area covered by Magticom’s and Silknet’s local access networks is national in scope but neither cover all settlements in Georgia. The most densely populated settlements are covered such that 85% of all households in Georgia have access to </w:t>
      </w:r>
      <w:r w:rsidR="00592449">
        <w:rPr>
          <w:rFonts w:eastAsia="Times New Roman" w:cs="Arial"/>
          <w:sz w:val="24"/>
          <w:szCs w:val="24"/>
          <w:lang w:val="en-GB"/>
        </w:rPr>
        <w:t>FTTx</w:t>
      </w:r>
      <w:r w:rsidRPr="00BC1ABD">
        <w:rPr>
          <w:rFonts w:eastAsia="Times New Roman" w:cs="Arial"/>
          <w:sz w:val="24"/>
          <w:szCs w:val="24"/>
          <w:lang w:val="en-GB"/>
        </w:rPr>
        <w:t xml:space="preserve"> networks (see chapter </w:t>
      </w:r>
      <w:r w:rsidR="001F4464">
        <w:rPr>
          <w:rFonts w:eastAsia="Times New Roman" w:cs="Arial"/>
          <w:sz w:val="24"/>
          <w:szCs w:val="24"/>
          <w:lang w:val="en-GB"/>
        </w:rPr>
        <w:t>3</w:t>
      </w:r>
      <w:r w:rsidRPr="00BC1ABD">
        <w:rPr>
          <w:rFonts w:eastAsia="Times New Roman" w:cs="Arial"/>
          <w:sz w:val="24"/>
          <w:szCs w:val="24"/>
          <w:lang w:val="en-GB"/>
        </w:rPr>
        <w:t>.1.2.1).</w:t>
      </w:r>
      <w:r w:rsidR="00950222">
        <w:rPr>
          <w:rStyle w:val="FootnoteReference"/>
          <w:rFonts w:eastAsia="Times New Roman" w:cs="Arial"/>
          <w:sz w:val="24"/>
          <w:szCs w:val="24"/>
          <w:lang w:val="en-GB"/>
        </w:rPr>
        <w:footnoteReference w:id="84"/>
      </w:r>
    </w:p>
    <w:p w14:paraId="36AD7C6E" w14:textId="429EBF93"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 xml:space="preserve">Currently, there are no existing wholesale offers based on </w:t>
      </w:r>
      <w:r w:rsidR="00592449">
        <w:rPr>
          <w:rFonts w:eastAsia="Times New Roman" w:cs="Arial"/>
          <w:sz w:val="24"/>
          <w:szCs w:val="24"/>
          <w:lang w:val="en-GB"/>
        </w:rPr>
        <w:t>FTTx</w:t>
      </w:r>
      <w:r w:rsidRPr="00BC1ABD">
        <w:rPr>
          <w:rFonts w:eastAsia="Times New Roman" w:cs="Arial"/>
          <w:sz w:val="24"/>
          <w:szCs w:val="24"/>
          <w:lang w:val="en-GB"/>
        </w:rPr>
        <w:t xml:space="preserve"> networks, which means that all operators provide services using their own infrastructures. The competitive conditions in the relevant wholesale local and central access market in different geographical areas of Georgia cannot be assessed because there is no wholesale access-based competition in Georgia. There is also no wholesale access available at the local access network level. The lack of these types of wholesale access services leads to the conclusion that for this market, there are no differences in competitive conditions in different geographic areas.</w:t>
      </w:r>
    </w:p>
    <w:p w14:paraId="388B69F8" w14:textId="5F283986"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 xml:space="preserve">Based on the data from Chapter </w:t>
      </w:r>
      <w:r w:rsidR="009B3CBA">
        <w:rPr>
          <w:rFonts w:eastAsia="Times New Roman" w:cs="Arial"/>
          <w:sz w:val="24"/>
          <w:szCs w:val="24"/>
          <w:lang w:val="en-GB"/>
        </w:rPr>
        <w:t>3</w:t>
      </w:r>
      <w:r w:rsidRPr="00BC1ABD">
        <w:rPr>
          <w:rFonts w:eastAsia="Times New Roman" w:cs="Arial"/>
          <w:sz w:val="24"/>
          <w:szCs w:val="24"/>
          <w:lang w:val="en-GB"/>
        </w:rPr>
        <w:t xml:space="preserve">.1, there is a different pattern of </w:t>
      </w:r>
      <w:r w:rsidR="00592449">
        <w:rPr>
          <w:rFonts w:eastAsia="Times New Roman" w:cs="Arial"/>
          <w:sz w:val="24"/>
          <w:szCs w:val="24"/>
          <w:lang w:val="en-GB"/>
        </w:rPr>
        <w:t>FTTx</w:t>
      </w:r>
      <w:r w:rsidRPr="00BC1ABD">
        <w:rPr>
          <w:rFonts w:eastAsia="Times New Roman" w:cs="Arial"/>
          <w:sz w:val="24"/>
          <w:szCs w:val="24"/>
          <w:lang w:val="en-GB"/>
        </w:rPr>
        <w:t xml:space="preserve"> infrastructure development from different providers throughout Georgia.</w:t>
      </w:r>
    </w:p>
    <w:p w14:paraId="576D190C" w14:textId="77777777"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The most important differences that could influence competition within different settlements are as follows:</w:t>
      </w:r>
    </w:p>
    <w:p w14:paraId="0F66C5EB" w14:textId="2533C2B1" w:rsidR="00E314EB" w:rsidRPr="00BC1ABD" w:rsidRDefault="00E314EB" w:rsidP="00E314EB">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 xml:space="preserve">The number of different </w:t>
      </w:r>
      <w:r w:rsidR="00592449">
        <w:rPr>
          <w:rFonts w:eastAsia="Times New Roman" w:cs="Arial"/>
          <w:sz w:val="24"/>
          <w:szCs w:val="24"/>
          <w:lang w:val="en-GB"/>
        </w:rPr>
        <w:t>FTTx</w:t>
      </w:r>
      <w:r w:rsidRPr="00BC1ABD">
        <w:rPr>
          <w:rFonts w:eastAsia="Times New Roman" w:cs="Arial"/>
          <w:sz w:val="24"/>
          <w:szCs w:val="24"/>
          <w:lang w:val="en-GB"/>
        </w:rPr>
        <w:t xml:space="preserve"> providers within each settlement</w:t>
      </w:r>
    </w:p>
    <w:p w14:paraId="74C372B4" w14:textId="77777777" w:rsidR="00E314EB" w:rsidRPr="00BC1ABD" w:rsidRDefault="00E314EB" w:rsidP="00E314EB">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The market shares of the different operators (bearing in mind that self-supply services form part of this relevant market) within each settlement</w:t>
      </w:r>
    </w:p>
    <w:p w14:paraId="09145549" w14:textId="4DC0C130" w:rsidR="00E314EB" w:rsidRPr="00BC1ABD" w:rsidRDefault="00E314EB" w:rsidP="00E314EB">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 xml:space="preserve">The differences in coverage by </w:t>
      </w:r>
      <w:r w:rsidR="00592449">
        <w:rPr>
          <w:rFonts w:eastAsia="Times New Roman" w:cs="Arial"/>
          <w:sz w:val="24"/>
          <w:szCs w:val="24"/>
          <w:lang w:val="en-GB"/>
        </w:rPr>
        <w:t>FTTx</w:t>
      </w:r>
      <w:r w:rsidRPr="00BC1ABD">
        <w:rPr>
          <w:rFonts w:eastAsia="Times New Roman" w:cs="Arial"/>
          <w:sz w:val="24"/>
          <w:szCs w:val="24"/>
          <w:lang w:val="en-GB"/>
        </w:rPr>
        <w:t xml:space="preserve"> networks by different players within each settlement:</w:t>
      </w:r>
    </w:p>
    <w:p w14:paraId="6C188897" w14:textId="77777777" w:rsidR="00E314EB" w:rsidRPr="00BC1ABD" w:rsidRDefault="00E314EB" w:rsidP="00E314EB">
      <w:pPr>
        <w:numPr>
          <w:ilvl w:val="1"/>
          <w:numId w:val="72"/>
        </w:numPr>
        <w:contextualSpacing/>
        <w:jc w:val="both"/>
        <w:rPr>
          <w:rFonts w:eastAsia="Times New Roman" w:cs="Arial"/>
          <w:sz w:val="24"/>
          <w:szCs w:val="24"/>
          <w:lang w:val="en-GB"/>
        </w:rPr>
      </w:pPr>
      <w:r w:rsidRPr="00BC1ABD">
        <w:rPr>
          <w:rFonts w:eastAsia="Times New Roman" w:cs="Arial"/>
          <w:sz w:val="24"/>
          <w:szCs w:val="24"/>
          <w:lang w:val="en-GB"/>
        </w:rPr>
        <w:t>The coverage of the dominant operator(s) in a specific settlement</w:t>
      </w:r>
    </w:p>
    <w:p w14:paraId="043CF61B" w14:textId="77777777" w:rsidR="00E314EB" w:rsidRPr="00BC1ABD" w:rsidRDefault="00E314EB" w:rsidP="00E314EB">
      <w:pPr>
        <w:numPr>
          <w:ilvl w:val="1"/>
          <w:numId w:val="72"/>
        </w:numPr>
        <w:contextualSpacing/>
        <w:jc w:val="both"/>
        <w:rPr>
          <w:rFonts w:eastAsia="Times New Roman" w:cs="Arial"/>
          <w:sz w:val="24"/>
          <w:szCs w:val="24"/>
          <w:lang w:val="en-GB"/>
        </w:rPr>
      </w:pPr>
      <w:r w:rsidRPr="00BC1ABD">
        <w:rPr>
          <w:rFonts w:eastAsia="Times New Roman" w:cs="Arial"/>
          <w:sz w:val="24"/>
          <w:szCs w:val="24"/>
          <w:lang w:val="en-GB"/>
        </w:rPr>
        <w:t>The separate (or mutual) coverage of other operators in that settlement</w:t>
      </w:r>
    </w:p>
    <w:p w14:paraId="31BA16FE" w14:textId="76C033D0" w:rsidR="00E314EB" w:rsidRPr="00BC1ABD" w:rsidRDefault="00E314EB" w:rsidP="00E314EB">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 xml:space="preserve">The coverage overlaps between different </w:t>
      </w:r>
      <w:r w:rsidR="00592449">
        <w:rPr>
          <w:rFonts w:eastAsia="Times New Roman" w:cs="Arial"/>
          <w:sz w:val="24"/>
          <w:szCs w:val="24"/>
          <w:lang w:val="en-GB"/>
        </w:rPr>
        <w:t>FTTx</w:t>
      </w:r>
      <w:r w:rsidRPr="00BC1ABD">
        <w:rPr>
          <w:rFonts w:eastAsia="Times New Roman" w:cs="Arial"/>
          <w:sz w:val="24"/>
          <w:szCs w:val="24"/>
          <w:lang w:val="en-GB"/>
        </w:rPr>
        <w:t xml:space="preserve"> networks within each settlement</w:t>
      </w:r>
    </w:p>
    <w:p w14:paraId="4B10D60E" w14:textId="77777777"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The evidence of any different intensity of infrastructure competition in different settlements, while not sufficient to define different markets, suggests that different competitive conditions could justify the segmentation of remedies based on different geographical areas</w:t>
      </w:r>
      <w:r w:rsidRPr="00394E97">
        <w:rPr>
          <w:rFonts w:eastAsia="Times New Roman"/>
          <w:lang w:val="en-GB"/>
        </w:rPr>
        <w:t xml:space="preserve">. </w:t>
      </w:r>
      <w:r w:rsidRPr="00BC1ABD">
        <w:rPr>
          <w:rFonts w:eastAsia="Times New Roman" w:cs="Arial"/>
          <w:sz w:val="24"/>
          <w:szCs w:val="24"/>
          <w:lang w:val="en-GB"/>
        </w:rPr>
        <w:t>This fact will be taken into account in the later stages of this market review when and if SMP operator(s) are defined.</w:t>
      </w:r>
    </w:p>
    <w:p w14:paraId="5FF0B15F" w14:textId="77777777" w:rsidR="00E314EB" w:rsidRPr="00BC1ABD" w:rsidRDefault="00E314EB" w:rsidP="00E314EB">
      <w:pPr>
        <w:jc w:val="both"/>
        <w:rPr>
          <w:rFonts w:eastAsia="Times New Roman" w:cs="Arial"/>
          <w:sz w:val="24"/>
          <w:szCs w:val="24"/>
          <w:lang w:val="en-GB"/>
        </w:rPr>
      </w:pPr>
      <w:r w:rsidRPr="00BC1ABD">
        <w:rPr>
          <w:rFonts w:eastAsia="Times New Roman" w:cs="Arial"/>
          <w:sz w:val="24"/>
          <w:szCs w:val="24"/>
          <w:lang w:val="en-GB"/>
        </w:rPr>
        <w:t>Therefore, the wholesale market of local and central access will be defined as a national market in geographical scope. The reasons are as follows:</w:t>
      </w:r>
    </w:p>
    <w:p w14:paraId="2FD184FF" w14:textId="77777777" w:rsidR="00E314EB" w:rsidRPr="00BC1ABD" w:rsidRDefault="00E314EB" w:rsidP="00E314EB">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Two main operators have national scope</w:t>
      </w:r>
    </w:p>
    <w:p w14:paraId="13E7EB4E" w14:textId="77777777" w:rsidR="00E314EB" w:rsidRPr="00BC1ABD" w:rsidRDefault="00E314EB" w:rsidP="00E314EB">
      <w:pPr>
        <w:numPr>
          <w:ilvl w:val="0"/>
          <w:numId w:val="72"/>
        </w:numPr>
        <w:contextualSpacing/>
        <w:jc w:val="both"/>
        <w:rPr>
          <w:rFonts w:eastAsia="Times New Roman" w:cs="Arial"/>
          <w:sz w:val="24"/>
          <w:szCs w:val="24"/>
          <w:lang w:val="en-GB"/>
        </w:rPr>
      </w:pPr>
      <w:r w:rsidRPr="00BC1ABD">
        <w:rPr>
          <w:rFonts w:eastAsia="Times New Roman" w:cs="Arial"/>
          <w:sz w:val="24"/>
          <w:szCs w:val="24"/>
          <w:lang w:val="en-GB"/>
        </w:rPr>
        <w:t>There is a lack of evidence for different competitive conditions throughout Georgia mainly due to:</w:t>
      </w:r>
    </w:p>
    <w:p w14:paraId="433AB972" w14:textId="77777777" w:rsidR="00E314EB" w:rsidRPr="00BC1ABD" w:rsidRDefault="00E314EB" w:rsidP="00E314EB">
      <w:pPr>
        <w:numPr>
          <w:ilvl w:val="1"/>
          <w:numId w:val="72"/>
        </w:numPr>
        <w:contextualSpacing/>
        <w:jc w:val="both"/>
        <w:rPr>
          <w:rFonts w:eastAsia="Times New Roman" w:cs="Arial"/>
          <w:sz w:val="24"/>
          <w:szCs w:val="24"/>
          <w:lang w:val="en-GB"/>
        </w:rPr>
      </w:pPr>
      <w:r w:rsidRPr="00BC1ABD">
        <w:rPr>
          <w:rFonts w:eastAsia="Times New Roman" w:cs="Arial"/>
          <w:sz w:val="24"/>
          <w:szCs w:val="24"/>
          <w:lang w:val="en-GB"/>
        </w:rPr>
        <w:t>The non-existence of wholesale offers</w:t>
      </w:r>
    </w:p>
    <w:p w14:paraId="3EE92767" w14:textId="77777777" w:rsidR="00E314EB" w:rsidRPr="00BC1ABD" w:rsidRDefault="00E314EB" w:rsidP="00E314EB">
      <w:pPr>
        <w:numPr>
          <w:ilvl w:val="1"/>
          <w:numId w:val="72"/>
        </w:numPr>
        <w:contextualSpacing/>
        <w:jc w:val="both"/>
        <w:rPr>
          <w:rFonts w:eastAsia="Times New Roman" w:cs="Arial"/>
          <w:sz w:val="24"/>
          <w:szCs w:val="24"/>
          <w:lang w:val="en-GB"/>
        </w:rPr>
      </w:pPr>
      <w:r w:rsidRPr="00BC1ABD">
        <w:rPr>
          <w:rFonts w:eastAsia="Times New Roman" w:cs="Arial"/>
          <w:sz w:val="24"/>
          <w:szCs w:val="24"/>
          <w:lang w:val="en-GB"/>
        </w:rPr>
        <w:t>The non-existence of (wholesale) access-based competition</w:t>
      </w:r>
    </w:p>
    <w:p w14:paraId="11995DDB" w14:textId="77777777" w:rsidR="00E314EB" w:rsidRPr="00BC1ABD" w:rsidRDefault="00E314EB" w:rsidP="00E314EB">
      <w:pPr>
        <w:numPr>
          <w:ilvl w:val="1"/>
          <w:numId w:val="72"/>
        </w:numPr>
        <w:contextualSpacing/>
        <w:jc w:val="both"/>
        <w:rPr>
          <w:rFonts w:eastAsia="Times New Roman" w:cs="Arial"/>
          <w:sz w:val="24"/>
          <w:szCs w:val="24"/>
          <w:lang w:val="en-GB"/>
        </w:rPr>
      </w:pPr>
      <w:r w:rsidRPr="00BC1ABD">
        <w:rPr>
          <w:rFonts w:eastAsia="Times New Roman" w:cs="Arial"/>
          <w:sz w:val="24"/>
          <w:szCs w:val="24"/>
          <w:lang w:val="en-GB"/>
        </w:rPr>
        <w:t>The non-existence of open access networks at the access network level</w:t>
      </w:r>
    </w:p>
    <w:p w14:paraId="43B26051" w14:textId="77777777" w:rsidR="00E314EB" w:rsidRPr="00BC1ABD" w:rsidRDefault="00E314EB" w:rsidP="00E314EB">
      <w:pPr>
        <w:numPr>
          <w:ilvl w:val="1"/>
          <w:numId w:val="72"/>
        </w:numPr>
        <w:contextualSpacing/>
        <w:jc w:val="both"/>
        <w:rPr>
          <w:rFonts w:eastAsia="Times New Roman" w:cs="Arial"/>
          <w:sz w:val="24"/>
          <w:szCs w:val="24"/>
          <w:lang w:val="en-GB"/>
        </w:rPr>
      </w:pPr>
      <w:r w:rsidRPr="00BC1ABD">
        <w:rPr>
          <w:rFonts w:eastAsia="Times New Roman" w:cs="Arial"/>
          <w:sz w:val="24"/>
          <w:szCs w:val="24"/>
          <w:lang w:val="en-GB"/>
        </w:rPr>
        <w:t>The retail market definition is a national market</w:t>
      </w:r>
    </w:p>
    <w:p w14:paraId="0F0A8A92" w14:textId="7E1247CA" w:rsidR="00C556D6" w:rsidRPr="00BC1ABD" w:rsidRDefault="00E314EB" w:rsidP="00C556D6">
      <w:pPr>
        <w:jc w:val="both"/>
        <w:rPr>
          <w:rFonts w:cs="Arial"/>
          <w:sz w:val="24"/>
          <w:szCs w:val="24"/>
          <w:lang w:val="en-GB"/>
        </w:rPr>
      </w:pPr>
      <w:r w:rsidRPr="00BC1ABD">
        <w:rPr>
          <w:rFonts w:eastAsia="Times New Roman" w:cs="Arial"/>
          <w:sz w:val="24"/>
          <w:szCs w:val="24"/>
          <w:lang w:val="en-GB"/>
        </w:rPr>
        <w:t>It is therefore concluded that the wholesale local and central access market is national in its geographical scope</w:t>
      </w:r>
      <w:r w:rsidR="00C556D6" w:rsidRPr="00BC1ABD">
        <w:rPr>
          <w:rFonts w:cs="Arial"/>
          <w:sz w:val="24"/>
          <w:szCs w:val="24"/>
          <w:lang w:val="en-GB"/>
        </w:rPr>
        <w:t>.</w:t>
      </w:r>
      <w:r w:rsidR="00B271E6" w:rsidRPr="00BC1ABD">
        <w:rPr>
          <w:rFonts w:cs="Arial"/>
          <w:sz w:val="24"/>
          <w:szCs w:val="24"/>
          <w:lang w:val="en-GB"/>
        </w:rPr>
        <w:tab/>
      </w:r>
    </w:p>
    <w:p w14:paraId="49C53926" w14:textId="77777777" w:rsidR="00C556D6" w:rsidRPr="00BC1ABD" w:rsidRDefault="00B271E6" w:rsidP="00EA5052">
      <w:pPr>
        <w:pStyle w:val="Heading2"/>
        <w:numPr>
          <w:ilvl w:val="1"/>
          <w:numId w:val="88"/>
        </w:numPr>
        <w:spacing w:after="240"/>
        <w:rPr>
          <w:lang w:val="en-GB"/>
        </w:rPr>
      </w:pPr>
      <w:bookmarkStart w:id="240" w:name="_Toc169258944"/>
      <w:r w:rsidRPr="00BC1ABD">
        <w:rPr>
          <w:lang w:val="en-GB"/>
        </w:rPr>
        <w:t>Conducting three criteria test</w:t>
      </w:r>
      <w:bookmarkEnd w:id="240"/>
    </w:p>
    <w:p w14:paraId="06FC644A" w14:textId="3B27037D" w:rsidR="008A258D" w:rsidRPr="00EA5052" w:rsidRDefault="008A258D" w:rsidP="00EA5052">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41" w:name="_Toc169258945"/>
      <w:r w:rsidRPr="00EA5052">
        <w:rPr>
          <w:rFonts w:asciiTheme="minorHAnsi" w:hAnsiTheme="minorHAnsi" w:cstheme="minorHAnsi"/>
          <w:b w:val="0"/>
          <w:bCs w:val="0"/>
          <w:sz w:val="24"/>
          <w:szCs w:val="24"/>
          <w:lang w:val="en-GB"/>
        </w:rPr>
        <w:t>First criterion - the presence of high and non-transitory barriers to entry</w:t>
      </w:r>
      <w:bookmarkEnd w:id="241"/>
    </w:p>
    <w:p w14:paraId="1BA01AD7" w14:textId="77777777" w:rsidR="008A258D" w:rsidRPr="00BC1ABD" w:rsidRDefault="008A258D" w:rsidP="008A258D">
      <w:pPr>
        <w:spacing w:before="240" w:after="0"/>
        <w:jc w:val="both"/>
        <w:rPr>
          <w:rFonts w:eastAsia="Times New Roman" w:cs="Arial"/>
          <w:b/>
          <w:bCs/>
          <w:sz w:val="24"/>
          <w:szCs w:val="24"/>
          <w:lang w:val="en-GB"/>
        </w:rPr>
      </w:pPr>
      <w:r w:rsidRPr="00BC1ABD">
        <w:rPr>
          <w:rFonts w:eastAsia="Times New Roman" w:cs="Arial"/>
          <w:b/>
          <w:bCs/>
          <w:sz w:val="24"/>
          <w:szCs w:val="24"/>
          <w:lang w:val="en-GB"/>
        </w:rPr>
        <w:t>Structural barriers to entry</w:t>
      </w:r>
    </w:p>
    <w:p w14:paraId="6832672B" w14:textId="77777777" w:rsidR="008A258D" w:rsidRPr="00BC1ABD" w:rsidRDefault="008A258D" w:rsidP="008A258D">
      <w:pPr>
        <w:spacing w:before="240" w:after="0"/>
        <w:jc w:val="both"/>
        <w:rPr>
          <w:rFonts w:eastAsia="Times New Roman" w:cs="Arial"/>
          <w:sz w:val="24"/>
          <w:szCs w:val="24"/>
          <w:lang w:val="en-GB"/>
        </w:rPr>
      </w:pPr>
      <w:r w:rsidRPr="00BC1ABD">
        <w:rPr>
          <w:rFonts w:eastAsia="Times New Roman" w:cs="Arial"/>
          <w:sz w:val="24"/>
          <w:szCs w:val="24"/>
          <w:lang w:val="en-GB"/>
        </w:rPr>
        <w:t>Barriers to entry generally occur where there is an existing network that is not easily duplicated and with high sunk costs. Barriers can also occur with ineffective procedures, for example in obtaining wayleaves or construction permits.</w:t>
      </w:r>
    </w:p>
    <w:p w14:paraId="70ACDE3F" w14:textId="77777777" w:rsidR="008A258D" w:rsidRPr="00BC1ABD" w:rsidRDefault="008A258D" w:rsidP="008A258D">
      <w:pPr>
        <w:spacing w:before="240" w:after="0"/>
        <w:jc w:val="both"/>
        <w:rPr>
          <w:rFonts w:eastAsia="Times New Roman" w:cs="Arial"/>
          <w:sz w:val="24"/>
          <w:szCs w:val="24"/>
          <w:u w:val="single"/>
          <w:lang w:val="en-GB"/>
        </w:rPr>
      </w:pPr>
      <w:r w:rsidRPr="00BC1ABD">
        <w:rPr>
          <w:rFonts w:eastAsia="Times New Roman" w:cs="Arial"/>
          <w:sz w:val="24"/>
          <w:szCs w:val="24"/>
          <w:u w:val="single"/>
          <w:lang w:val="en-GB"/>
        </w:rPr>
        <w:t>Control over infrastructure that is not easily duplicated, including sunk costs.</w:t>
      </w:r>
    </w:p>
    <w:p w14:paraId="32D6F9DE" w14:textId="3C36F5F1"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As in EU countries, the relevant market in Georgia is characterised by having only one infrastructure (Magticom) through which wholesale local or central access could be offered for the coverage of most households. Some </w:t>
      </w:r>
      <w:r w:rsidR="00592449">
        <w:rPr>
          <w:rFonts w:eastAsia="Times New Roman" w:cs="Arial"/>
          <w:sz w:val="24"/>
          <w:szCs w:val="24"/>
          <w:lang w:val="en-GB"/>
        </w:rPr>
        <w:t>FTTx</w:t>
      </w:r>
      <w:r w:rsidRPr="00BC1ABD">
        <w:rPr>
          <w:rFonts w:eastAsia="Times New Roman" w:cs="Arial"/>
          <w:sz w:val="24"/>
          <w:szCs w:val="24"/>
          <w:lang w:val="en-GB"/>
        </w:rPr>
        <w:t xml:space="preserve"> operators have deployed their networks at a local or regional, rather than a national level.</w:t>
      </w:r>
    </w:p>
    <w:p w14:paraId="7C3C9189"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Building an own local access network with presence in most Georgian settlements would require large investments over a long period (including high sunk costs). This represents a large barrier to entry for any operator entering the fixed broadband access market or the upstream wholesale local and central access market. This forms a high and non-transitory entry barrier for the wholesale local and central access market. </w:t>
      </w:r>
    </w:p>
    <w:p w14:paraId="3AA83772" w14:textId="77777777" w:rsidR="008A258D" w:rsidRPr="00BC1ABD" w:rsidRDefault="008A258D" w:rsidP="008A258D">
      <w:pPr>
        <w:jc w:val="both"/>
        <w:rPr>
          <w:rFonts w:eastAsia="Times New Roman" w:cs="Arial"/>
          <w:sz w:val="24"/>
          <w:szCs w:val="24"/>
          <w:lang w:val="en-GB"/>
        </w:rPr>
      </w:pPr>
      <w:r w:rsidRPr="00BC1ABD">
        <w:rPr>
          <w:rFonts w:eastAsia="Times New Roman" w:cs="Arial"/>
          <w:sz w:val="24"/>
          <w:szCs w:val="24"/>
          <w:lang w:val="en-GB"/>
        </w:rPr>
        <w:t>There is also lower take up ratio in areas where competitors have already been present, so there would typically be a longer time for a new entrant to achieve a return of investment which will influence its investment decision.</w:t>
      </w:r>
    </w:p>
    <w:p w14:paraId="6263E1DC" w14:textId="2385EFA0" w:rsidR="008A258D" w:rsidRPr="00BC1ABD" w:rsidRDefault="008A258D" w:rsidP="008A258D">
      <w:pPr>
        <w:jc w:val="both"/>
        <w:rPr>
          <w:rFonts w:eastAsia="Times New Roman" w:cs="Arial"/>
          <w:sz w:val="24"/>
          <w:szCs w:val="24"/>
          <w:lang w:val="en-GB"/>
        </w:rPr>
      </w:pPr>
      <w:r w:rsidRPr="00BC1ABD">
        <w:rPr>
          <w:rFonts w:eastAsia="Times New Roman" w:cs="Arial"/>
          <w:sz w:val="24"/>
          <w:szCs w:val="24"/>
          <w:lang w:val="en-GB"/>
        </w:rPr>
        <w:t xml:space="preserve">It is therefore unlikely that in the forward-looking time horizon of this market analysis (the next three years) any operator could build its own </w:t>
      </w:r>
      <w:r w:rsidR="00592449">
        <w:rPr>
          <w:rFonts w:eastAsia="Times New Roman" w:cs="Arial"/>
          <w:sz w:val="24"/>
          <w:szCs w:val="24"/>
          <w:lang w:val="en-GB"/>
        </w:rPr>
        <w:t>FTTx</w:t>
      </w:r>
      <w:r w:rsidRPr="00BC1ABD">
        <w:rPr>
          <w:rFonts w:eastAsia="Times New Roman" w:cs="Arial"/>
          <w:sz w:val="24"/>
          <w:szCs w:val="24"/>
          <w:lang w:val="en-GB"/>
        </w:rPr>
        <w:t xml:space="preserve"> network with significant coverage of households and settlements and in that way putting effective competitive pressure on the existing operators that have the capacity for offering wholesale local and central access services.</w:t>
      </w:r>
    </w:p>
    <w:p w14:paraId="2CDC9FC5"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The market is therefore characterised by high and non-transitory barriers to entry due to the very large size of network and investments required to replicate the existing coverage of settlements and households.</w:t>
      </w:r>
    </w:p>
    <w:p w14:paraId="26EA2328" w14:textId="77777777" w:rsidR="008A258D" w:rsidRPr="00BC1ABD" w:rsidRDefault="008A258D" w:rsidP="008A258D">
      <w:pPr>
        <w:spacing w:before="240" w:after="0"/>
        <w:jc w:val="both"/>
        <w:rPr>
          <w:rFonts w:eastAsia="Times New Roman" w:cs="Arial"/>
          <w:sz w:val="24"/>
          <w:szCs w:val="24"/>
          <w:u w:val="single"/>
          <w:lang w:val="en-GB"/>
        </w:rPr>
      </w:pPr>
      <w:r w:rsidRPr="00BC1ABD">
        <w:rPr>
          <w:rFonts w:eastAsia="Times New Roman" w:cs="Arial"/>
          <w:sz w:val="24"/>
          <w:szCs w:val="24"/>
          <w:u w:val="single"/>
          <w:lang w:val="en-GB"/>
        </w:rPr>
        <w:t xml:space="preserve">Economies of scale and economies of scope </w:t>
      </w:r>
    </w:p>
    <w:p w14:paraId="7F538028" w14:textId="77777777" w:rsidR="008A258D" w:rsidRPr="00BC1ABD" w:rsidRDefault="008A258D" w:rsidP="008A258D">
      <w:pPr>
        <w:spacing w:before="240"/>
        <w:jc w:val="both"/>
        <w:rPr>
          <w:rFonts w:eastAsia="Times New Roman"/>
          <w:sz w:val="24"/>
          <w:szCs w:val="24"/>
          <w:lang w:val="en-GB"/>
        </w:rPr>
      </w:pPr>
      <w:r w:rsidRPr="00BC1ABD">
        <w:rPr>
          <w:rFonts w:eastAsia="Times New Roman"/>
          <w:sz w:val="24"/>
          <w:szCs w:val="24"/>
          <w:lang w:val="en-GB"/>
        </w:rPr>
        <w:t>Economies of scale exist in telecommunications networks when an increase in network size and capacity leads to a reduction in unit costs. The economies of scale of a network operator are primarily found in the access network. Economies of scale tend to strengthen the market power of established operators and can thus function as an entry barrier for new network operators. In this way, economies of scale contribute to creating an asymmetrical relationship between new and established providers, which in turn will weaken the competitiveness of a new operator.</w:t>
      </w:r>
    </w:p>
    <w:p w14:paraId="41687B70" w14:textId="02D40230" w:rsidR="008A258D" w:rsidRPr="00BC1ABD" w:rsidRDefault="008A258D" w:rsidP="008A258D">
      <w:pPr>
        <w:jc w:val="both"/>
        <w:rPr>
          <w:rFonts w:eastAsia="Times New Roman" w:cs="Arial"/>
          <w:sz w:val="24"/>
          <w:szCs w:val="24"/>
          <w:lang w:val="en-GB"/>
        </w:rPr>
      </w:pPr>
      <w:r w:rsidRPr="00BC1ABD">
        <w:rPr>
          <w:rFonts w:eastAsia="Times New Roman"/>
          <w:sz w:val="24"/>
          <w:szCs w:val="24"/>
          <w:lang w:val="en-GB"/>
        </w:rPr>
        <w:t xml:space="preserve">Economies of scope in telecommunications sector occur when the average unit cost reduces as more than one telecommunications service is carried over the same network. Examples could include a shared infrastructure. It should be borne in mind that Magticom and Silknet as two </w:t>
      </w:r>
      <w:r w:rsidR="00592449">
        <w:rPr>
          <w:rFonts w:eastAsia="Times New Roman"/>
          <w:sz w:val="24"/>
          <w:szCs w:val="24"/>
          <w:lang w:val="en-GB"/>
        </w:rPr>
        <w:t>FTTx</w:t>
      </w:r>
      <w:r w:rsidRPr="00BC1ABD">
        <w:rPr>
          <w:rFonts w:eastAsia="Times New Roman"/>
          <w:sz w:val="24"/>
          <w:szCs w:val="24"/>
          <w:lang w:val="en-GB"/>
        </w:rPr>
        <w:t xml:space="preserve"> providers having largest coverage and market shares on retail higher-speed market are active in fixed as well as mobile market and as vertically integrated operators. The possibility in which a new provider of wholesale local and central access based on </w:t>
      </w:r>
      <w:r w:rsidR="00592449">
        <w:rPr>
          <w:rFonts w:eastAsia="Times New Roman"/>
          <w:sz w:val="24"/>
          <w:szCs w:val="24"/>
          <w:lang w:val="en-GB"/>
        </w:rPr>
        <w:t>FTTx</w:t>
      </w:r>
      <w:r w:rsidRPr="00BC1ABD">
        <w:rPr>
          <w:rFonts w:eastAsia="Times New Roman"/>
          <w:sz w:val="24"/>
          <w:szCs w:val="24"/>
          <w:lang w:val="en-GB"/>
        </w:rPr>
        <w:t xml:space="preserve"> networks covering large part of the households, </w:t>
      </w:r>
      <w:r w:rsidRPr="00BC1ABD">
        <w:rPr>
          <w:rFonts w:eastAsia="Times New Roman" w:cs="Arial"/>
          <w:sz w:val="24"/>
          <w:szCs w:val="24"/>
          <w:lang w:val="en-GB"/>
        </w:rPr>
        <w:t>could take advantage of economies of scope is quite unlikely to happen.</w:t>
      </w:r>
    </w:p>
    <w:p w14:paraId="605449BB" w14:textId="77777777" w:rsidR="008A258D" w:rsidRPr="00BC1ABD" w:rsidRDefault="008A258D" w:rsidP="008A258D">
      <w:pPr>
        <w:spacing w:before="240"/>
        <w:jc w:val="both"/>
        <w:rPr>
          <w:rFonts w:eastAsia="Times New Roman"/>
          <w:sz w:val="24"/>
          <w:szCs w:val="24"/>
          <w:u w:val="single"/>
          <w:lang w:val="en-GB"/>
        </w:rPr>
      </w:pPr>
      <w:r w:rsidRPr="00BC1ABD">
        <w:rPr>
          <w:rFonts w:eastAsia="Times New Roman"/>
          <w:sz w:val="24"/>
          <w:szCs w:val="24"/>
          <w:u w:val="single"/>
          <w:lang w:val="en-GB"/>
        </w:rPr>
        <w:t xml:space="preserve">Access to financial resources </w:t>
      </w:r>
    </w:p>
    <w:p w14:paraId="1C9D872B" w14:textId="77777777" w:rsidR="008A258D" w:rsidRPr="00BC1ABD" w:rsidRDefault="008A258D" w:rsidP="008A258D">
      <w:pPr>
        <w:spacing w:before="240"/>
        <w:jc w:val="both"/>
        <w:rPr>
          <w:rFonts w:eastAsia="Times New Roman"/>
          <w:sz w:val="24"/>
          <w:szCs w:val="24"/>
          <w:lang w:val="en-GB"/>
        </w:rPr>
      </w:pPr>
      <w:r w:rsidRPr="00BC1ABD">
        <w:rPr>
          <w:rFonts w:eastAsia="Times New Roman"/>
          <w:sz w:val="24"/>
          <w:szCs w:val="24"/>
          <w:lang w:val="en-GB"/>
        </w:rPr>
        <w:t>Access to financial resources is of great importance to an operator wishing to enter any market requiring large initial investments. As described above, it will be very capital-intensive to establish a national alternative to the existing network capability to offer wholesale local and central access in Georgia.</w:t>
      </w:r>
    </w:p>
    <w:p w14:paraId="46C8B626" w14:textId="6E31E86E" w:rsidR="008A258D" w:rsidRPr="00BC1ABD" w:rsidRDefault="008A258D" w:rsidP="008A258D">
      <w:pPr>
        <w:spacing w:before="240"/>
        <w:jc w:val="both"/>
        <w:rPr>
          <w:rFonts w:eastAsia="Times New Roman"/>
          <w:sz w:val="24"/>
          <w:szCs w:val="24"/>
          <w:lang w:val="en-GB"/>
        </w:rPr>
      </w:pPr>
      <w:r w:rsidRPr="00BC1ABD">
        <w:rPr>
          <w:rFonts w:eastAsia="Times New Roman"/>
          <w:sz w:val="24"/>
          <w:szCs w:val="24"/>
          <w:lang w:val="en-GB"/>
        </w:rPr>
        <w:t>Local financial lending markets in Georgia have typically higher commercial lending rates than in the EU, so it is considered that access to financial resources is a significant entry barrier for new investments in Georgia.</w:t>
      </w:r>
      <w:r w:rsidRPr="00394E97">
        <w:rPr>
          <w:rFonts w:eastAsia="Times New Roman"/>
          <w:lang w:val="en-GB"/>
        </w:rPr>
        <w:t xml:space="preserve"> </w:t>
      </w:r>
      <w:r w:rsidRPr="00BC1ABD">
        <w:rPr>
          <w:rFonts w:eastAsia="Times New Roman"/>
          <w:sz w:val="24"/>
          <w:szCs w:val="24"/>
          <w:lang w:val="en-GB"/>
        </w:rPr>
        <w:t xml:space="preserve">According to a 2018 bank lending </w:t>
      </w:r>
      <w:r w:rsidRPr="00E517D9">
        <w:rPr>
          <w:lang w:val="en-US"/>
        </w:rPr>
        <w:t>survey</w:t>
      </w:r>
      <w:r w:rsidRPr="00BC1ABD">
        <w:rPr>
          <w:rFonts w:eastAsia="Times New Roman"/>
          <w:sz w:val="24"/>
          <w:szCs w:val="24"/>
          <w:vertAlign w:val="superscript"/>
          <w:lang w:val="en-GB"/>
        </w:rPr>
        <w:footnoteReference w:id="85"/>
      </w:r>
      <w:r w:rsidRPr="00BC1ABD">
        <w:rPr>
          <w:rFonts w:eastAsia="Times New Roman"/>
          <w:sz w:val="24"/>
          <w:szCs w:val="24"/>
          <w:lang w:val="en-GB"/>
        </w:rPr>
        <w:t xml:space="preserve"> covering all business sectors, there is a noticeable level of loan rejections and credit-constrained firms in Georgia. The lack of availability of loan financing is particularly evident for smaller firms, with the lack of eligible collateral typically part of a firm’s inability to comply with banking sector requirements. Financing through alternative capital markets is not yet developed in Georgia. Any local funding would in any case have typically higher commercial lending rates than in the EU, so it is considered that access to financial resources is a significant entry barrier for new investments in Georgia.</w:t>
      </w:r>
    </w:p>
    <w:p w14:paraId="1D00B08A" w14:textId="77777777" w:rsidR="008A258D" w:rsidRPr="00BC1ABD" w:rsidRDefault="008A258D" w:rsidP="008A258D">
      <w:pPr>
        <w:spacing w:before="240"/>
        <w:jc w:val="both"/>
        <w:rPr>
          <w:rFonts w:eastAsia="Times New Roman" w:cs="Arial"/>
          <w:b/>
          <w:bCs/>
          <w:sz w:val="24"/>
          <w:szCs w:val="24"/>
          <w:lang w:val="en-GB"/>
        </w:rPr>
      </w:pPr>
      <w:r w:rsidRPr="00BC1ABD">
        <w:rPr>
          <w:rFonts w:eastAsia="Times New Roman" w:cs="Arial"/>
          <w:b/>
          <w:bCs/>
          <w:sz w:val="24"/>
          <w:szCs w:val="24"/>
          <w:lang w:val="en-GB"/>
        </w:rPr>
        <w:t>Legal, administrative or regulatory barriers</w:t>
      </w:r>
    </w:p>
    <w:p w14:paraId="3E8164B7"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There are no legal, administrative or regulatory barriers to entry into the wholesale local and central access markets in Georgia. There are no </w:t>
      </w:r>
      <w:r w:rsidRPr="00BC1ABD">
        <w:rPr>
          <w:rFonts w:eastAsia="Times New Roman"/>
          <w:sz w:val="24"/>
          <w:szCs w:val="24"/>
          <w:lang w:val="en-GB"/>
        </w:rPr>
        <w:t>requirements for a new player to obtain regulatory permission to enter this relevant market.</w:t>
      </w:r>
    </w:p>
    <w:p w14:paraId="05019E5F" w14:textId="77777777" w:rsidR="008A258D" w:rsidRPr="00BC1ABD" w:rsidRDefault="008A258D" w:rsidP="008A258D">
      <w:pPr>
        <w:jc w:val="both"/>
        <w:rPr>
          <w:rFonts w:eastAsia="Times New Roman"/>
          <w:b/>
          <w:bCs/>
          <w:sz w:val="24"/>
          <w:szCs w:val="24"/>
          <w:lang w:val="en-GB"/>
        </w:rPr>
      </w:pPr>
      <w:r w:rsidRPr="00BC1ABD">
        <w:rPr>
          <w:rFonts w:eastAsia="Times New Roman"/>
          <w:b/>
          <w:bCs/>
          <w:sz w:val="24"/>
          <w:szCs w:val="24"/>
          <w:lang w:val="en-GB"/>
        </w:rPr>
        <w:t xml:space="preserve">Conclusion concerning structural and legal, administrative or regulatory entry barriers </w:t>
      </w:r>
    </w:p>
    <w:p w14:paraId="2A25467B" w14:textId="77777777" w:rsidR="008A258D" w:rsidRPr="00BC1ABD" w:rsidRDefault="008A258D" w:rsidP="008A258D">
      <w:pPr>
        <w:jc w:val="both"/>
        <w:rPr>
          <w:rFonts w:eastAsia="Times New Roman"/>
          <w:sz w:val="24"/>
          <w:szCs w:val="24"/>
          <w:lang w:val="en-GB"/>
        </w:rPr>
      </w:pPr>
      <w:r w:rsidRPr="00BC1ABD">
        <w:rPr>
          <w:rFonts w:eastAsia="Times New Roman"/>
          <w:sz w:val="24"/>
          <w:szCs w:val="24"/>
          <w:lang w:val="en-GB"/>
        </w:rPr>
        <w:t>It is considered that the following are significant and non-transitory barriers to entry into the wholesale local and central access market in Georgia:</w:t>
      </w:r>
    </w:p>
    <w:p w14:paraId="730D975A" w14:textId="77777777" w:rsidR="008A258D" w:rsidRPr="00BC1ABD" w:rsidRDefault="008A258D" w:rsidP="008A258D">
      <w:pPr>
        <w:numPr>
          <w:ilvl w:val="0"/>
          <w:numId w:val="84"/>
        </w:numPr>
        <w:contextualSpacing/>
        <w:jc w:val="both"/>
        <w:rPr>
          <w:rFonts w:eastAsia="Times New Roman"/>
          <w:sz w:val="24"/>
          <w:szCs w:val="24"/>
          <w:lang w:val="en-GB"/>
        </w:rPr>
      </w:pPr>
      <w:r w:rsidRPr="00BC1ABD">
        <w:rPr>
          <w:rFonts w:eastAsia="Times New Roman"/>
          <w:sz w:val="24"/>
          <w:szCs w:val="24"/>
          <w:lang w:val="en-GB"/>
        </w:rPr>
        <w:t>Control over existing infrastructure including sunk costs</w:t>
      </w:r>
    </w:p>
    <w:p w14:paraId="6B743A26" w14:textId="77777777" w:rsidR="008A258D" w:rsidRPr="00BC1ABD" w:rsidRDefault="008A258D" w:rsidP="008A258D">
      <w:pPr>
        <w:numPr>
          <w:ilvl w:val="0"/>
          <w:numId w:val="84"/>
        </w:numPr>
        <w:contextualSpacing/>
        <w:jc w:val="both"/>
        <w:rPr>
          <w:rFonts w:eastAsia="Times New Roman"/>
          <w:sz w:val="24"/>
          <w:szCs w:val="24"/>
          <w:lang w:val="en-GB"/>
        </w:rPr>
      </w:pPr>
      <w:r w:rsidRPr="00BC1ABD">
        <w:rPr>
          <w:rFonts w:eastAsia="Times New Roman"/>
          <w:sz w:val="24"/>
          <w:szCs w:val="24"/>
          <w:lang w:val="en-GB"/>
        </w:rPr>
        <w:t>Economies of scope and scale</w:t>
      </w:r>
    </w:p>
    <w:p w14:paraId="64E7B7B8" w14:textId="77777777" w:rsidR="008A258D" w:rsidRPr="00BC1ABD" w:rsidRDefault="008A258D" w:rsidP="008A258D">
      <w:pPr>
        <w:numPr>
          <w:ilvl w:val="0"/>
          <w:numId w:val="84"/>
        </w:numPr>
        <w:contextualSpacing/>
        <w:jc w:val="both"/>
        <w:rPr>
          <w:rFonts w:eastAsia="Times New Roman"/>
          <w:sz w:val="24"/>
          <w:szCs w:val="24"/>
          <w:lang w:val="en-GB"/>
        </w:rPr>
      </w:pPr>
      <w:r w:rsidRPr="00BC1ABD">
        <w:rPr>
          <w:rFonts w:eastAsia="Times New Roman"/>
          <w:sz w:val="24"/>
          <w:szCs w:val="24"/>
          <w:lang w:val="en-GB"/>
        </w:rPr>
        <w:t>Access to financial resources</w:t>
      </w:r>
    </w:p>
    <w:p w14:paraId="287FE7AF" w14:textId="77777777" w:rsidR="008A258D" w:rsidRPr="00BC1ABD" w:rsidRDefault="008A258D" w:rsidP="008A258D">
      <w:pPr>
        <w:jc w:val="both"/>
        <w:rPr>
          <w:rFonts w:eastAsia="Times New Roman"/>
          <w:sz w:val="24"/>
          <w:szCs w:val="24"/>
          <w:lang w:val="en-GB"/>
        </w:rPr>
      </w:pPr>
      <w:r w:rsidRPr="00BC1ABD">
        <w:rPr>
          <w:rFonts w:eastAsia="Times New Roman"/>
          <w:sz w:val="24"/>
          <w:szCs w:val="24"/>
          <w:lang w:val="en-GB"/>
        </w:rPr>
        <w:t>It has also been considered that</w:t>
      </w:r>
      <w:r w:rsidRPr="00BC1ABD">
        <w:rPr>
          <w:rFonts w:eastAsia="Times New Roman"/>
          <w:lang w:val="en-GB"/>
        </w:rPr>
        <w:t xml:space="preserve"> </w:t>
      </w:r>
      <w:r w:rsidRPr="00BC1ABD">
        <w:rPr>
          <w:rFonts w:eastAsia="Times New Roman"/>
          <w:sz w:val="24"/>
          <w:szCs w:val="24"/>
          <w:lang w:val="en-GB"/>
        </w:rPr>
        <w:t>there not any significant legal, administrative or regulatory barriers to entry into the wholesale local and central access markets in Georgia.</w:t>
      </w:r>
    </w:p>
    <w:p w14:paraId="4DE7F63F" w14:textId="77777777" w:rsidR="008A258D" w:rsidRPr="00BC1ABD" w:rsidRDefault="008A258D" w:rsidP="008A258D">
      <w:pPr>
        <w:jc w:val="both"/>
        <w:rPr>
          <w:rFonts w:eastAsia="Times New Roman"/>
          <w:b/>
          <w:bCs/>
          <w:sz w:val="24"/>
          <w:szCs w:val="24"/>
          <w:lang w:val="en-GB"/>
        </w:rPr>
      </w:pPr>
      <w:r w:rsidRPr="00BC1ABD">
        <w:rPr>
          <w:rFonts w:eastAsia="Times New Roman"/>
          <w:b/>
          <w:bCs/>
          <w:sz w:val="24"/>
          <w:szCs w:val="24"/>
          <w:lang w:val="en-GB"/>
        </w:rPr>
        <w:t>Conclusion – first criterion</w:t>
      </w:r>
    </w:p>
    <w:p w14:paraId="56DEA846" w14:textId="77777777" w:rsidR="008A258D" w:rsidRPr="00BC1ABD" w:rsidRDefault="008A258D" w:rsidP="008A258D">
      <w:pPr>
        <w:jc w:val="both"/>
        <w:rPr>
          <w:rFonts w:eastAsia="Times New Roman"/>
          <w:sz w:val="24"/>
          <w:szCs w:val="24"/>
          <w:lang w:val="en-GB"/>
        </w:rPr>
      </w:pPr>
      <w:r w:rsidRPr="00BC1ABD">
        <w:rPr>
          <w:rFonts w:eastAsia="Times New Roman"/>
          <w:sz w:val="24"/>
          <w:szCs w:val="24"/>
          <w:lang w:val="en-GB"/>
        </w:rPr>
        <w:t>It is considered that the markets for wholesale local and central access are characterised by high and non-transitory structural barriers to entry due to the very large size of the network and the correspondingly large investment that would be required to replicate it. Although there are no significant legal, administrative or regulatory barriers to entry into these markets, the structural barriers to entry are high and non-transitory.</w:t>
      </w:r>
    </w:p>
    <w:p w14:paraId="36EA7A05" w14:textId="77777777" w:rsidR="008A258D" w:rsidRPr="00BC1ABD" w:rsidRDefault="008A258D" w:rsidP="008A258D">
      <w:pPr>
        <w:jc w:val="both"/>
        <w:rPr>
          <w:rFonts w:eastAsia="Times New Roman"/>
          <w:sz w:val="24"/>
          <w:szCs w:val="24"/>
          <w:lang w:val="en-GB"/>
        </w:rPr>
      </w:pPr>
      <w:r w:rsidRPr="00BC1ABD">
        <w:rPr>
          <w:rFonts w:eastAsia="Times New Roman"/>
          <w:sz w:val="24"/>
          <w:szCs w:val="24"/>
          <w:lang w:val="en-GB"/>
        </w:rPr>
        <w:t>It is therefore concluded that the first criterion, the existence of high and non-transitory barriers to entry, is fulfilled.</w:t>
      </w:r>
    </w:p>
    <w:p w14:paraId="5C57DD91" w14:textId="4DD966F6" w:rsidR="008A258D" w:rsidRPr="00EA5052" w:rsidRDefault="008A258D" w:rsidP="00EA5052">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42" w:name="_Toc169258946"/>
      <w:r w:rsidRPr="00EA5052">
        <w:rPr>
          <w:rFonts w:asciiTheme="minorHAnsi" w:hAnsiTheme="minorHAnsi" w:cstheme="minorHAnsi"/>
          <w:b w:val="0"/>
          <w:bCs w:val="0"/>
          <w:sz w:val="24"/>
          <w:szCs w:val="24"/>
          <w:lang w:val="en-GB"/>
        </w:rPr>
        <w:t>Second criterion – The market is not tending towards effective competition</w:t>
      </w:r>
      <w:bookmarkEnd w:id="242"/>
    </w:p>
    <w:p w14:paraId="31DBF604" w14:textId="77777777" w:rsidR="008A258D" w:rsidRPr="00BC1ABD" w:rsidRDefault="008A258D" w:rsidP="008A258D">
      <w:pPr>
        <w:jc w:val="both"/>
        <w:rPr>
          <w:rFonts w:eastAsia="Times New Roman"/>
          <w:sz w:val="24"/>
          <w:szCs w:val="24"/>
          <w:lang w:val="en-GB"/>
        </w:rPr>
      </w:pPr>
      <w:r w:rsidRPr="00BC1ABD">
        <w:rPr>
          <w:rFonts w:eastAsia="Times New Roman"/>
          <w:sz w:val="24"/>
          <w:szCs w:val="24"/>
          <w:lang w:val="en-GB"/>
        </w:rPr>
        <w:t>An assessment under the second criterion requires a broad analysis of the existing and expected market conditions in the forward-looking time horizon of this market analysis.</w:t>
      </w:r>
    </w:p>
    <w:p w14:paraId="5E79D855" w14:textId="77777777" w:rsidR="008A258D" w:rsidRPr="00BC1ABD" w:rsidRDefault="008A258D" w:rsidP="008A258D">
      <w:pPr>
        <w:jc w:val="both"/>
        <w:rPr>
          <w:rFonts w:eastAsia="Times New Roman"/>
          <w:sz w:val="24"/>
          <w:szCs w:val="24"/>
          <w:lang w:val="en-GB"/>
        </w:rPr>
      </w:pPr>
      <w:r w:rsidRPr="00BC1ABD">
        <w:rPr>
          <w:rFonts w:eastAsia="Times New Roman"/>
          <w:sz w:val="24"/>
          <w:szCs w:val="24"/>
          <w:lang w:val="en-GB"/>
        </w:rPr>
        <w:t>The following aspects of the wholesale market for local and central access will be considered:</w:t>
      </w:r>
    </w:p>
    <w:p w14:paraId="036D2FC4" w14:textId="77777777" w:rsidR="008A258D" w:rsidRPr="00BC1ABD" w:rsidRDefault="008A258D" w:rsidP="008A258D">
      <w:pPr>
        <w:numPr>
          <w:ilvl w:val="0"/>
          <w:numId w:val="85"/>
        </w:numPr>
        <w:contextualSpacing/>
        <w:jc w:val="both"/>
        <w:rPr>
          <w:rFonts w:eastAsia="Times New Roman"/>
          <w:sz w:val="24"/>
          <w:szCs w:val="24"/>
          <w:lang w:val="en-GB"/>
        </w:rPr>
      </w:pPr>
      <w:r w:rsidRPr="00BC1ABD">
        <w:rPr>
          <w:rFonts w:eastAsia="Times New Roman"/>
          <w:sz w:val="24"/>
          <w:szCs w:val="24"/>
          <w:lang w:val="en-GB"/>
        </w:rPr>
        <w:t>Market structure</w:t>
      </w:r>
    </w:p>
    <w:p w14:paraId="0ECE217C" w14:textId="77777777" w:rsidR="008A258D" w:rsidRPr="00BC1ABD" w:rsidRDefault="008A258D" w:rsidP="008A258D">
      <w:pPr>
        <w:numPr>
          <w:ilvl w:val="0"/>
          <w:numId w:val="85"/>
        </w:numPr>
        <w:contextualSpacing/>
        <w:jc w:val="both"/>
        <w:rPr>
          <w:rFonts w:eastAsia="Times New Roman"/>
          <w:sz w:val="24"/>
          <w:szCs w:val="24"/>
          <w:lang w:val="en-GB"/>
        </w:rPr>
      </w:pPr>
      <w:r w:rsidRPr="00BC1ABD">
        <w:rPr>
          <w:rFonts w:eastAsia="Times New Roman"/>
          <w:sz w:val="24"/>
          <w:szCs w:val="24"/>
          <w:lang w:val="en-GB"/>
        </w:rPr>
        <w:t>Market dynamics</w:t>
      </w:r>
    </w:p>
    <w:p w14:paraId="14E75D21" w14:textId="77777777" w:rsidR="008A258D" w:rsidRDefault="008A258D" w:rsidP="008A258D">
      <w:pPr>
        <w:numPr>
          <w:ilvl w:val="0"/>
          <w:numId w:val="85"/>
        </w:numPr>
        <w:contextualSpacing/>
        <w:jc w:val="both"/>
        <w:rPr>
          <w:rFonts w:eastAsia="Times New Roman"/>
          <w:sz w:val="24"/>
          <w:szCs w:val="24"/>
          <w:lang w:val="en-GB"/>
        </w:rPr>
      </w:pPr>
      <w:r w:rsidRPr="00BC1ABD">
        <w:rPr>
          <w:rFonts w:eastAsia="Times New Roman"/>
          <w:sz w:val="24"/>
          <w:szCs w:val="24"/>
          <w:lang w:val="en-GB"/>
        </w:rPr>
        <w:t>Agreement terms at wholesale level</w:t>
      </w:r>
    </w:p>
    <w:p w14:paraId="024EF676" w14:textId="77777777" w:rsidR="00F962C9" w:rsidRDefault="00F962C9" w:rsidP="00394E97">
      <w:pPr>
        <w:jc w:val="both"/>
        <w:rPr>
          <w:rFonts w:eastAsia="Times New Roman"/>
          <w:b/>
          <w:bCs/>
          <w:sz w:val="24"/>
          <w:szCs w:val="24"/>
          <w:lang w:val="en-GB"/>
        </w:rPr>
      </w:pPr>
    </w:p>
    <w:p w14:paraId="387A762A" w14:textId="72F37EA8" w:rsidR="00394E97" w:rsidRDefault="008A258D" w:rsidP="00394E97">
      <w:pPr>
        <w:jc w:val="both"/>
        <w:rPr>
          <w:rFonts w:eastAsia="Times New Roman"/>
          <w:b/>
          <w:bCs/>
          <w:sz w:val="24"/>
          <w:szCs w:val="24"/>
          <w:lang w:val="en-GB"/>
        </w:rPr>
      </w:pPr>
      <w:r w:rsidRPr="00BC1ABD">
        <w:rPr>
          <w:rFonts w:eastAsia="Times New Roman"/>
          <w:b/>
          <w:bCs/>
          <w:sz w:val="24"/>
          <w:szCs w:val="24"/>
          <w:lang w:val="en-GB"/>
        </w:rPr>
        <w:t>Market structure</w:t>
      </w:r>
    </w:p>
    <w:p w14:paraId="2B5C5CA5" w14:textId="1EA1E62C" w:rsidR="008A258D" w:rsidRPr="00394E97" w:rsidRDefault="008A258D" w:rsidP="00394E97">
      <w:pPr>
        <w:jc w:val="both"/>
        <w:rPr>
          <w:rFonts w:eastAsia="Times New Roman"/>
          <w:b/>
          <w:bCs/>
          <w:sz w:val="24"/>
          <w:szCs w:val="24"/>
          <w:lang w:val="en-GB"/>
        </w:rPr>
      </w:pPr>
      <w:r w:rsidRPr="00BC1ABD">
        <w:rPr>
          <w:rFonts w:eastAsia="Times New Roman" w:cs="Arial"/>
          <w:sz w:val="24"/>
          <w:szCs w:val="24"/>
          <w:lang w:val="en-GB"/>
        </w:rPr>
        <w:t xml:space="preserve">The analysis of market structure should include all the products and services included in the relevant market definition (see Chapter </w:t>
      </w:r>
      <w:r w:rsidR="0048318F">
        <w:rPr>
          <w:rFonts w:eastAsia="Times New Roman" w:cs="Arial"/>
          <w:sz w:val="24"/>
          <w:szCs w:val="24"/>
          <w:lang w:val="en-GB"/>
        </w:rPr>
        <w:t>3</w:t>
      </w:r>
      <w:r w:rsidRPr="00BC1ABD">
        <w:rPr>
          <w:rFonts w:eastAsia="Times New Roman" w:cs="Arial"/>
          <w:sz w:val="24"/>
          <w:szCs w:val="24"/>
          <w:lang w:val="en-GB"/>
        </w:rPr>
        <w:t xml:space="preserve">.3). There is no wholesale regulation of </w:t>
      </w:r>
      <w:r w:rsidR="00592449">
        <w:rPr>
          <w:rFonts w:eastAsia="Times New Roman" w:cs="Arial"/>
          <w:sz w:val="24"/>
          <w:szCs w:val="24"/>
          <w:lang w:val="en-GB"/>
        </w:rPr>
        <w:t>FTTx</w:t>
      </w:r>
      <w:r w:rsidRPr="00BC1ABD">
        <w:rPr>
          <w:rFonts w:eastAsia="Times New Roman" w:cs="Arial"/>
          <w:sz w:val="24"/>
          <w:szCs w:val="24"/>
          <w:lang w:val="en-GB"/>
        </w:rPr>
        <w:t xml:space="preserve"> based wholesale local and central access products in place in Georgia. There are also no known commercial agreements between the existing operators. The services that form the market structure are therefore related only to self-supply within the </w:t>
      </w:r>
      <w:r w:rsidR="00592449">
        <w:rPr>
          <w:rFonts w:eastAsia="Times New Roman" w:cs="Arial"/>
          <w:sz w:val="24"/>
          <w:szCs w:val="24"/>
          <w:lang w:val="en-GB"/>
        </w:rPr>
        <w:t>FTTx</w:t>
      </w:r>
      <w:r w:rsidRPr="00BC1ABD">
        <w:rPr>
          <w:rFonts w:eastAsia="Times New Roman" w:cs="Arial"/>
          <w:sz w:val="24"/>
          <w:szCs w:val="24"/>
          <w:lang w:val="en-GB"/>
        </w:rPr>
        <w:t xml:space="preserve"> operators’ networks. It is considered that the market structure follows the structure of the retail higher-speed broadband access market.</w:t>
      </w:r>
    </w:p>
    <w:p w14:paraId="169867BF" w14:textId="58907EC6" w:rsidR="00122B8B" w:rsidRPr="00C34299" w:rsidRDefault="008A258D" w:rsidP="00C34299">
      <w:pPr>
        <w:spacing w:before="240"/>
        <w:jc w:val="both"/>
        <w:rPr>
          <w:rFonts w:eastAsia="Times New Roman" w:cs="Arial"/>
          <w:sz w:val="24"/>
          <w:szCs w:val="24"/>
          <w:lang w:val="en-GB"/>
        </w:rPr>
      </w:pPr>
      <w:r w:rsidRPr="00BC1ABD">
        <w:rPr>
          <w:rFonts w:eastAsia="Times New Roman" w:cs="Arial"/>
          <w:sz w:val="24"/>
          <w:szCs w:val="24"/>
          <w:lang w:val="en-GB"/>
        </w:rPr>
        <w:t xml:space="preserve">The main operators on the market are Magticom, Silknet, </w:t>
      </w:r>
      <w:r w:rsidR="001A02CA">
        <w:rPr>
          <w:rFonts w:eastAsia="Times New Roman" w:cs="Arial"/>
          <w:sz w:val="24"/>
          <w:szCs w:val="24"/>
          <w:lang w:val="en-GB"/>
        </w:rPr>
        <w:t>Akhali Kselebi</w:t>
      </w:r>
      <w:r w:rsidRPr="00BC1ABD">
        <w:rPr>
          <w:rFonts w:eastAsia="Times New Roman" w:cs="Arial"/>
          <w:sz w:val="24"/>
          <w:szCs w:val="24"/>
          <w:lang w:val="en-GB"/>
        </w:rPr>
        <w:t xml:space="preserve"> and Skytel. These have </w:t>
      </w:r>
      <w:r w:rsidR="00592449">
        <w:rPr>
          <w:rFonts w:eastAsia="Times New Roman" w:cs="Arial"/>
          <w:sz w:val="24"/>
          <w:szCs w:val="24"/>
          <w:lang w:val="en-GB"/>
        </w:rPr>
        <w:t>FTTx</w:t>
      </w:r>
      <w:r w:rsidRPr="00BC1ABD">
        <w:rPr>
          <w:rFonts w:eastAsia="Times New Roman" w:cs="Arial"/>
          <w:sz w:val="24"/>
          <w:szCs w:val="24"/>
          <w:lang w:val="en-GB"/>
        </w:rPr>
        <w:t xml:space="preserve"> networks with different coverage of the settlements in Georgia. Magticom is the market leader in terms of coverage of the households, followed by Silknet, which has a smaller, but still significant market coverage. </w:t>
      </w:r>
      <w:r w:rsidR="001A02CA">
        <w:rPr>
          <w:rFonts w:eastAsia="Times New Roman" w:cs="Arial"/>
          <w:sz w:val="24"/>
          <w:szCs w:val="24"/>
          <w:lang w:val="en-GB"/>
        </w:rPr>
        <w:t>Akhali Kselebi</w:t>
      </w:r>
      <w:r w:rsidRPr="00BC1ABD">
        <w:rPr>
          <w:rFonts w:eastAsia="Times New Roman" w:cs="Arial"/>
          <w:sz w:val="24"/>
          <w:szCs w:val="24"/>
          <w:lang w:val="en-GB"/>
        </w:rPr>
        <w:t xml:space="preserve"> and Skytel cover a smaller number of households with only limited geographical coverage</w:t>
      </w:r>
      <w:r w:rsidR="00FC2CBC">
        <w:rPr>
          <w:rFonts w:eastAsia="Times New Roman" w:cs="Arial"/>
          <w:sz w:val="24"/>
          <w:szCs w:val="24"/>
          <w:lang w:val="en-GB"/>
        </w:rPr>
        <w:t xml:space="preserve"> (see Figure 52)</w:t>
      </w:r>
      <w:r w:rsidRPr="00BC1ABD">
        <w:rPr>
          <w:rFonts w:eastAsia="Times New Roman" w:cs="Arial"/>
          <w:sz w:val="24"/>
          <w:szCs w:val="24"/>
          <w:lang w:val="en-GB"/>
        </w:rPr>
        <w:t>.</w:t>
      </w:r>
      <w:bookmarkStart w:id="243" w:name="_Toc141200284"/>
    </w:p>
    <w:p w14:paraId="69C5FC54" w14:textId="0B9B802D" w:rsidR="008A258D" w:rsidRPr="00BC1ABD" w:rsidRDefault="008A258D" w:rsidP="008A258D">
      <w:pPr>
        <w:spacing w:line="240" w:lineRule="auto"/>
        <w:jc w:val="center"/>
        <w:rPr>
          <w:rFonts w:asciiTheme="minorHAnsi" w:eastAsia="Times New Roman" w:hAnsiTheme="minorHAnsi" w:cs="Arial"/>
          <w:i/>
          <w:iCs/>
          <w:color w:val="44546A" w:themeColor="text2"/>
          <w:sz w:val="20"/>
          <w:szCs w:val="20"/>
          <w:lang w:val="en-GB"/>
        </w:rPr>
      </w:pPr>
      <w:bookmarkStart w:id="244" w:name="_Toc152931394"/>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43</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Market shares (by subscribers) in the national retail higher-speed fixed broadband access market (2022)</w:t>
      </w:r>
      <w:bookmarkEnd w:id="243"/>
      <w:bookmarkEnd w:id="244"/>
    </w:p>
    <w:p w14:paraId="6B6E0D96" w14:textId="2270ED60" w:rsidR="008A258D" w:rsidRPr="00BC1ABD" w:rsidRDefault="008A258D" w:rsidP="008A258D">
      <w:pPr>
        <w:spacing w:before="240"/>
        <w:jc w:val="center"/>
        <w:rPr>
          <w:rFonts w:eastAsia="Times New Roman" w:cs="Arial"/>
          <w:lang w:val="en-GB"/>
        </w:rPr>
      </w:pPr>
      <w:r w:rsidRPr="00BC1ABD">
        <w:rPr>
          <w:rFonts w:eastAsia="Times New Roman" w:cs="Arial"/>
          <w:noProof/>
          <w:lang w:val="sl-SI" w:eastAsia="sl-SI"/>
        </w:rPr>
        <w:drawing>
          <wp:inline distT="0" distB="0" distL="0" distR="0" wp14:anchorId="69DA9383" wp14:editId="534BEA86">
            <wp:extent cx="4752975" cy="2371725"/>
            <wp:effectExtent l="0" t="0" r="9525" b="9525"/>
            <wp:docPr id="1278134369" name="Slika 34"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34369" name="Slika 34" descr="Slika na kojoj se prikazuje tekst, snimka zaslona, dijagram, Font&#10;&#10;Opis je automatski generira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2975" cy="2371725"/>
                    </a:xfrm>
                    <a:prstGeom prst="rect">
                      <a:avLst/>
                    </a:prstGeom>
                    <a:noFill/>
                    <a:ln>
                      <a:noFill/>
                    </a:ln>
                  </pic:spPr>
                </pic:pic>
              </a:graphicData>
            </a:graphic>
          </wp:inline>
        </w:drawing>
      </w:r>
    </w:p>
    <w:p w14:paraId="780C22FB" w14:textId="77777777" w:rsidR="008A258D" w:rsidRPr="00BC1ABD" w:rsidRDefault="008A258D" w:rsidP="008A258D">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04A7022E" w14:textId="17B3835F" w:rsidR="008A258D" w:rsidRPr="00BC1ABD" w:rsidRDefault="008A258D" w:rsidP="008A258D">
      <w:pPr>
        <w:jc w:val="both"/>
        <w:rPr>
          <w:rFonts w:eastAsia="Times New Roman" w:cs="Arial"/>
          <w:sz w:val="24"/>
          <w:szCs w:val="24"/>
          <w:lang w:val="en-GB"/>
        </w:rPr>
      </w:pPr>
      <w:r w:rsidRPr="00BC1ABD">
        <w:rPr>
          <w:rFonts w:eastAsia="Times New Roman" w:cs="Arial"/>
          <w:sz w:val="24"/>
          <w:szCs w:val="24"/>
          <w:lang w:val="en-GB"/>
        </w:rPr>
        <w:t xml:space="preserve">A geographical unit at settlement level has been defined in Chapter </w:t>
      </w:r>
      <w:r w:rsidR="00D64C81">
        <w:rPr>
          <w:rFonts w:eastAsia="Times New Roman" w:cs="Arial"/>
          <w:sz w:val="24"/>
          <w:szCs w:val="24"/>
          <w:lang w:val="en-GB"/>
        </w:rPr>
        <w:t>4</w:t>
      </w:r>
      <w:r w:rsidRPr="00BC1ABD">
        <w:rPr>
          <w:rFonts w:eastAsia="Times New Roman" w:cs="Arial"/>
          <w:sz w:val="24"/>
          <w:szCs w:val="24"/>
          <w:lang w:val="en-GB"/>
        </w:rPr>
        <w:t xml:space="preserve">.4 for the wholesale local and central access markets in Georgia. The overlaps between the networks of different </w:t>
      </w:r>
      <w:r w:rsidR="00592449">
        <w:rPr>
          <w:rFonts w:eastAsia="Times New Roman" w:cs="Arial"/>
          <w:sz w:val="24"/>
          <w:szCs w:val="24"/>
          <w:lang w:val="en-GB"/>
        </w:rPr>
        <w:t>FTTx</w:t>
      </w:r>
      <w:r w:rsidRPr="00BC1ABD">
        <w:rPr>
          <w:rFonts w:eastAsia="Times New Roman" w:cs="Arial"/>
          <w:sz w:val="24"/>
          <w:szCs w:val="24"/>
          <w:lang w:val="en-GB"/>
        </w:rPr>
        <w:t xml:space="preserve"> providers is likely to have a significant implication on the effectiveness of competition in each settlement. The level of overlap, settlement-by-settlement, varies considerably (see Chapter </w:t>
      </w:r>
      <w:r w:rsidR="000A7EC8">
        <w:rPr>
          <w:rFonts w:eastAsia="Times New Roman" w:cs="Arial"/>
          <w:sz w:val="24"/>
          <w:szCs w:val="24"/>
          <w:lang w:val="en-GB"/>
        </w:rPr>
        <w:t>3</w:t>
      </w:r>
      <w:r w:rsidRPr="00BC1ABD">
        <w:rPr>
          <w:rFonts w:eastAsia="Times New Roman" w:cs="Arial"/>
          <w:sz w:val="24"/>
          <w:szCs w:val="24"/>
          <w:lang w:val="en-GB"/>
        </w:rPr>
        <w:t xml:space="preserve">.1). All settlements with more than 40,000 inhabitants have at least three providers of </w:t>
      </w:r>
      <w:r w:rsidR="00592449">
        <w:rPr>
          <w:rFonts w:eastAsia="Times New Roman" w:cs="Arial"/>
          <w:sz w:val="24"/>
          <w:szCs w:val="24"/>
          <w:lang w:val="en-GB"/>
        </w:rPr>
        <w:t>FTTx</w:t>
      </w:r>
      <w:r w:rsidRPr="00BC1ABD">
        <w:rPr>
          <w:rFonts w:eastAsia="Times New Roman" w:cs="Arial"/>
          <w:sz w:val="24"/>
          <w:szCs w:val="24"/>
          <w:lang w:val="en-GB"/>
        </w:rPr>
        <w:t xml:space="preserve"> networks. In those settlements the actual take up is 90% or more. 40% of Georgian households are covered by 2 networks or less, including the 15% of the households that are not covered at all with </w:t>
      </w:r>
      <w:r w:rsidR="00592449">
        <w:rPr>
          <w:rFonts w:eastAsia="Times New Roman" w:cs="Arial"/>
          <w:sz w:val="24"/>
          <w:szCs w:val="24"/>
          <w:lang w:val="en-GB"/>
        </w:rPr>
        <w:t>FTTx</w:t>
      </w:r>
      <w:r w:rsidRPr="00BC1ABD">
        <w:rPr>
          <w:rFonts w:eastAsia="Times New Roman" w:cs="Arial"/>
          <w:sz w:val="24"/>
          <w:szCs w:val="24"/>
          <w:lang w:val="en-GB"/>
        </w:rPr>
        <w:t xml:space="preserve"> networks. </w:t>
      </w:r>
    </w:p>
    <w:p w14:paraId="160B5017"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Where the market players have focused on Georgia’s urban areas, there are coverage overlaps particularly in the larger cities. Outside these main cites, the competing networks do not generally overlap. </w:t>
      </w:r>
    </w:p>
    <w:p w14:paraId="4B0C50BB"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As no inter-operator wholesale market for local and central access currently exists in Georgia, there is no current basis to expect the market structure to move towards effective competition in the future.</w:t>
      </w:r>
    </w:p>
    <w:p w14:paraId="3281EFA0" w14:textId="55747A31"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Additional investments in network infrastructures in Georgia are likely to be in </w:t>
      </w:r>
      <w:r w:rsidR="00592449">
        <w:rPr>
          <w:rFonts w:eastAsia="Times New Roman" w:cs="Arial"/>
          <w:sz w:val="24"/>
          <w:szCs w:val="24"/>
          <w:lang w:val="en-GB"/>
        </w:rPr>
        <w:t>FTTx</w:t>
      </w:r>
      <w:r w:rsidRPr="00BC1ABD">
        <w:rPr>
          <w:rFonts w:eastAsia="Times New Roman" w:cs="Arial"/>
          <w:sz w:val="24"/>
          <w:szCs w:val="24"/>
          <w:lang w:val="en-GB"/>
        </w:rPr>
        <w:t xml:space="preserve"> networks. It is therefore expected that the coverage of </w:t>
      </w:r>
      <w:r w:rsidR="00592449">
        <w:rPr>
          <w:rFonts w:eastAsia="Times New Roman" w:cs="Arial"/>
          <w:sz w:val="24"/>
          <w:szCs w:val="24"/>
          <w:lang w:val="en-GB"/>
        </w:rPr>
        <w:t>FTTx</w:t>
      </w:r>
      <w:r w:rsidRPr="00BC1ABD">
        <w:rPr>
          <w:rFonts w:eastAsia="Times New Roman" w:cs="Arial"/>
          <w:sz w:val="24"/>
          <w:szCs w:val="24"/>
          <w:lang w:val="en-GB"/>
        </w:rPr>
        <w:t xml:space="preserve"> networks will keep increasing in the course of the forward-looking time horizon of this market analysis. The larger operators (Magticom and Silknet) will be in a relatively strong position to increase their coverage and market share, taking advantage of their greater economies of scope and scale as well as their vertical integration. </w:t>
      </w:r>
    </w:p>
    <w:p w14:paraId="3DD290DC" w14:textId="77777777" w:rsidR="008A258D" w:rsidRPr="00BC1ABD" w:rsidRDefault="008A258D" w:rsidP="008A258D">
      <w:pPr>
        <w:jc w:val="both"/>
        <w:rPr>
          <w:rFonts w:eastAsia="Times New Roman" w:cs="Arial"/>
          <w:sz w:val="24"/>
          <w:szCs w:val="24"/>
          <w:lang w:val="en-GB"/>
        </w:rPr>
      </w:pPr>
      <w:r w:rsidRPr="00BC1ABD">
        <w:rPr>
          <w:rFonts w:eastAsia="Times New Roman" w:cs="Arial"/>
          <w:sz w:val="24"/>
          <w:szCs w:val="24"/>
          <w:lang w:val="en-GB"/>
        </w:rPr>
        <w:t xml:space="preserve">In other words, without the ex-ante regulation of wholesale local and central access products, it would be highly unlikely that market shares of main operators as well as their overall coverage of the settlements in Georgia could be challenged in next three years. </w:t>
      </w:r>
    </w:p>
    <w:p w14:paraId="520C298D"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b/>
          <w:bCs/>
          <w:sz w:val="24"/>
          <w:szCs w:val="24"/>
          <w:lang w:val="en-GB"/>
        </w:rPr>
        <w:t>Market dynamics</w:t>
      </w:r>
    </w:p>
    <w:p w14:paraId="37A2FA10"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In the absence of commercial offers for wholesale local and central access, the dynamics of the market is expected to follow the same trend as for the downstream higher-speed retail fixed broadband access market.</w:t>
      </w:r>
    </w:p>
    <w:p w14:paraId="02600A9D" w14:textId="70808B81"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The number of fixed broadband access end users on </w:t>
      </w:r>
      <w:r w:rsidR="00592449">
        <w:rPr>
          <w:rFonts w:eastAsia="Times New Roman" w:cs="Arial"/>
          <w:sz w:val="24"/>
          <w:szCs w:val="24"/>
          <w:lang w:val="en-GB"/>
        </w:rPr>
        <w:t>FTTx</w:t>
      </w:r>
      <w:r w:rsidRPr="00BC1ABD">
        <w:rPr>
          <w:rFonts w:eastAsia="Times New Roman" w:cs="Arial"/>
          <w:sz w:val="24"/>
          <w:szCs w:val="24"/>
          <w:lang w:val="en-GB"/>
        </w:rPr>
        <w:t xml:space="preserve"> networks has been steadily increasing in last four years.</w:t>
      </w:r>
    </w:p>
    <w:p w14:paraId="3983D17F" w14:textId="7EB047DA" w:rsidR="008A258D" w:rsidRPr="00BC1ABD" w:rsidRDefault="008A258D" w:rsidP="008A258D">
      <w:pPr>
        <w:spacing w:line="240" w:lineRule="auto"/>
        <w:jc w:val="center"/>
        <w:rPr>
          <w:rFonts w:asciiTheme="minorHAnsi" w:eastAsia="Times New Roman" w:hAnsiTheme="minorHAnsi" w:cs="Arial"/>
          <w:i/>
          <w:iCs/>
          <w:color w:val="44546A" w:themeColor="text2"/>
          <w:sz w:val="20"/>
          <w:szCs w:val="20"/>
          <w:lang w:val="en-GB"/>
        </w:rPr>
      </w:pPr>
      <w:bookmarkStart w:id="245" w:name="_Toc141200285"/>
      <w:bookmarkStart w:id="246" w:name="_Toc152931395"/>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44</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Number of </w:t>
      </w:r>
      <w:r w:rsidR="00592449">
        <w:rPr>
          <w:rFonts w:asciiTheme="minorHAnsi" w:eastAsia="Times New Roman" w:hAnsiTheme="minorHAnsi"/>
          <w:i/>
          <w:iCs/>
          <w:color w:val="44546A" w:themeColor="text2"/>
          <w:sz w:val="20"/>
          <w:szCs w:val="20"/>
          <w:lang w:val="en-GB"/>
        </w:rPr>
        <w:t>FTTx</w:t>
      </w:r>
      <w:r w:rsidRPr="00BC1ABD">
        <w:rPr>
          <w:rFonts w:asciiTheme="minorHAnsi" w:eastAsia="Times New Roman" w:hAnsiTheme="minorHAnsi"/>
          <w:i/>
          <w:iCs/>
          <w:color w:val="44546A" w:themeColor="text2"/>
          <w:sz w:val="20"/>
          <w:szCs w:val="20"/>
          <w:lang w:val="en-GB"/>
        </w:rPr>
        <w:t xml:space="preserve"> (in 1,000s) (trend 2019-2022)</w:t>
      </w:r>
      <w:bookmarkEnd w:id="245"/>
      <w:bookmarkEnd w:id="246"/>
    </w:p>
    <w:p w14:paraId="1108D247" w14:textId="2B2CE8A4" w:rsidR="008A258D" w:rsidRPr="00BC1ABD" w:rsidRDefault="008A258D" w:rsidP="008A258D">
      <w:pPr>
        <w:spacing w:before="240"/>
        <w:jc w:val="center"/>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015A0640" wp14:editId="638CC9F7">
            <wp:extent cx="5743575" cy="1962150"/>
            <wp:effectExtent l="0" t="0" r="9525" b="0"/>
            <wp:docPr id="367666882" name="Slika 33" descr="Slika na kojoj se prikazuje tekst, snimka zaslona, Trokut,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66882" name="Slika 33" descr="Slika na kojoj se prikazuje tekst, snimka zaslona, Trokut, dijagram&#10;&#10;Opis je automatski generira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3575" cy="1962150"/>
                    </a:xfrm>
                    <a:prstGeom prst="rect">
                      <a:avLst/>
                    </a:prstGeom>
                    <a:noFill/>
                    <a:ln>
                      <a:noFill/>
                    </a:ln>
                  </pic:spPr>
                </pic:pic>
              </a:graphicData>
            </a:graphic>
          </wp:inline>
        </w:drawing>
      </w:r>
    </w:p>
    <w:p w14:paraId="1A77AFCF" w14:textId="77777777" w:rsidR="008A258D" w:rsidRPr="00BC1ABD" w:rsidRDefault="008A258D" w:rsidP="008A258D">
      <w:pPr>
        <w:spacing w:before="240"/>
        <w:jc w:val="center"/>
        <w:rPr>
          <w:rFonts w:eastAsia="Times New Roman" w:cs="Arial"/>
          <w:sz w:val="20"/>
          <w:szCs w:val="20"/>
          <w:lang w:val="en-GB"/>
        </w:rPr>
      </w:pPr>
      <w:r w:rsidRPr="00BC1ABD">
        <w:rPr>
          <w:rFonts w:eastAsia="Times New Roman" w:cs="Arial"/>
          <w:sz w:val="20"/>
          <w:szCs w:val="20"/>
          <w:lang w:val="en-GB"/>
        </w:rPr>
        <w:t>Source: ComCom</w:t>
      </w:r>
    </w:p>
    <w:p w14:paraId="528BE1C1" w14:textId="40C5A17C" w:rsidR="00C34299" w:rsidRPr="00384D6A" w:rsidRDefault="008A258D" w:rsidP="00384D6A">
      <w:pPr>
        <w:spacing w:before="240"/>
        <w:jc w:val="both"/>
        <w:rPr>
          <w:rFonts w:eastAsia="Times New Roman" w:cs="Arial"/>
          <w:sz w:val="24"/>
          <w:szCs w:val="24"/>
          <w:lang w:val="en-GB"/>
        </w:rPr>
      </w:pPr>
      <w:r w:rsidRPr="00BC1ABD">
        <w:rPr>
          <w:rFonts w:eastAsia="Times New Roman" w:cs="Arial"/>
          <w:sz w:val="24"/>
          <w:szCs w:val="24"/>
          <w:lang w:val="en-GB"/>
        </w:rPr>
        <w:t>In order to assess the 2</w:t>
      </w:r>
      <w:r w:rsidRPr="00BC1ABD">
        <w:rPr>
          <w:rFonts w:eastAsia="Times New Roman" w:cs="Arial"/>
          <w:sz w:val="24"/>
          <w:szCs w:val="24"/>
          <w:vertAlign w:val="superscript"/>
          <w:lang w:val="en-GB"/>
        </w:rPr>
        <w:t>nd</w:t>
      </w:r>
      <w:r w:rsidRPr="00BC1ABD">
        <w:rPr>
          <w:rFonts w:eastAsia="Times New Roman" w:cs="Arial"/>
          <w:sz w:val="24"/>
          <w:szCs w:val="24"/>
          <w:lang w:val="en-GB"/>
        </w:rPr>
        <w:t xml:space="preserve"> criterion regarding the effectiveness of competition, it is necessary to understand the dynamics and development of market shares of the main operators over a period of time and to assess whether the trend will continue over a forward-looking time horizon.</w:t>
      </w:r>
      <w:bookmarkStart w:id="247" w:name="_Toc141200286"/>
    </w:p>
    <w:p w14:paraId="0B9756C4"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0177C6FD"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74ED6C39"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248FF3BC"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1D283A0B"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7737C53E"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4EE3AE71"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567835B0"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7835115B" w14:textId="55FFEEC7" w:rsidR="008A258D" w:rsidRPr="00BC1ABD" w:rsidRDefault="008A258D" w:rsidP="008A258D">
      <w:pPr>
        <w:spacing w:line="240" w:lineRule="auto"/>
        <w:jc w:val="center"/>
        <w:rPr>
          <w:rFonts w:asciiTheme="minorHAnsi" w:eastAsia="Times New Roman" w:hAnsiTheme="minorHAnsi" w:cs="Arial"/>
          <w:i/>
          <w:iCs/>
          <w:color w:val="44546A" w:themeColor="text2"/>
          <w:sz w:val="20"/>
          <w:szCs w:val="20"/>
          <w:lang w:val="en-GB"/>
        </w:rPr>
      </w:pPr>
      <w:bookmarkStart w:id="248" w:name="_Toc152931396"/>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45</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cs="Arial"/>
          <w:i/>
          <w:iCs/>
          <w:color w:val="44546A" w:themeColor="text2"/>
          <w:sz w:val="20"/>
          <w:szCs w:val="20"/>
          <w:lang w:val="en-GB"/>
        </w:rPr>
        <w:t xml:space="preserve"> Market shares (by subscribers) on the retail higher-speed fixed broadband access market - trend</w:t>
      </w:r>
      <w:bookmarkEnd w:id="247"/>
      <w:bookmarkEnd w:id="248"/>
    </w:p>
    <w:p w14:paraId="26E7D07D" w14:textId="3022D533" w:rsidR="008A258D" w:rsidRPr="00BC1ABD" w:rsidRDefault="008A258D" w:rsidP="008A258D">
      <w:pPr>
        <w:spacing w:before="240"/>
        <w:jc w:val="both"/>
        <w:rPr>
          <w:rFonts w:eastAsia="Times New Roman" w:cs="Arial"/>
          <w:sz w:val="24"/>
          <w:szCs w:val="24"/>
          <w:lang w:val="en-GB"/>
        </w:rPr>
      </w:pPr>
      <w:r w:rsidRPr="00BC1ABD">
        <w:rPr>
          <w:rFonts w:eastAsia="Times New Roman" w:cs="Arial"/>
          <w:noProof/>
          <w:sz w:val="24"/>
          <w:szCs w:val="24"/>
          <w:lang w:val="sl-SI" w:eastAsia="sl-SI"/>
        </w:rPr>
        <w:drawing>
          <wp:inline distT="0" distB="0" distL="0" distR="0" wp14:anchorId="75AE69D0" wp14:editId="38585788">
            <wp:extent cx="5760720" cy="2502535"/>
            <wp:effectExtent l="0" t="0" r="0" b="0"/>
            <wp:docPr id="900328334" name="Slika 32" descr="Slika na kojoj se prikazuje tekst, snimka zaslona, softver,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8334" name="Slika 32" descr="Slika na kojoj se prikazuje tekst, snimka zaslona, softver, Font&#10;&#10;Opis je automatski generira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2502535"/>
                    </a:xfrm>
                    <a:prstGeom prst="rect">
                      <a:avLst/>
                    </a:prstGeom>
                    <a:noFill/>
                    <a:ln>
                      <a:noFill/>
                    </a:ln>
                  </pic:spPr>
                </pic:pic>
              </a:graphicData>
            </a:graphic>
          </wp:inline>
        </w:drawing>
      </w:r>
    </w:p>
    <w:p w14:paraId="26360BC7" w14:textId="77777777" w:rsidR="008A258D" w:rsidRPr="00BC1ABD" w:rsidRDefault="008A258D" w:rsidP="008A258D">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026E85E6" w14:textId="0F394142"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The main market dynamic before 2018 was that Magticom initially gained market share by acquiring </w:t>
      </w:r>
      <w:r w:rsidRPr="00E517D9">
        <w:rPr>
          <w:sz w:val="24"/>
          <w:szCs w:val="24"/>
          <w:lang w:val="en-US"/>
        </w:rPr>
        <w:t>Delta-Net</w:t>
      </w:r>
      <w:r w:rsidRPr="00BC1ABD">
        <w:rPr>
          <w:rFonts w:eastAsia="Times New Roman" w:cs="Arial"/>
          <w:sz w:val="24"/>
          <w:szCs w:val="24"/>
          <w:vertAlign w:val="superscript"/>
          <w:lang w:val="en-GB"/>
        </w:rPr>
        <w:footnoteReference w:id="86"/>
      </w:r>
      <w:r w:rsidRPr="00BC1ABD">
        <w:rPr>
          <w:rFonts w:eastAsia="Times New Roman" w:cs="Arial"/>
          <w:sz w:val="24"/>
          <w:szCs w:val="24"/>
          <w:lang w:val="en-GB"/>
        </w:rPr>
        <w:t>. Since 2018, market shares have remained relatively stable. This is an indication of a lack of competitive market dynamics, as fluctuations in the relative market shares of operators generally show the existence of competitive pressures between operators.</w:t>
      </w:r>
    </w:p>
    <w:p w14:paraId="6513694C" w14:textId="30B7805C" w:rsidR="008A258D" w:rsidRPr="00BC1ABD" w:rsidRDefault="008A258D" w:rsidP="008A258D">
      <w:pPr>
        <w:spacing w:before="240"/>
        <w:jc w:val="both"/>
        <w:rPr>
          <w:rFonts w:eastAsia="Times New Roman"/>
          <w:sz w:val="24"/>
          <w:szCs w:val="24"/>
          <w:lang w:val="en-GB"/>
        </w:rPr>
      </w:pPr>
      <w:r w:rsidRPr="00BC1ABD">
        <w:rPr>
          <w:rFonts w:eastAsia="Times New Roman"/>
          <w:sz w:val="24"/>
          <w:szCs w:val="24"/>
          <w:lang w:val="en-GB"/>
        </w:rPr>
        <w:t xml:space="preserve">The smaller operators have been deploying their own networks (for example </w:t>
      </w:r>
      <w:r w:rsidR="001A02CA">
        <w:rPr>
          <w:rFonts w:eastAsia="Times New Roman"/>
          <w:sz w:val="24"/>
          <w:szCs w:val="24"/>
          <w:lang w:val="en-GB"/>
        </w:rPr>
        <w:t>Akhali Kselebi</w:t>
      </w:r>
      <w:r w:rsidRPr="00BC1ABD">
        <w:rPr>
          <w:rFonts w:eastAsia="Times New Roman"/>
          <w:sz w:val="24"/>
          <w:szCs w:val="24"/>
          <w:lang w:val="en-GB"/>
        </w:rPr>
        <w:t xml:space="preserve"> and Skytel), but these together have not increased their overall market shares significantly during the last 6 years. There is no ex-ante regulation in place for the wholesale market of local and central access and the indication from the retail market suggests that without </w:t>
      </w:r>
      <w:r w:rsidRPr="00BC1ABD">
        <w:rPr>
          <w:rFonts w:eastAsia="Times New Roman"/>
          <w:i/>
          <w:iCs/>
          <w:sz w:val="24"/>
          <w:szCs w:val="24"/>
          <w:lang w:val="en-GB"/>
        </w:rPr>
        <w:t>ex-ante</w:t>
      </w:r>
      <w:r w:rsidRPr="00BC1ABD">
        <w:rPr>
          <w:rFonts w:eastAsia="Times New Roman"/>
          <w:sz w:val="24"/>
          <w:szCs w:val="24"/>
          <w:lang w:val="en-GB"/>
        </w:rPr>
        <w:t xml:space="preserve"> regulation for wholesale local and central access in place, a similar non-dynamic trend will continue. </w:t>
      </w:r>
    </w:p>
    <w:p w14:paraId="15E7857F" w14:textId="68DC8342" w:rsidR="008A258D" w:rsidRPr="00BC1ABD" w:rsidRDefault="008A258D" w:rsidP="00122B8B">
      <w:pPr>
        <w:spacing w:before="240" w:after="120"/>
        <w:jc w:val="both"/>
        <w:rPr>
          <w:rFonts w:asciiTheme="minorHAnsi" w:eastAsia="Times New Roman" w:hAnsiTheme="minorHAnsi"/>
          <w:i/>
          <w:iCs/>
          <w:color w:val="44546A" w:themeColor="text2"/>
          <w:sz w:val="20"/>
          <w:szCs w:val="20"/>
          <w:lang w:val="en-GB"/>
        </w:rPr>
      </w:pPr>
      <w:r w:rsidRPr="00BC1ABD">
        <w:rPr>
          <w:rFonts w:eastAsia="Times New Roman" w:cs="Calibri"/>
          <w:sz w:val="24"/>
          <w:szCs w:val="24"/>
          <w:lang w:val="en-GB"/>
        </w:rPr>
        <w:t xml:space="preserve">The position of Magticom as market leaders in the retail broadband market (and therefore in the self-supply of wholesale local and central access) is illustrated in Figure </w:t>
      </w:r>
      <w:r w:rsidR="00501067">
        <w:rPr>
          <w:rFonts w:eastAsia="Times New Roman" w:cs="Calibri"/>
          <w:sz w:val="24"/>
          <w:szCs w:val="24"/>
          <w:lang w:val="en-GB"/>
        </w:rPr>
        <w:t>46</w:t>
      </w:r>
      <w:r w:rsidRPr="00BC1ABD">
        <w:rPr>
          <w:rFonts w:eastAsia="Times New Roman" w:cs="Calibri"/>
          <w:sz w:val="24"/>
          <w:szCs w:val="24"/>
          <w:lang w:val="en-GB"/>
        </w:rPr>
        <w:t xml:space="preserve">. The revenue trends of the main two operators follow a similar pattern to their relative market shares of subscribers (Figure </w:t>
      </w:r>
      <w:r w:rsidR="00501067">
        <w:rPr>
          <w:rFonts w:eastAsia="Times New Roman" w:cs="Calibri"/>
          <w:sz w:val="24"/>
          <w:szCs w:val="24"/>
          <w:lang w:val="en-GB"/>
        </w:rPr>
        <w:t>45</w:t>
      </w:r>
      <w:r w:rsidRPr="00BC1ABD">
        <w:rPr>
          <w:rFonts w:eastAsia="Times New Roman" w:cs="Calibri"/>
          <w:sz w:val="24"/>
          <w:szCs w:val="24"/>
          <w:lang w:val="en-GB"/>
        </w:rPr>
        <w:t>) and show a relatively undynamic development of competition.</w:t>
      </w:r>
      <w:bookmarkStart w:id="249" w:name="_Toc141200287"/>
    </w:p>
    <w:p w14:paraId="5FED2F6C" w14:textId="77777777" w:rsidR="00C34299" w:rsidRDefault="00C34299" w:rsidP="008A258D">
      <w:pPr>
        <w:spacing w:line="240" w:lineRule="auto"/>
        <w:jc w:val="center"/>
        <w:rPr>
          <w:rFonts w:asciiTheme="minorHAnsi" w:eastAsia="Times New Roman" w:hAnsiTheme="minorHAnsi"/>
          <w:i/>
          <w:iCs/>
          <w:color w:val="44546A" w:themeColor="text2"/>
          <w:sz w:val="20"/>
          <w:szCs w:val="20"/>
          <w:lang w:val="en-GB"/>
        </w:rPr>
      </w:pPr>
    </w:p>
    <w:p w14:paraId="192DBE1C" w14:textId="77777777" w:rsidR="00C34299" w:rsidRDefault="00C34299" w:rsidP="008A258D">
      <w:pPr>
        <w:spacing w:line="240" w:lineRule="auto"/>
        <w:jc w:val="center"/>
        <w:rPr>
          <w:rFonts w:asciiTheme="minorHAnsi" w:eastAsia="Times New Roman" w:hAnsiTheme="minorHAnsi"/>
          <w:i/>
          <w:iCs/>
          <w:color w:val="44546A" w:themeColor="text2"/>
          <w:sz w:val="20"/>
          <w:szCs w:val="20"/>
          <w:lang w:val="en-GB"/>
        </w:rPr>
      </w:pPr>
    </w:p>
    <w:p w14:paraId="4DF354B0"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1C9CB27F"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30B52CD1"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5E363B96" w14:textId="77777777" w:rsidR="00384D6A" w:rsidRDefault="00384D6A" w:rsidP="008A258D">
      <w:pPr>
        <w:spacing w:line="240" w:lineRule="auto"/>
        <w:jc w:val="center"/>
        <w:rPr>
          <w:rFonts w:asciiTheme="minorHAnsi" w:eastAsia="Times New Roman" w:hAnsiTheme="minorHAnsi"/>
          <w:i/>
          <w:iCs/>
          <w:color w:val="44546A" w:themeColor="text2"/>
          <w:sz w:val="20"/>
          <w:szCs w:val="20"/>
          <w:lang w:val="en-GB"/>
        </w:rPr>
      </w:pPr>
    </w:p>
    <w:p w14:paraId="6DF90D5C" w14:textId="27486063" w:rsidR="008A258D" w:rsidRPr="00BC1ABD" w:rsidRDefault="008A258D" w:rsidP="008A258D">
      <w:pPr>
        <w:spacing w:line="240" w:lineRule="auto"/>
        <w:jc w:val="center"/>
        <w:rPr>
          <w:rFonts w:asciiTheme="minorHAnsi" w:eastAsia="Times New Roman" w:hAnsiTheme="minorHAnsi" w:cs="Calibri"/>
          <w:i/>
          <w:iCs/>
          <w:color w:val="44546A" w:themeColor="text2"/>
          <w:sz w:val="20"/>
          <w:szCs w:val="20"/>
          <w:lang w:val="en-GB"/>
        </w:rPr>
      </w:pPr>
      <w:bookmarkStart w:id="250" w:name="_Toc152931397"/>
      <w:r w:rsidRPr="00BC1ABD">
        <w:rPr>
          <w:rFonts w:asciiTheme="minorHAnsi" w:eastAsia="Times New Roman" w:hAnsiTheme="minorHAnsi"/>
          <w:i/>
          <w:iCs/>
          <w:color w:val="44546A" w:themeColor="text2"/>
          <w:sz w:val="20"/>
          <w:szCs w:val="20"/>
          <w:lang w:val="en-GB"/>
        </w:rPr>
        <w:t xml:space="preserve">Figure </w:t>
      </w:r>
      <w:r w:rsidRPr="00BC1ABD">
        <w:rPr>
          <w:rFonts w:asciiTheme="minorHAnsi" w:eastAsia="Times New Roman" w:hAnsiTheme="minorHAnsi"/>
          <w:i/>
          <w:iCs/>
          <w:color w:val="44546A" w:themeColor="text2"/>
          <w:sz w:val="20"/>
          <w:szCs w:val="20"/>
          <w:lang w:val="en-GB"/>
        </w:rPr>
        <w:fldChar w:fldCharType="begin"/>
      </w:r>
      <w:r w:rsidRPr="00BC1ABD">
        <w:rPr>
          <w:rFonts w:asciiTheme="minorHAnsi" w:eastAsia="Times New Roman" w:hAnsiTheme="minorHAnsi"/>
          <w:i/>
          <w:iCs/>
          <w:color w:val="44546A" w:themeColor="text2"/>
          <w:sz w:val="20"/>
          <w:szCs w:val="20"/>
          <w:lang w:val="en-GB"/>
        </w:rPr>
        <w:instrText xml:space="preserve"> SEQ Figure \* ARABIC </w:instrText>
      </w:r>
      <w:r w:rsidRPr="00BC1ABD">
        <w:rPr>
          <w:rFonts w:asciiTheme="minorHAnsi" w:eastAsia="Times New Roman" w:hAnsiTheme="minorHAnsi"/>
          <w:i/>
          <w:iCs/>
          <w:color w:val="44546A" w:themeColor="text2"/>
          <w:sz w:val="20"/>
          <w:szCs w:val="20"/>
          <w:lang w:val="en-GB"/>
        </w:rPr>
        <w:fldChar w:fldCharType="separate"/>
      </w:r>
      <w:r w:rsidR="00ED2C35">
        <w:rPr>
          <w:rFonts w:asciiTheme="minorHAnsi" w:eastAsia="Times New Roman" w:hAnsiTheme="minorHAnsi"/>
          <w:i/>
          <w:iCs/>
          <w:noProof/>
          <w:color w:val="44546A" w:themeColor="text2"/>
          <w:sz w:val="20"/>
          <w:szCs w:val="20"/>
          <w:lang w:val="en-GB"/>
        </w:rPr>
        <w:t>46</w:t>
      </w:r>
      <w:r w:rsidRPr="00BC1ABD">
        <w:rPr>
          <w:rFonts w:asciiTheme="minorHAnsi" w:eastAsia="Times New Roman" w:hAnsiTheme="minorHAnsi"/>
          <w:i/>
          <w:iCs/>
          <w:color w:val="44546A" w:themeColor="text2"/>
          <w:sz w:val="20"/>
          <w:szCs w:val="20"/>
          <w:lang w:val="en-GB"/>
        </w:rPr>
        <w:fldChar w:fldCharType="end"/>
      </w:r>
      <w:r w:rsidRPr="00BC1ABD">
        <w:rPr>
          <w:rFonts w:asciiTheme="minorHAnsi" w:eastAsia="Times New Roman" w:hAnsiTheme="minorHAnsi"/>
          <w:i/>
          <w:iCs/>
          <w:color w:val="44546A" w:themeColor="text2"/>
          <w:sz w:val="20"/>
          <w:szCs w:val="20"/>
          <w:lang w:val="en-GB"/>
        </w:rPr>
        <w:t xml:space="preserve"> Revenues of broadband access operators</w:t>
      </w:r>
      <w:bookmarkEnd w:id="249"/>
      <w:bookmarkEnd w:id="250"/>
    </w:p>
    <w:p w14:paraId="0682736B" w14:textId="5E780ED7" w:rsidR="008A258D" w:rsidRPr="00BC1ABD" w:rsidRDefault="008A258D" w:rsidP="008A258D">
      <w:pPr>
        <w:spacing w:before="240" w:after="120"/>
        <w:jc w:val="center"/>
        <w:rPr>
          <w:rFonts w:eastAsia="Times New Roman" w:cs="Calibri"/>
          <w:sz w:val="24"/>
          <w:szCs w:val="24"/>
          <w:lang w:val="en-GB"/>
        </w:rPr>
      </w:pPr>
      <w:r w:rsidRPr="00BC1ABD">
        <w:rPr>
          <w:rFonts w:eastAsia="Times New Roman"/>
          <w:noProof/>
          <w:lang w:val="sl-SI" w:eastAsia="sl-SI"/>
        </w:rPr>
        <w:drawing>
          <wp:inline distT="0" distB="0" distL="0" distR="0" wp14:anchorId="3F1E42FB" wp14:editId="47428869">
            <wp:extent cx="4943475" cy="2095500"/>
            <wp:effectExtent l="0" t="0" r="9525" b="0"/>
            <wp:docPr id="696701361" name="Slika 31" descr="Slika na kojoj se prikazuje crta, radnja, snimka zaslona, obrona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01361" name="Slika 31" descr="Slika na kojoj se prikazuje crta, radnja, snimka zaslona, obronak&#10;&#10;Opis je automatski generira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43475" cy="2095500"/>
                    </a:xfrm>
                    <a:prstGeom prst="rect">
                      <a:avLst/>
                    </a:prstGeom>
                    <a:noFill/>
                    <a:ln>
                      <a:noFill/>
                    </a:ln>
                  </pic:spPr>
                </pic:pic>
              </a:graphicData>
            </a:graphic>
          </wp:inline>
        </w:drawing>
      </w:r>
    </w:p>
    <w:p w14:paraId="5592800D" w14:textId="77777777" w:rsidR="008A258D" w:rsidRPr="00BC1ABD" w:rsidRDefault="008A258D" w:rsidP="008A258D">
      <w:pPr>
        <w:spacing w:before="240"/>
        <w:jc w:val="center"/>
        <w:rPr>
          <w:rFonts w:eastAsia="Times New Roman" w:cs="Arial"/>
          <w:sz w:val="24"/>
          <w:szCs w:val="24"/>
          <w:lang w:val="en-GB"/>
        </w:rPr>
      </w:pPr>
      <w:r w:rsidRPr="00BC1ABD">
        <w:rPr>
          <w:rFonts w:eastAsia="Times New Roman" w:cs="Arial"/>
          <w:sz w:val="20"/>
          <w:szCs w:val="20"/>
          <w:lang w:val="en-GB"/>
        </w:rPr>
        <w:t>Source: ComCom</w:t>
      </w:r>
    </w:p>
    <w:p w14:paraId="704744B1" w14:textId="404CF3ED"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The market shares and revenues are highly influenced by the relatively strong positions of the two leading market players Magticom and Silknet. These operators have the largest coverage of </w:t>
      </w:r>
      <w:r w:rsidR="00592449">
        <w:rPr>
          <w:rFonts w:eastAsia="Times New Roman" w:cs="Arial"/>
          <w:sz w:val="24"/>
          <w:szCs w:val="24"/>
          <w:lang w:val="en-GB"/>
        </w:rPr>
        <w:t>FTTx</w:t>
      </w:r>
      <w:r w:rsidRPr="00BC1ABD">
        <w:rPr>
          <w:rFonts w:eastAsia="Times New Roman" w:cs="Arial"/>
          <w:sz w:val="24"/>
          <w:szCs w:val="24"/>
          <w:lang w:val="en-GB"/>
        </w:rPr>
        <w:t xml:space="preserve"> networks and benefit from stronger economies of scale and scope (see Chapter </w:t>
      </w:r>
      <w:r w:rsidR="00AC5496">
        <w:rPr>
          <w:rFonts w:eastAsia="Times New Roman" w:cs="Arial"/>
          <w:sz w:val="24"/>
          <w:szCs w:val="24"/>
          <w:lang w:val="en-GB"/>
        </w:rPr>
        <w:t>4</w:t>
      </w:r>
      <w:r w:rsidRPr="00BC1ABD">
        <w:rPr>
          <w:rFonts w:eastAsia="Times New Roman" w:cs="Arial"/>
          <w:sz w:val="24"/>
          <w:szCs w:val="24"/>
          <w:lang w:val="en-GB"/>
        </w:rPr>
        <w:t>.5.1).</w:t>
      </w:r>
    </w:p>
    <w:p w14:paraId="79232F8F" w14:textId="3CFB719E"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In Chapter </w:t>
      </w:r>
      <w:r w:rsidR="00B3563B">
        <w:rPr>
          <w:rFonts w:eastAsia="Times New Roman" w:cs="Arial"/>
          <w:sz w:val="24"/>
          <w:szCs w:val="24"/>
          <w:lang w:val="en-GB"/>
        </w:rPr>
        <w:t>3</w:t>
      </w:r>
      <w:r w:rsidRPr="00BC1ABD">
        <w:rPr>
          <w:rFonts w:eastAsia="Times New Roman" w:cs="Arial"/>
          <w:sz w:val="24"/>
          <w:szCs w:val="24"/>
          <w:lang w:val="en-GB"/>
        </w:rPr>
        <w:t>.6.1 it was noted that the retail prices of two main players have increased in step with each other, within in quite close periods of time. This parallelism alone does not prove the absence of effective competition in this market, but it could illustrate at least the absence of price competition. In mid-August 2022, Silknet increased a range of prices for their retail fixed broadband offers (for example a 17% increase in their ‘Start’ internet service in Tbilisi and a 13% increase for other regions in Georgia). Magticom followed in early September with a 23% rise in their starter internet package in Tbilisi and a 14% rise in other Regions. At the same dates, Magticom also followed Silknet in increasing retail tariffs for their internet plus TV bundles (Silknet by 13% in Tbilisi and 10% elsewhere and Magticom by 14% in Tbilisi and by 15% to 17% elsewhere). Magticom, as the operator with the largest market share nationally in the fixed retail broadband access market therefore took the opportunity to increase its revenues following the second largest operator’s lead. In a case with higher price elasticity, a challenger would be more likely to maintain its price position relative to its competitor, in order to take the opportunity to increase its market share at the expense of its higher-priced rival. Weak price elasticity could be conducive to tacit price coordination.</w:t>
      </w:r>
    </w:p>
    <w:p w14:paraId="55E48B7E"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Services within the wholesale local and central access market could be sold by any infrastructure-owning operator. In the Georgian case, there are no wholesale local and central access products offered at all, which does not give the possibility for smaller operators to use a local and central wholesale access service as an effective means of increasing competition in the retail broadband access market. </w:t>
      </w:r>
    </w:p>
    <w:p w14:paraId="3BC83511" w14:textId="6336993F"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Therefore, it could be concluded that in the absence of wholesale regulation of local and central access products, Magticom will remain the only player with significant coverage in Georgia which will impact the development of the networks in areas outside of main cities, where, in most cases, there are no competing </w:t>
      </w:r>
      <w:r w:rsidR="00592449">
        <w:rPr>
          <w:rFonts w:eastAsia="Times New Roman" w:cs="Arial"/>
          <w:sz w:val="24"/>
          <w:szCs w:val="24"/>
          <w:lang w:val="en-GB"/>
        </w:rPr>
        <w:t>FTTx</w:t>
      </w:r>
      <w:r w:rsidRPr="00BC1ABD">
        <w:rPr>
          <w:rFonts w:eastAsia="Times New Roman" w:cs="Arial"/>
          <w:sz w:val="24"/>
          <w:szCs w:val="24"/>
          <w:lang w:val="en-GB"/>
        </w:rPr>
        <w:t xml:space="preserve"> networks available on large scale. It will impact the competition as well on the downstream retail higher-speed broadband market.</w:t>
      </w:r>
    </w:p>
    <w:p w14:paraId="0AA8B448" w14:textId="77777777" w:rsidR="008A258D" w:rsidRPr="00BC1ABD" w:rsidRDefault="008A258D" w:rsidP="008A258D">
      <w:pPr>
        <w:jc w:val="both"/>
        <w:rPr>
          <w:rFonts w:eastAsia="Times New Roman"/>
          <w:sz w:val="24"/>
          <w:szCs w:val="24"/>
          <w:u w:val="single"/>
          <w:lang w:val="en-GB"/>
        </w:rPr>
      </w:pPr>
      <w:r w:rsidRPr="00BC1ABD">
        <w:rPr>
          <w:rFonts w:eastAsia="Times New Roman"/>
          <w:b/>
          <w:bCs/>
          <w:sz w:val="24"/>
          <w:szCs w:val="24"/>
          <w:lang w:val="en-GB"/>
        </w:rPr>
        <w:t>Agreement terms at wholesale level</w:t>
      </w:r>
    </w:p>
    <w:p w14:paraId="0518DF3D" w14:textId="40A1F109"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There is no wholesale regulation of wholesale local and central access products based on </w:t>
      </w:r>
      <w:r w:rsidR="00592449">
        <w:rPr>
          <w:rFonts w:eastAsia="Times New Roman" w:cs="Arial"/>
          <w:sz w:val="24"/>
          <w:szCs w:val="24"/>
          <w:lang w:val="en-GB"/>
        </w:rPr>
        <w:t>FTTx</w:t>
      </w:r>
      <w:r w:rsidRPr="00BC1ABD">
        <w:rPr>
          <w:rFonts w:eastAsia="Times New Roman" w:cs="Arial"/>
          <w:sz w:val="24"/>
          <w:szCs w:val="24"/>
          <w:lang w:val="en-GB"/>
        </w:rPr>
        <w:t xml:space="preserve"> in Georgia and no commercial agreements between operators exist in this market.</w:t>
      </w:r>
    </w:p>
    <w:p w14:paraId="2638D9AA" w14:textId="266914A8" w:rsidR="008A258D" w:rsidRPr="00BC1ABD" w:rsidRDefault="008A258D" w:rsidP="008A258D">
      <w:pPr>
        <w:jc w:val="both"/>
        <w:rPr>
          <w:rFonts w:eastAsia="Times New Roman"/>
          <w:sz w:val="24"/>
          <w:szCs w:val="24"/>
          <w:lang w:val="en-GB"/>
        </w:rPr>
      </w:pPr>
      <w:r w:rsidRPr="00BC1ABD">
        <w:rPr>
          <w:rFonts w:eastAsia="Times New Roman"/>
          <w:sz w:val="24"/>
          <w:szCs w:val="24"/>
          <w:lang w:val="en-GB"/>
        </w:rPr>
        <w:t xml:space="preserve">In order for new or existing </w:t>
      </w:r>
      <w:r w:rsidR="00592449">
        <w:rPr>
          <w:rFonts w:eastAsia="Times New Roman"/>
          <w:sz w:val="24"/>
          <w:szCs w:val="24"/>
          <w:lang w:val="en-GB"/>
        </w:rPr>
        <w:t>FTTx</w:t>
      </w:r>
      <w:r w:rsidRPr="00BC1ABD">
        <w:rPr>
          <w:rFonts w:eastAsia="Times New Roman"/>
          <w:sz w:val="24"/>
          <w:szCs w:val="24"/>
          <w:lang w:val="en-GB"/>
        </w:rPr>
        <w:t xml:space="preserve"> operators to have a better choice of investment options for increasing their competitive presence in the retail broadband access market, they will need the option of using wholesale local and central access. Clearly at present the existing leading market players (Magticom and Silknet) are showing no interest in offering wholesale local and central access services to competitors. If they offered this form of wholesale access, they would see a greater competitive pressure from the increased retail choices, over a greater geographical area in the broadband access market. Their lack of wholesale local and central access offerings is therefore having a harmful effect on competition in the downstream retail fixed broadband access market. Taking a forward-looking view, the current situation hinders the development and geographical expansion of competing </w:t>
      </w:r>
      <w:r w:rsidR="00592449">
        <w:rPr>
          <w:rFonts w:eastAsia="Times New Roman"/>
          <w:sz w:val="24"/>
          <w:szCs w:val="24"/>
          <w:lang w:val="en-GB"/>
        </w:rPr>
        <w:t>FTTx</w:t>
      </w:r>
      <w:r w:rsidRPr="00BC1ABD">
        <w:rPr>
          <w:rFonts w:eastAsia="Times New Roman"/>
          <w:sz w:val="24"/>
          <w:szCs w:val="24"/>
          <w:lang w:val="en-GB"/>
        </w:rPr>
        <w:t xml:space="preserve"> networks in Georgia.</w:t>
      </w:r>
    </w:p>
    <w:p w14:paraId="6E031291" w14:textId="7D66F6E6" w:rsidR="008A258D" w:rsidRPr="00BC1ABD" w:rsidRDefault="008A258D" w:rsidP="008A258D">
      <w:pPr>
        <w:jc w:val="both"/>
        <w:rPr>
          <w:rFonts w:eastAsia="Times New Roman"/>
          <w:sz w:val="24"/>
          <w:szCs w:val="24"/>
          <w:lang w:val="en-GB"/>
        </w:rPr>
      </w:pPr>
      <w:r w:rsidRPr="00BC1ABD">
        <w:rPr>
          <w:rFonts w:eastAsia="Times New Roman"/>
          <w:sz w:val="24"/>
          <w:szCs w:val="24"/>
          <w:lang w:val="en-GB"/>
        </w:rPr>
        <w:t xml:space="preserve">There remain a large number of settlements in Georgia without competing </w:t>
      </w:r>
      <w:r w:rsidR="00592449">
        <w:rPr>
          <w:rFonts w:eastAsia="Times New Roman"/>
          <w:sz w:val="24"/>
          <w:szCs w:val="24"/>
          <w:lang w:val="en-GB"/>
        </w:rPr>
        <w:t>FTTx</w:t>
      </w:r>
      <w:r w:rsidRPr="00BC1ABD">
        <w:rPr>
          <w:rFonts w:eastAsia="Times New Roman"/>
          <w:sz w:val="24"/>
          <w:szCs w:val="24"/>
          <w:lang w:val="en-GB"/>
        </w:rPr>
        <w:t xml:space="preserve"> networks. With the lack of current wholesale local and central access products and the apparent reluctance of the existing </w:t>
      </w:r>
      <w:r w:rsidR="00592449">
        <w:rPr>
          <w:rFonts w:eastAsia="Times New Roman"/>
          <w:sz w:val="24"/>
          <w:szCs w:val="24"/>
          <w:lang w:val="en-GB"/>
        </w:rPr>
        <w:t>FTTx</w:t>
      </w:r>
      <w:r w:rsidRPr="00BC1ABD">
        <w:rPr>
          <w:rFonts w:eastAsia="Times New Roman"/>
          <w:sz w:val="24"/>
          <w:szCs w:val="24"/>
          <w:lang w:val="en-GB"/>
        </w:rPr>
        <w:t xml:space="preserve"> operators to enter into commercial agreements, the coverage of competing </w:t>
      </w:r>
      <w:r w:rsidR="00592449">
        <w:rPr>
          <w:rFonts w:eastAsia="Times New Roman"/>
          <w:sz w:val="24"/>
          <w:szCs w:val="24"/>
          <w:lang w:val="en-GB"/>
        </w:rPr>
        <w:t>FTTx</w:t>
      </w:r>
      <w:r w:rsidRPr="00BC1ABD">
        <w:rPr>
          <w:rFonts w:eastAsia="Times New Roman"/>
          <w:sz w:val="24"/>
          <w:szCs w:val="24"/>
          <w:lang w:val="en-GB"/>
        </w:rPr>
        <w:t xml:space="preserve"> networks at the settlement level is expected to remain limited. That could fully affect the development of the </w:t>
      </w:r>
      <w:r w:rsidR="00592449">
        <w:rPr>
          <w:rFonts w:eastAsia="Times New Roman"/>
          <w:sz w:val="24"/>
          <w:szCs w:val="24"/>
          <w:lang w:val="en-GB"/>
        </w:rPr>
        <w:t>FTTx</w:t>
      </w:r>
      <w:r w:rsidRPr="00BC1ABD">
        <w:rPr>
          <w:rFonts w:eastAsia="Times New Roman"/>
          <w:sz w:val="24"/>
          <w:szCs w:val="24"/>
          <w:lang w:val="en-GB"/>
        </w:rPr>
        <w:t xml:space="preserve"> networks in near future as well as the development of the competition on downstream markets as operators not having significant coverage of households could not have the possibility to compete on service level and use that as a transitory step to build their own </w:t>
      </w:r>
      <w:r w:rsidR="00592449">
        <w:rPr>
          <w:rFonts w:eastAsia="Times New Roman"/>
          <w:sz w:val="24"/>
          <w:szCs w:val="24"/>
          <w:lang w:val="en-GB"/>
        </w:rPr>
        <w:t>FTTx</w:t>
      </w:r>
      <w:r w:rsidRPr="00BC1ABD">
        <w:rPr>
          <w:rFonts w:eastAsia="Times New Roman"/>
          <w:sz w:val="24"/>
          <w:szCs w:val="24"/>
          <w:lang w:val="en-GB"/>
        </w:rPr>
        <w:t xml:space="preserve"> networks in the settlements they do not cover as of today. </w:t>
      </w:r>
    </w:p>
    <w:p w14:paraId="06EC2D48" w14:textId="77777777" w:rsidR="008A258D" w:rsidRPr="00BC1ABD" w:rsidRDefault="008A258D" w:rsidP="008A258D">
      <w:pPr>
        <w:jc w:val="both"/>
        <w:rPr>
          <w:rFonts w:eastAsia="Times New Roman"/>
          <w:b/>
          <w:bCs/>
          <w:sz w:val="24"/>
          <w:szCs w:val="24"/>
          <w:lang w:val="en-GB"/>
        </w:rPr>
      </w:pPr>
      <w:r w:rsidRPr="00BC1ABD">
        <w:rPr>
          <w:rFonts w:eastAsia="Times New Roman"/>
          <w:b/>
          <w:bCs/>
          <w:sz w:val="24"/>
          <w:szCs w:val="24"/>
          <w:lang w:val="en-GB"/>
        </w:rPr>
        <w:t>Conclusion – second criterion</w:t>
      </w:r>
    </w:p>
    <w:p w14:paraId="2D91C626"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It is concluded that the market for wholesale local and central access does not tend towards effective competition because:</w:t>
      </w:r>
    </w:p>
    <w:p w14:paraId="4C6B72FA" w14:textId="721AC3B2" w:rsidR="008A258D" w:rsidRPr="00BC1ABD" w:rsidRDefault="008A258D" w:rsidP="008A258D">
      <w:pPr>
        <w:numPr>
          <w:ilvl w:val="0"/>
          <w:numId w:val="8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There is an absence of commercial agreements for wholesale local and central access services and a continued reluctance of the leading </w:t>
      </w:r>
      <w:r w:rsidR="00592449">
        <w:rPr>
          <w:rFonts w:eastAsia="Times New Roman" w:cs="Arial"/>
          <w:sz w:val="24"/>
          <w:szCs w:val="24"/>
          <w:lang w:val="en-GB"/>
        </w:rPr>
        <w:t>FTTx</w:t>
      </w:r>
      <w:r w:rsidRPr="00BC1ABD">
        <w:rPr>
          <w:rFonts w:eastAsia="Times New Roman" w:cs="Arial"/>
          <w:sz w:val="24"/>
          <w:szCs w:val="24"/>
          <w:lang w:val="en-GB"/>
        </w:rPr>
        <w:t xml:space="preserve"> operators to enter agreements</w:t>
      </w:r>
    </w:p>
    <w:p w14:paraId="5126AC1F" w14:textId="07D28478" w:rsidR="008A258D" w:rsidRPr="00BC1ABD" w:rsidRDefault="008A258D" w:rsidP="008A258D">
      <w:pPr>
        <w:numPr>
          <w:ilvl w:val="0"/>
          <w:numId w:val="8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The wholesale local and central access markets currently consist of only self-supply within each </w:t>
      </w:r>
      <w:r w:rsidR="00592449">
        <w:rPr>
          <w:rFonts w:eastAsia="Times New Roman" w:cs="Arial"/>
          <w:sz w:val="24"/>
          <w:szCs w:val="24"/>
          <w:lang w:val="en-GB"/>
        </w:rPr>
        <w:t>FTTx</w:t>
      </w:r>
      <w:r w:rsidRPr="00BC1ABD">
        <w:rPr>
          <w:rFonts w:eastAsia="Times New Roman" w:cs="Arial"/>
          <w:sz w:val="24"/>
          <w:szCs w:val="24"/>
          <w:lang w:val="en-GB"/>
        </w:rPr>
        <w:t xml:space="preserve"> network.</w:t>
      </w:r>
    </w:p>
    <w:p w14:paraId="53A61028" w14:textId="7F41C378" w:rsidR="008A258D" w:rsidRPr="00BC1ABD" w:rsidRDefault="008A258D" w:rsidP="008A258D">
      <w:pPr>
        <w:numPr>
          <w:ilvl w:val="0"/>
          <w:numId w:val="8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The corresponding low level of market dynamics mirror the situation on the retail fixed broadband market which also does not tend towards effective competition (see Chapter </w:t>
      </w:r>
      <w:r w:rsidR="000F5020">
        <w:rPr>
          <w:rFonts w:eastAsia="Times New Roman" w:cs="Arial"/>
          <w:sz w:val="24"/>
          <w:szCs w:val="24"/>
          <w:lang w:val="en-GB"/>
        </w:rPr>
        <w:t>3</w:t>
      </w:r>
      <w:r w:rsidRPr="00BC1ABD">
        <w:rPr>
          <w:rFonts w:eastAsia="Times New Roman" w:cs="Arial"/>
          <w:sz w:val="24"/>
          <w:szCs w:val="24"/>
          <w:lang w:val="en-GB"/>
        </w:rPr>
        <w:t>.6.1)</w:t>
      </w:r>
    </w:p>
    <w:p w14:paraId="24C6A1C7" w14:textId="3230AC5D" w:rsidR="008A258D" w:rsidRPr="00BC1ABD" w:rsidRDefault="008A258D" w:rsidP="008A258D">
      <w:pPr>
        <w:numPr>
          <w:ilvl w:val="0"/>
          <w:numId w:val="86"/>
        </w:numPr>
        <w:spacing w:before="240"/>
        <w:contextualSpacing/>
        <w:jc w:val="both"/>
        <w:rPr>
          <w:rFonts w:eastAsia="Times New Roman" w:cs="Arial"/>
          <w:sz w:val="24"/>
          <w:szCs w:val="24"/>
          <w:lang w:val="en-GB"/>
        </w:rPr>
      </w:pPr>
      <w:r w:rsidRPr="00BC1ABD">
        <w:rPr>
          <w:rFonts w:eastAsia="Times New Roman" w:cs="Arial"/>
          <w:sz w:val="24"/>
          <w:szCs w:val="24"/>
          <w:lang w:val="en-GB"/>
        </w:rPr>
        <w:t xml:space="preserve">In the absence of </w:t>
      </w:r>
      <w:r w:rsidRPr="00BC1ABD">
        <w:rPr>
          <w:rFonts w:eastAsia="Times New Roman" w:cs="Arial"/>
          <w:i/>
          <w:iCs/>
          <w:sz w:val="24"/>
          <w:szCs w:val="24"/>
          <w:lang w:val="en-GB"/>
        </w:rPr>
        <w:t>ex-ante</w:t>
      </w:r>
      <w:r w:rsidRPr="00BC1ABD">
        <w:rPr>
          <w:rFonts w:eastAsia="Times New Roman" w:cs="Arial"/>
          <w:sz w:val="24"/>
          <w:szCs w:val="24"/>
          <w:lang w:val="en-GB"/>
        </w:rPr>
        <w:t xml:space="preserve"> regulation and taking a forward-looking view, the largest </w:t>
      </w:r>
      <w:r w:rsidR="00592449">
        <w:rPr>
          <w:rFonts w:eastAsia="Times New Roman" w:cs="Arial"/>
          <w:sz w:val="24"/>
          <w:szCs w:val="24"/>
          <w:lang w:val="en-GB"/>
        </w:rPr>
        <w:t>FTTx</w:t>
      </w:r>
      <w:r w:rsidRPr="00BC1ABD">
        <w:rPr>
          <w:rFonts w:eastAsia="Times New Roman" w:cs="Arial"/>
          <w:sz w:val="24"/>
          <w:szCs w:val="24"/>
          <w:lang w:val="en-GB"/>
        </w:rPr>
        <w:t xml:space="preserve"> operators could exert market power by denying wholesale local and central access services, thereby limiting market competition in the downstream retail fixed broadband in terms of new retail offerings and geographical expansion</w:t>
      </w:r>
    </w:p>
    <w:p w14:paraId="73392190"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It is therefore concluded that the wholesale market for local and central access market does not tend to effective competition, so the second criterion is fulfilled.</w:t>
      </w:r>
    </w:p>
    <w:p w14:paraId="71C97C15" w14:textId="77777777" w:rsidR="008A258D" w:rsidRPr="00EA5052" w:rsidRDefault="008A258D" w:rsidP="00EA5052">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51" w:name="_Toc169258947"/>
      <w:r w:rsidRPr="00EA5052">
        <w:rPr>
          <w:rFonts w:asciiTheme="minorHAnsi" w:hAnsiTheme="minorHAnsi" w:cstheme="minorHAnsi"/>
          <w:b w:val="0"/>
          <w:bCs w:val="0"/>
          <w:sz w:val="24"/>
          <w:szCs w:val="24"/>
          <w:lang w:val="en-GB"/>
        </w:rPr>
        <w:t>Third criterion - Competition law alone is insufficient to adequately address the identified market failure(s).</w:t>
      </w:r>
      <w:bookmarkEnd w:id="251"/>
    </w:p>
    <w:p w14:paraId="59AA2BB0"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The third criterion asks whether competition law could be effective to remedy any possible anti-competitive behaviour from the owners of physical infrastructure with national coverage.</w:t>
      </w:r>
    </w:p>
    <w:p w14:paraId="705AD4BA" w14:textId="10512B2D" w:rsidR="008A258D" w:rsidRPr="00BC1ABD" w:rsidRDefault="008A258D" w:rsidP="008A258D">
      <w:pPr>
        <w:spacing w:before="240"/>
        <w:jc w:val="both"/>
        <w:rPr>
          <w:rFonts w:eastAsia="Times New Roman" w:cs="Arial"/>
          <w:sz w:val="24"/>
          <w:szCs w:val="24"/>
          <w:lang w:val="en-GB"/>
        </w:rPr>
      </w:pPr>
      <w:r w:rsidRPr="00BC1ABD">
        <w:rPr>
          <w:rFonts w:eastAsia="Times New Roman" w:cs="Arial"/>
          <w:i/>
          <w:iCs/>
          <w:sz w:val="24"/>
          <w:szCs w:val="24"/>
          <w:lang w:val="en-GB"/>
        </w:rPr>
        <w:t>Ex-post</w:t>
      </w:r>
      <w:r w:rsidRPr="00BC1ABD">
        <w:rPr>
          <w:rFonts w:eastAsia="Times New Roman" w:cs="Arial"/>
          <w:sz w:val="24"/>
          <w:szCs w:val="24"/>
          <w:lang w:val="en-GB"/>
        </w:rPr>
        <w:t xml:space="preserve"> competition law remedies can deal with alleged abuses which do not completely exclude access seekers from the market, for example self-preferencing by the owner of the physical infrastructure. For example, the operator would deny an access seeker on the basis that the network architecture for </w:t>
      </w:r>
      <w:r w:rsidR="00592449">
        <w:rPr>
          <w:rFonts w:eastAsia="Times New Roman" w:cs="Arial"/>
          <w:sz w:val="24"/>
          <w:szCs w:val="24"/>
          <w:lang w:val="en-GB"/>
        </w:rPr>
        <w:t>FTTx</w:t>
      </w:r>
      <w:r w:rsidRPr="00BC1ABD">
        <w:rPr>
          <w:rFonts w:eastAsia="Times New Roman" w:cs="Arial"/>
          <w:sz w:val="24"/>
          <w:szCs w:val="24"/>
          <w:lang w:val="en-GB"/>
        </w:rPr>
        <w:t xml:space="preserve"> is not compatible with the access-seeker’s requirements.</w:t>
      </w:r>
    </w:p>
    <w:p w14:paraId="679FE2F2" w14:textId="14F22A74"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ComCom has the powers to apply competition law in the telecommunications sector and has the expertise to deal with the possible complex technical issues relating to wholesale local and central access in </w:t>
      </w:r>
      <w:r w:rsidR="00592449">
        <w:rPr>
          <w:rFonts w:eastAsia="Times New Roman" w:cs="Arial"/>
          <w:sz w:val="24"/>
          <w:szCs w:val="24"/>
          <w:lang w:val="en-GB"/>
        </w:rPr>
        <w:t>FTTx</w:t>
      </w:r>
      <w:r w:rsidRPr="00BC1ABD">
        <w:rPr>
          <w:rFonts w:eastAsia="Times New Roman" w:cs="Arial"/>
          <w:sz w:val="24"/>
          <w:szCs w:val="24"/>
          <w:lang w:val="en-GB"/>
        </w:rPr>
        <w:t xml:space="preserve"> networks. Under Article 16 of ComCom resolution No. 1 (as amended) setting the rules for the Enforcement of the Law On Competition, ComCom could, in the case of a complaint, impose provisional measures including the obligation to publish a reference offer for wholesale local and central access. However, this would require a preliminary finding not only of dominance, but also of (at least at face value) an abusive refusal to deal. The latter finding would take time, since ComCom would have to leave a reasonable time period for the parties to negotiate a wholesale agreement until ComCom could identify unreasonable conditions showing an intent of refusal to deal.</w:t>
      </w:r>
    </w:p>
    <w:p w14:paraId="7BD25605" w14:textId="77777777" w:rsidR="008A258D" w:rsidRPr="00BC1ABD" w:rsidRDefault="008A258D" w:rsidP="008A258D">
      <w:pPr>
        <w:spacing w:before="240"/>
        <w:jc w:val="both"/>
        <w:rPr>
          <w:rFonts w:eastAsia="Times New Roman" w:cs="Arial"/>
          <w:sz w:val="24"/>
          <w:szCs w:val="24"/>
          <w:lang w:val="en-GB"/>
        </w:rPr>
      </w:pPr>
      <w:r w:rsidRPr="00BC1ABD">
        <w:rPr>
          <w:rFonts w:eastAsia="Times New Roman" w:cs="Arial"/>
          <w:sz w:val="24"/>
          <w:szCs w:val="24"/>
          <w:lang w:val="en-GB"/>
        </w:rPr>
        <w:t xml:space="preserve">In addition, even if wholesale access would be successfully negotiated with one access-seeker, the conditions agreed would not necessarily be suitable for other access-seekers. ComCom is not able to determine under its competition law powers, technical parameters and pricing. ComCom has only been able to set technical conditions and pricing under its </w:t>
      </w:r>
      <w:r w:rsidRPr="00BC1ABD">
        <w:rPr>
          <w:rFonts w:eastAsia="Times New Roman" w:cs="Arial"/>
          <w:i/>
          <w:iCs/>
          <w:sz w:val="24"/>
          <w:szCs w:val="24"/>
          <w:lang w:val="en-GB"/>
        </w:rPr>
        <w:t>ex-ante</w:t>
      </w:r>
      <w:r w:rsidRPr="00BC1ABD">
        <w:rPr>
          <w:rFonts w:eastAsia="Times New Roman" w:cs="Arial"/>
          <w:sz w:val="24"/>
          <w:szCs w:val="24"/>
          <w:lang w:val="en-GB"/>
        </w:rPr>
        <w:t xml:space="preserve"> powers from the Law on Electronic Communications. Therefore, competition law and ComCom’s competition powers would not be able to address the identified competition failings.</w:t>
      </w:r>
    </w:p>
    <w:p w14:paraId="0D7B3004" w14:textId="4C38C690" w:rsidR="003D0040" w:rsidRPr="00EA5052" w:rsidRDefault="008A258D" w:rsidP="00EA5052">
      <w:pPr>
        <w:spacing w:before="240"/>
        <w:jc w:val="both"/>
        <w:rPr>
          <w:rFonts w:eastAsia="Times New Roman" w:cs="Arial"/>
          <w:sz w:val="24"/>
          <w:szCs w:val="24"/>
          <w:lang w:val="en-GB"/>
        </w:rPr>
      </w:pPr>
      <w:r w:rsidRPr="00BC1ABD">
        <w:rPr>
          <w:rFonts w:eastAsia="Times New Roman" w:cs="Arial"/>
          <w:sz w:val="24"/>
          <w:szCs w:val="24"/>
          <w:lang w:val="en-GB"/>
        </w:rPr>
        <w:t>It is therefore concluded that the third criterion, that competition law alone is insufficient to adequately address the identified market failure, is fulfilled.</w:t>
      </w:r>
      <w:r w:rsidR="00B271E6" w:rsidRPr="00BC1ABD">
        <w:rPr>
          <w:lang w:val="en-GB"/>
        </w:rPr>
        <w:tab/>
      </w:r>
    </w:p>
    <w:p w14:paraId="3820ACA3" w14:textId="77777777" w:rsidR="00B271E6" w:rsidRPr="00EA5052" w:rsidRDefault="00B271E6" w:rsidP="00EA5052">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52" w:name="_Toc169258948"/>
      <w:r w:rsidRPr="00EA5052">
        <w:rPr>
          <w:rFonts w:asciiTheme="minorHAnsi" w:hAnsiTheme="minorHAnsi" w:cstheme="minorHAnsi"/>
          <w:b w:val="0"/>
          <w:bCs w:val="0"/>
          <w:sz w:val="24"/>
          <w:szCs w:val="24"/>
          <w:lang w:val="en-GB"/>
        </w:rPr>
        <w:t>Conclusion on whether the market is susceptible to ex-ante regulation</w:t>
      </w:r>
      <w:bookmarkEnd w:id="252"/>
      <w:r w:rsidRPr="00EA5052">
        <w:rPr>
          <w:rFonts w:asciiTheme="minorHAnsi" w:hAnsiTheme="minorHAnsi" w:cstheme="minorHAnsi"/>
          <w:b w:val="0"/>
          <w:bCs w:val="0"/>
          <w:sz w:val="24"/>
          <w:szCs w:val="24"/>
          <w:lang w:val="en-GB"/>
        </w:rPr>
        <w:tab/>
      </w:r>
    </w:p>
    <w:p w14:paraId="312ED7AC" w14:textId="5B5DD40F" w:rsidR="00C34299" w:rsidRDefault="00E62FF1" w:rsidP="00EA5052">
      <w:pPr>
        <w:spacing w:after="0" w:line="240" w:lineRule="auto"/>
        <w:rPr>
          <w:rFonts w:ascii="Times New Roman" w:eastAsiaTheme="minorHAnsi" w:hAnsi="Times New Roman"/>
          <w:sz w:val="24"/>
          <w:szCs w:val="24"/>
          <w:lang w:val="en-GB" w:eastAsia="en-GB"/>
        </w:rPr>
      </w:pPr>
      <w:r w:rsidRPr="00BC1ABD">
        <w:rPr>
          <w:rFonts w:eastAsia="Times New Roman" w:cs="Arial"/>
          <w:sz w:val="24"/>
          <w:szCs w:val="24"/>
          <w:lang w:val="en-GB"/>
        </w:rPr>
        <w:t>It is concluded that that the three criteria, as defined by EU law</w:t>
      </w:r>
      <w:r w:rsidRPr="00BC1ABD">
        <w:rPr>
          <w:rFonts w:eastAsia="Times New Roman" w:cs="Arial"/>
          <w:sz w:val="24"/>
          <w:szCs w:val="24"/>
          <w:vertAlign w:val="superscript"/>
          <w:lang w:val="en-GB"/>
        </w:rPr>
        <w:footnoteReference w:id="87"/>
      </w:r>
      <w:r w:rsidRPr="00BC1ABD">
        <w:rPr>
          <w:rFonts w:eastAsia="Times New Roman" w:cs="Arial"/>
          <w:sz w:val="24"/>
          <w:szCs w:val="24"/>
          <w:vertAlign w:val="superscript"/>
          <w:lang w:val="en-GB"/>
        </w:rPr>
        <w:t xml:space="preserve"> </w:t>
      </w:r>
      <w:r w:rsidRPr="00BC1ABD">
        <w:rPr>
          <w:rFonts w:eastAsia="Times New Roman" w:cs="Arial"/>
          <w:sz w:val="24"/>
          <w:szCs w:val="24"/>
          <w:lang w:val="en-GB"/>
        </w:rPr>
        <w:t>, are met. That means that the market of wholesale local and central access is considered to be susceptible to ex-ante regulation</w:t>
      </w:r>
      <w:r w:rsidRPr="00BC1ABD">
        <w:rPr>
          <w:rFonts w:cs="Arial"/>
          <w:sz w:val="24"/>
          <w:szCs w:val="24"/>
          <w:lang w:val="en-GB"/>
        </w:rPr>
        <w:t>.</w:t>
      </w:r>
      <w:r w:rsidRPr="00BC1ABD">
        <w:rPr>
          <w:rFonts w:ascii="Times New Roman" w:eastAsiaTheme="minorHAnsi" w:hAnsi="Times New Roman"/>
          <w:sz w:val="24"/>
          <w:szCs w:val="24"/>
          <w:lang w:val="en-GB" w:eastAsia="en-GB"/>
        </w:rPr>
        <w:t xml:space="preserve"> </w:t>
      </w:r>
    </w:p>
    <w:p w14:paraId="3CBFC9B2" w14:textId="77777777" w:rsidR="00122B8B" w:rsidRPr="00BC1ABD" w:rsidRDefault="00122B8B" w:rsidP="00EA5052">
      <w:pPr>
        <w:spacing w:after="0" w:line="240" w:lineRule="auto"/>
        <w:rPr>
          <w:lang w:val="en-GB"/>
        </w:rPr>
      </w:pPr>
    </w:p>
    <w:p w14:paraId="033453DE" w14:textId="539C11E7" w:rsidR="00887455" w:rsidRPr="00BC1ABD" w:rsidRDefault="00B271E6" w:rsidP="00EB11F7">
      <w:pPr>
        <w:pStyle w:val="Heading1"/>
        <w:numPr>
          <w:ilvl w:val="0"/>
          <w:numId w:val="88"/>
        </w:numPr>
        <w:rPr>
          <w:lang w:val="en-GB"/>
        </w:rPr>
      </w:pPr>
      <w:bookmarkStart w:id="253" w:name="_Toc169258949"/>
      <w:r w:rsidRPr="00BC1ABD">
        <w:rPr>
          <w:lang w:val="en-GB"/>
        </w:rPr>
        <w:t>SMP assessmen</w:t>
      </w:r>
      <w:r w:rsidR="00887455" w:rsidRPr="00BC1ABD">
        <w:rPr>
          <w:lang w:val="en-GB"/>
        </w:rPr>
        <w:t>t</w:t>
      </w:r>
      <w:bookmarkEnd w:id="253"/>
    </w:p>
    <w:p w14:paraId="0982202D" w14:textId="600860AA" w:rsidR="00595FA9" w:rsidRPr="00BC1ABD" w:rsidRDefault="00595FA9" w:rsidP="00DD796F">
      <w:pPr>
        <w:pStyle w:val="Heading2"/>
        <w:numPr>
          <w:ilvl w:val="1"/>
          <w:numId w:val="88"/>
        </w:numPr>
        <w:spacing w:after="240"/>
        <w:rPr>
          <w:lang w:val="en-GB"/>
        </w:rPr>
      </w:pPr>
      <w:bookmarkStart w:id="254" w:name="_Hlk129596317"/>
      <w:bookmarkStart w:id="255" w:name="_Toc169258950"/>
      <w:r w:rsidRPr="00BC1ABD">
        <w:rPr>
          <w:lang w:val="en-GB"/>
        </w:rPr>
        <w:t>Background and goal of the SMP assessment phase</w:t>
      </w:r>
      <w:bookmarkEnd w:id="254"/>
      <w:bookmarkEnd w:id="255"/>
    </w:p>
    <w:p w14:paraId="60191E7D" w14:textId="05EE8AB5" w:rsidR="00595FA9" w:rsidRPr="00BC1ABD" w:rsidRDefault="00595FA9" w:rsidP="00AF36B2">
      <w:pPr>
        <w:jc w:val="both"/>
        <w:rPr>
          <w:rFonts w:cs="Arial"/>
          <w:sz w:val="24"/>
          <w:szCs w:val="24"/>
          <w:lang w:val="en-GB"/>
        </w:rPr>
      </w:pPr>
      <w:r w:rsidRPr="00BC1ABD">
        <w:rPr>
          <w:sz w:val="24"/>
          <w:szCs w:val="24"/>
          <w:lang w:val="en-GB"/>
        </w:rPr>
        <w:t xml:space="preserve">Based on a prospective assessment of competition in the retail markets for fixed broadband access services, it has been concluded that </w:t>
      </w:r>
      <w:r w:rsidR="00CA1C60" w:rsidRPr="00BC1ABD">
        <w:rPr>
          <w:sz w:val="24"/>
          <w:szCs w:val="24"/>
          <w:lang w:val="en-GB"/>
        </w:rPr>
        <w:t xml:space="preserve">the higher-speed retail fixed broadband market is not sufficiently competitive </w:t>
      </w:r>
      <w:r w:rsidRPr="00BC1ABD">
        <w:rPr>
          <w:rFonts w:cs="Arial"/>
          <w:sz w:val="24"/>
          <w:szCs w:val="24"/>
          <w:lang w:val="en-GB"/>
        </w:rPr>
        <w:t xml:space="preserve">(see Chapter </w:t>
      </w:r>
      <w:r w:rsidR="00D15B44">
        <w:rPr>
          <w:rFonts w:cs="Arial"/>
          <w:sz w:val="24"/>
          <w:szCs w:val="24"/>
          <w:lang w:val="en-GB"/>
        </w:rPr>
        <w:t>3.6.1</w:t>
      </w:r>
      <w:r w:rsidRPr="00BC1ABD">
        <w:rPr>
          <w:rFonts w:cs="Arial"/>
          <w:sz w:val="24"/>
          <w:szCs w:val="24"/>
          <w:lang w:val="en-GB"/>
        </w:rPr>
        <w:t xml:space="preserve">). </w:t>
      </w:r>
    </w:p>
    <w:p w14:paraId="3EB37E76" w14:textId="77777777" w:rsidR="00595FA9" w:rsidRPr="00BC1ABD" w:rsidRDefault="00595FA9" w:rsidP="00595FA9">
      <w:pPr>
        <w:spacing w:before="240"/>
        <w:jc w:val="both"/>
        <w:rPr>
          <w:rFonts w:cs="Arial"/>
          <w:sz w:val="24"/>
          <w:szCs w:val="24"/>
          <w:lang w:val="en-GB"/>
        </w:rPr>
      </w:pPr>
      <w:r w:rsidRPr="00BC1ABD">
        <w:rPr>
          <w:rFonts w:cs="Arial"/>
          <w:sz w:val="24"/>
          <w:szCs w:val="24"/>
          <w:lang w:val="en-GB"/>
        </w:rPr>
        <w:t>It was also concluded that, subject to the further analysis and finding of significant market power, regulatory intervention at the wholesale level will be required to address the competition failures at the retail level.</w:t>
      </w:r>
    </w:p>
    <w:p w14:paraId="0707565A" w14:textId="3ABFCF8E" w:rsidR="00595FA9" w:rsidRPr="00BC1ABD" w:rsidRDefault="00595FA9" w:rsidP="00595FA9">
      <w:pPr>
        <w:jc w:val="both"/>
        <w:rPr>
          <w:sz w:val="24"/>
          <w:szCs w:val="24"/>
          <w:lang w:val="en-GB"/>
        </w:rPr>
      </w:pPr>
      <w:r w:rsidRPr="00BC1ABD">
        <w:rPr>
          <w:sz w:val="24"/>
          <w:szCs w:val="24"/>
          <w:lang w:val="en-GB"/>
        </w:rPr>
        <w:t>The objective of this market review is therefore to determine whether, in the wholesale</w:t>
      </w:r>
      <w:r w:rsidRPr="00BC1ABD">
        <w:rPr>
          <w:rFonts w:cs="Arial"/>
          <w:sz w:val="24"/>
          <w:szCs w:val="24"/>
          <w:lang w:val="en-GB"/>
        </w:rPr>
        <w:t xml:space="preserve"> market for local and central access at a fixed location</w:t>
      </w:r>
      <w:r w:rsidRPr="00BC1ABD">
        <w:rPr>
          <w:sz w:val="24"/>
          <w:szCs w:val="24"/>
          <w:lang w:val="en-GB"/>
        </w:rPr>
        <w:t>, an operator (or several operators jointly) possess significant market power (SMP).</w:t>
      </w:r>
      <w:r w:rsidR="00195B2F">
        <w:rPr>
          <w:sz w:val="24"/>
          <w:szCs w:val="24"/>
          <w:lang w:val="en-GB"/>
        </w:rPr>
        <w:t xml:space="preserve"> </w:t>
      </w:r>
    </w:p>
    <w:p w14:paraId="3F887A3C" w14:textId="34A6B667" w:rsidR="00595FA9" w:rsidRPr="00BC1ABD" w:rsidRDefault="00595FA9" w:rsidP="00595FA9">
      <w:pPr>
        <w:jc w:val="both"/>
        <w:rPr>
          <w:rFonts w:cs="Arial"/>
          <w:sz w:val="24"/>
          <w:szCs w:val="24"/>
          <w:lang w:val="en-GB"/>
        </w:rPr>
      </w:pPr>
      <w:r w:rsidRPr="00BC1ABD">
        <w:rPr>
          <w:sz w:val="24"/>
          <w:szCs w:val="24"/>
          <w:lang w:val="en-GB"/>
        </w:rPr>
        <w:t xml:space="preserve">An operator has SMP when their market position enables them to </w:t>
      </w:r>
      <w:r w:rsidRPr="00CD74AC">
        <w:rPr>
          <w:sz w:val="24"/>
          <w:szCs w:val="24"/>
          <w:lang w:val="en-GB"/>
        </w:rPr>
        <w:t>“…</w:t>
      </w:r>
      <w:r w:rsidRPr="00E517D9">
        <w:rPr>
          <w:sz w:val="24"/>
          <w:szCs w:val="24"/>
          <w:lang w:val="en-US"/>
        </w:rPr>
        <w:t>unilaterally make a significant influence restricting competition in this segment of the market</w:t>
      </w:r>
      <w:r w:rsidRPr="00CD74AC">
        <w:rPr>
          <w:i/>
          <w:iCs/>
          <w:sz w:val="24"/>
          <w:szCs w:val="24"/>
          <w:lang w:val="en-GB"/>
        </w:rPr>
        <w:t>”</w:t>
      </w:r>
      <w:r w:rsidRPr="00CD74AC">
        <w:rPr>
          <w:sz w:val="24"/>
          <w:szCs w:val="24"/>
          <w:vertAlign w:val="superscript"/>
          <w:lang w:val="en-GB"/>
        </w:rPr>
        <w:footnoteReference w:id="88"/>
      </w:r>
      <w:r w:rsidR="00ED1EA3" w:rsidRPr="00BC1ABD">
        <w:rPr>
          <w:i/>
          <w:iCs/>
          <w:sz w:val="24"/>
          <w:szCs w:val="24"/>
          <w:lang w:val="en-GB"/>
        </w:rPr>
        <w:t>.</w:t>
      </w:r>
      <w:r w:rsidRPr="00BC1ABD">
        <w:rPr>
          <w:sz w:val="24"/>
          <w:szCs w:val="24"/>
          <w:lang w:val="en-GB"/>
        </w:rPr>
        <w:t xml:space="preserve"> </w:t>
      </w:r>
      <w:r w:rsidR="00ED1EA3" w:rsidRPr="00BC1ABD">
        <w:rPr>
          <w:sz w:val="24"/>
          <w:szCs w:val="24"/>
          <w:lang w:val="en-GB"/>
        </w:rPr>
        <w:t>In</w:t>
      </w:r>
      <w:r w:rsidRPr="00BC1ABD">
        <w:rPr>
          <w:sz w:val="24"/>
          <w:szCs w:val="24"/>
          <w:lang w:val="en-GB"/>
        </w:rPr>
        <w:t xml:space="preserve"> the case of the wholesale market for local and central access, </w:t>
      </w:r>
      <w:r w:rsidR="00A01B91">
        <w:rPr>
          <w:sz w:val="24"/>
          <w:szCs w:val="24"/>
          <w:lang w:val="en-GB"/>
        </w:rPr>
        <w:t xml:space="preserve">an </w:t>
      </w:r>
      <w:r w:rsidR="00ED1EA3" w:rsidRPr="00BC1ABD">
        <w:rPr>
          <w:sz w:val="24"/>
          <w:szCs w:val="24"/>
          <w:lang w:val="en-GB"/>
        </w:rPr>
        <w:t>SMP operator could</w:t>
      </w:r>
      <w:r w:rsidRPr="00BC1ABD">
        <w:rPr>
          <w:sz w:val="24"/>
          <w:szCs w:val="24"/>
          <w:lang w:val="en-GB"/>
        </w:rPr>
        <w:t xml:space="preserve"> </w:t>
      </w:r>
      <w:r w:rsidR="00ED1EA3" w:rsidRPr="00BC1ABD">
        <w:rPr>
          <w:sz w:val="24"/>
          <w:szCs w:val="24"/>
          <w:lang w:val="en-GB"/>
        </w:rPr>
        <w:t xml:space="preserve">in particular </w:t>
      </w:r>
      <w:r w:rsidRPr="00BC1ABD">
        <w:rPr>
          <w:sz w:val="24"/>
          <w:szCs w:val="24"/>
          <w:lang w:val="en-GB"/>
        </w:rPr>
        <w:t xml:space="preserve">restrict competition </w:t>
      </w:r>
      <w:r w:rsidRPr="00BC1ABD">
        <w:rPr>
          <w:rFonts w:cs="Arial"/>
          <w:sz w:val="24"/>
          <w:szCs w:val="24"/>
          <w:lang w:val="en-GB"/>
        </w:rPr>
        <w:t xml:space="preserve">on the </w:t>
      </w:r>
      <w:r w:rsidR="00ED1EA3" w:rsidRPr="00BC1ABD">
        <w:rPr>
          <w:rFonts w:cs="Arial"/>
          <w:sz w:val="24"/>
          <w:szCs w:val="24"/>
          <w:lang w:val="en-GB"/>
        </w:rPr>
        <w:t xml:space="preserve">downstream </w:t>
      </w:r>
      <w:r w:rsidRPr="00BC1ABD">
        <w:rPr>
          <w:rFonts w:cs="Arial"/>
          <w:sz w:val="24"/>
          <w:szCs w:val="24"/>
          <w:lang w:val="en-GB"/>
        </w:rPr>
        <w:t xml:space="preserve">higher-speed retail broadband access market. </w:t>
      </w:r>
    </w:p>
    <w:p w14:paraId="71C62AD5" w14:textId="6590EA6B" w:rsidR="00595FA9" w:rsidRPr="00BC1ABD" w:rsidRDefault="00595FA9" w:rsidP="00DD796F">
      <w:pPr>
        <w:pStyle w:val="Heading2"/>
        <w:numPr>
          <w:ilvl w:val="1"/>
          <w:numId w:val="88"/>
        </w:numPr>
        <w:spacing w:after="240"/>
        <w:rPr>
          <w:lang w:val="en-GB"/>
        </w:rPr>
      </w:pPr>
      <w:bookmarkStart w:id="256" w:name="_Toc169258951"/>
      <w:r w:rsidRPr="00BC1ABD">
        <w:rPr>
          <w:lang w:val="en-GB"/>
        </w:rPr>
        <w:t>The wholesale market of local and central access at a fixed location</w:t>
      </w:r>
      <w:bookmarkEnd w:id="256"/>
    </w:p>
    <w:p w14:paraId="5A6621D1" w14:textId="77777777" w:rsidR="00595FA9" w:rsidRPr="00BC1ABD" w:rsidRDefault="00595FA9" w:rsidP="00595FA9">
      <w:pPr>
        <w:jc w:val="both"/>
        <w:rPr>
          <w:sz w:val="24"/>
          <w:szCs w:val="24"/>
          <w:lang w:val="en-GB"/>
        </w:rPr>
      </w:pPr>
      <w:r w:rsidRPr="00BC1ABD">
        <w:rPr>
          <w:sz w:val="24"/>
          <w:szCs w:val="24"/>
          <w:lang w:val="en-GB"/>
        </w:rPr>
        <w:t>The wholesale market for local and central access at a fixed location is one of four defined wholesale markets that exist upstream from the retail fixed broadband markets, as shown in the following diagram:</w:t>
      </w:r>
    </w:p>
    <w:p w14:paraId="1B2C3342" w14:textId="5F8C1CB9" w:rsidR="00595FA9" w:rsidRPr="00BC1ABD" w:rsidRDefault="00595FA9" w:rsidP="0090737C">
      <w:pPr>
        <w:spacing w:after="120" w:line="252" w:lineRule="auto"/>
        <w:jc w:val="center"/>
        <w:rPr>
          <w:rFonts w:asciiTheme="minorHAnsi" w:eastAsiaTheme="minorHAnsi" w:hAnsiTheme="minorHAnsi" w:cstheme="minorBidi"/>
          <w:i/>
          <w:iCs/>
          <w:color w:val="44546A" w:themeColor="text2"/>
          <w:sz w:val="20"/>
          <w:szCs w:val="20"/>
          <w:lang w:val="en-GB"/>
        </w:rPr>
      </w:pPr>
      <w:bookmarkStart w:id="257" w:name="_Toc152931398"/>
      <w:r w:rsidRPr="00BC1ABD">
        <w:rPr>
          <w:rFonts w:asciiTheme="minorHAnsi" w:eastAsiaTheme="minorHAnsi" w:hAnsiTheme="minorHAnsi" w:cstheme="minorBidi"/>
          <w:i/>
          <w:iCs/>
          <w:color w:val="44546A" w:themeColor="text2"/>
          <w:sz w:val="20"/>
          <w:szCs w:val="20"/>
          <w:lang w:val="en-GB"/>
        </w:rPr>
        <w:t xml:space="preserve">Figure </w:t>
      </w:r>
      <w:r w:rsidRPr="00BC1ABD">
        <w:rPr>
          <w:rFonts w:asciiTheme="minorHAnsi" w:eastAsiaTheme="minorHAnsi" w:hAnsiTheme="minorHAnsi" w:cstheme="minorBidi"/>
          <w:i/>
          <w:iCs/>
          <w:color w:val="44546A" w:themeColor="text2"/>
          <w:sz w:val="20"/>
          <w:szCs w:val="20"/>
          <w:lang w:val="en-GB"/>
        </w:rPr>
        <w:fldChar w:fldCharType="begin"/>
      </w:r>
      <w:r w:rsidRPr="00BC1ABD">
        <w:rPr>
          <w:rFonts w:asciiTheme="minorHAnsi" w:eastAsiaTheme="minorHAnsi" w:hAnsiTheme="minorHAnsi" w:cstheme="minorBidi"/>
          <w:i/>
          <w:iCs/>
          <w:color w:val="44546A" w:themeColor="text2"/>
          <w:sz w:val="20"/>
          <w:szCs w:val="20"/>
          <w:lang w:val="en-GB"/>
        </w:rPr>
        <w:instrText xml:space="preserve"> SEQ Figure \* ARABIC </w:instrText>
      </w:r>
      <w:r w:rsidRPr="00BC1ABD">
        <w:rPr>
          <w:rFonts w:asciiTheme="minorHAnsi" w:eastAsiaTheme="minorHAnsi" w:hAnsiTheme="minorHAnsi" w:cstheme="minorBidi"/>
          <w:i/>
          <w:iCs/>
          <w:color w:val="44546A" w:themeColor="text2"/>
          <w:sz w:val="20"/>
          <w:szCs w:val="20"/>
          <w:lang w:val="en-GB"/>
        </w:rPr>
        <w:fldChar w:fldCharType="separate"/>
      </w:r>
      <w:r w:rsidR="00ED2C35">
        <w:rPr>
          <w:rFonts w:asciiTheme="minorHAnsi" w:eastAsiaTheme="minorHAnsi" w:hAnsiTheme="minorHAnsi" w:cstheme="minorBidi"/>
          <w:i/>
          <w:iCs/>
          <w:noProof/>
          <w:color w:val="44546A" w:themeColor="text2"/>
          <w:sz w:val="20"/>
          <w:szCs w:val="20"/>
          <w:lang w:val="en-GB"/>
        </w:rPr>
        <w:t>47</w:t>
      </w:r>
      <w:r w:rsidRPr="00BC1ABD">
        <w:rPr>
          <w:rFonts w:asciiTheme="minorHAnsi" w:eastAsiaTheme="minorHAnsi" w:hAnsiTheme="minorHAnsi" w:cstheme="minorBidi"/>
          <w:i/>
          <w:iCs/>
          <w:color w:val="44546A" w:themeColor="text2"/>
          <w:sz w:val="20"/>
          <w:szCs w:val="20"/>
          <w:lang w:val="en-GB"/>
        </w:rPr>
        <w:fldChar w:fldCharType="end"/>
      </w:r>
      <w:r w:rsidRPr="00BC1ABD">
        <w:rPr>
          <w:rFonts w:asciiTheme="minorHAnsi" w:eastAsiaTheme="minorHAnsi" w:hAnsiTheme="minorHAnsi" w:cstheme="minorBidi"/>
          <w:i/>
          <w:iCs/>
          <w:color w:val="44546A" w:themeColor="text2"/>
          <w:sz w:val="20"/>
          <w:szCs w:val="20"/>
          <w:lang w:val="en-GB"/>
        </w:rPr>
        <w:t>: The relevant retail and wholesale markets for fixed broadband services</w:t>
      </w:r>
      <w:bookmarkEnd w:id="257"/>
    </w:p>
    <w:p w14:paraId="09B726C6" w14:textId="77777777" w:rsidR="00595FA9" w:rsidRPr="00BC1ABD" w:rsidRDefault="0090737C" w:rsidP="002A26C4">
      <w:pPr>
        <w:jc w:val="center"/>
        <w:rPr>
          <w:lang w:val="en-GB"/>
        </w:rPr>
      </w:pPr>
      <w:r w:rsidRPr="00BC1ABD">
        <w:rPr>
          <w:noProof/>
          <w:lang w:val="sl-SI" w:eastAsia="sl-SI"/>
        </w:rPr>
        <w:drawing>
          <wp:inline distT="0" distB="0" distL="0" distR="0" wp14:anchorId="1D59747E" wp14:editId="4D780F53">
            <wp:extent cx="3195320" cy="179324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13098" t="6982" r="20995" b="24558"/>
                    <a:stretch/>
                  </pic:blipFill>
                  <pic:spPr bwMode="auto">
                    <a:xfrm>
                      <a:off x="0" y="0"/>
                      <a:ext cx="3195320" cy="1793240"/>
                    </a:xfrm>
                    <a:prstGeom prst="rect">
                      <a:avLst/>
                    </a:prstGeom>
                    <a:noFill/>
                    <a:ln>
                      <a:noFill/>
                    </a:ln>
                    <a:extLst>
                      <a:ext uri="{53640926-AAD7-44D8-BBD7-CCE9431645EC}">
                        <a14:shadowObscured xmlns:a14="http://schemas.microsoft.com/office/drawing/2010/main"/>
                      </a:ext>
                    </a:extLst>
                  </pic:spPr>
                </pic:pic>
              </a:graphicData>
            </a:graphic>
          </wp:inline>
        </w:drawing>
      </w:r>
    </w:p>
    <w:p w14:paraId="52572B75" w14:textId="0257B75E" w:rsidR="00595FA9" w:rsidRPr="002A26C4" w:rsidRDefault="002A26C4" w:rsidP="002A26C4">
      <w:pPr>
        <w:jc w:val="center"/>
        <w:rPr>
          <w:sz w:val="20"/>
          <w:szCs w:val="20"/>
          <w:lang w:val="en-GB"/>
        </w:rPr>
      </w:pPr>
      <w:r w:rsidRPr="002A26C4">
        <w:rPr>
          <w:sz w:val="20"/>
          <w:szCs w:val="20"/>
          <w:lang w:val="en-GB"/>
        </w:rPr>
        <w:t>Source: Consultant team</w:t>
      </w:r>
    </w:p>
    <w:p w14:paraId="752B03D0" w14:textId="77777777" w:rsidR="00595FA9" w:rsidRPr="00BC1ABD" w:rsidRDefault="00595FA9" w:rsidP="00595FA9">
      <w:pPr>
        <w:jc w:val="both"/>
        <w:rPr>
          <w:sz w:val="24"/>
          <w:szCs w:val="24"/>
          <w:lang w:val="en-GB"/>
        </w:rPr>
      </w:pPr>
      <w:r w:rsidRPr="00BC1ABD">
        <w:rPr>
          <w:sz w:val="24"/>
          <w:szCs w:val="24"/>
          <w:lang w:val="en-GB"/>
        </w:rPr>
        <w:t>The retail markets for basic and higher-speed fixed broadband access have been defined in Chapter 3 as two separate markets:</w:t>
      </w:r>
    </w:p>
    <w:p w14:paraId="0E3E3A60" w14:textId="77777777" w:rsidR="00595FA9" w:rsidRPr="00BC1ABD" w:rsidRDefault="00595FA9" w:rsidP="00595FA9">
      <w:pPr>
        <w:jc w:val="both"/>
        <w:rPr>
          <w:sz w:val="24"/>
          <w:szCs w:val="24"/>
          <w:lang w:val="en-GB"/>
        </w:rPr>
      </w:pPr>
      <w:r w:rsidRPr="00BC1ABD">
        <w:rPr>
          <w:sz w:val="24"/>
          <w:szCs w:val="24"/>
          <w:lang w:val="en-GB"/>
        </w:rPr>
        <w:t xml:space="preserve">The </w:t>
      </w:r>
      <w:r w:rsidRPr="00BC1ABD">
        <w:rPr>
          <w:i/>
          <w:iCs/>
          <w:sz w:val="24"/>
          <w:szCs w:val="24"/>
          <w:lang w:val="en-GB"/>
        </w:rPr>
        <w:t>basic</w:t>
      </w:r>
      <w:r w:rsidRPr="00BC1ABD">
        <w:rPr>
          <w:sz w:val="24"/>
          <w:szCs w:val="24"/>
          <w:lang w:val="en-GB"/>
        </w:rPr>
        <w:t xml:space="preserve"> fixed broadband access market consists of:</w:t>
      </w:r>
    </w:p>
    <w:p w14:paraId="04523970" w14:textId="77777777" w:rsidR="00595FA9" w:rsidRPr="00BC1ABD" w:rsidRDefault="00595FA9">
      <w:pPr>
        <w:numPr>
          <w:ilvl w:val="0"/>
          <w:numId w:val="22"/>
        </w:numPr>
        <w:spacing w:before="240"/>
        <w:contextualSpacing/>
        <w:jc w:val="both"/>
        <w:rPr>
          <w:rFonts w:cs="Arial"/>
          <w:sz w:val="24"/>
          <w:szCs w:val="24"/>
          <w:lang w:val="en-GB"/>
        </w:rPr>
      </w:pPr>
      <w:r w:rsidRPr="00BC1ABD">
        <w:rPr>
          <w:rFonts w:cs="Arial"/>
          <w:sz w:val="24"/>
          <w:szCs w:val="24"/>
          <w:lang w:val="en-GB"/>
        </w:rPr>
        <w:t>Retail fixed broadband access via FWA</w:t>
      </w:r>
    </w:p>
    <w:p w14:paraId="617238E1" w14:textId="77777777" w:rsidR="00595FA9" w:rsidRPr="00BC1ABD" w:rsidRDefault="00595FA9">
      <w:pPr>
        <w:numPr>
          <w:ilvl w:val="0"/>
          <w:numId w:val="22"/>
        </w:numPr>
        <w:spacing w:before="240"/>
        <w:contextualSpacing/>
        <w:jc w:val="both"/>
        <w:rPr>
          <w:rFonts w:cs="Arial"/>
          <w:sz w:val="24"/>
          <w:szCs w:val="24"/>
          <w:lang w:val="en-GB"/>
        </w:rPr>
      </w:pPr>
      <w:r w:rsidRPr="00BC1ABD">
        <w:rPr>
          <w:rFonts w:cs="Arial"/>
          <w:sz w:val="24"/>
          <w:szCs w:val="24"/>
          <w:lang w:val="en-GB"/>
        </w:rPr>
        <w:t>Retail fixed broadband access via xDSL</w:t>
      </w:r>
    </w:p>
    <w:p w14:paraId="75FCFC9B" w14:textId="77777777" w:rsidR="00595FA9" w:rsidRPr="00BC1ABD" w:rsidRDefault="00595FA9">
      <w:pPr>
        <w:numPr>
          <w:ilvl w:val="0"/>
          <w:numId w:val="22"/>
        </w:numPr>
        <w:spacing w:before="240"/>
        <w:contextualSpacing/>
        <w:jc w:val="both"/>
        <w:rPr>
          <w:rFonts w:cs="Arial"/>
          <w:sz w:val="24"/>
          <w:szCs w:val="24"/>
          <w:lang w:val="en-GB"/>
        </w:rPr>
      </w:pPr>
      <w:r w:rsidRPr="00BC1ABD">
        <w:rPr>
          <w:rFonts w:cs="Arial"/>
          <w:sz w:val="24"/>
          <w:szCs w:val="24"/>
          <w:lang w:val="en-GB"/>
        </w:rPr>
        <w:t>Retail fixed broadband using mobile networks</w:t>
      </w:r>
    </w:p>
    <w:p w14:paraId="0573C398" w14:textId="77777777" w:rsidR="00595FA9" w:rsidRPr="00BC1ABD" w:rsidRDefault="00595FA9" w:rsidP="00595FA9">
      <w:pPr>
        <w:spacing w:before="240"/>
        <w:jc w:val="both"/>
        <w:rPr>
          <w:rFonts w:cs="Arial"/>
          <w:sz w:val="24"/>
          <w:szCs w:val="24"/>
          <w:lang w:val="en-GB"/>
        </w:rPr>
      </w:pPr>
      <w:r w:rsidRPr="00BC1ABD">
        <w:rPr>
          <w:rFonts w:cs="Arial"/>
          <w:sz w:val="24"/>
          <w:szCs w:val="24"/>
          <w:lang w:val="en-GB"/>
        </w:rPr>
        <w:t xml:space="preserve">The relevant market can be considered as being in the speed range of up to 10 Mbps offered </w:t>
      </w:r>
      <w:r w:rsidR="004C246C" w:rsidRPr="00BC1ABD">
        <w:rPr>
          <w:rFonts w:cs="Arial"/>
          <w:sz w:val="24"/>
          <w:szCs w:val="24"/>
          <w:lang w:val="en-GB"/>
        </w:rPr>
        <w:t>as</w:t>
      </w:r>
      <w:r w:rsidRPr="00BC1ABD">
        <w:rPr>
          <w:rFonts w:cs="Arial"/>
          <w:sz w:val="24"/>
          <w:szCs w:val="24"/>
          <w:lang w:val="en-GB"/>
        </w:rPr>
        <w:t xml:space="preserve"> </w:t>
      </w:r>
      <w:r w:rsidR="004C246C" w:rsidRPr="00BC1ABD">
        <w:rPr>
          <w:rFonts w:cs="Arial"/>
          <w:sz w:val="24"/>
          <w:szCs w:val="24"/>
          <w:lang w:val="en-GB"/>
        </w:rPr>
        <w:t>mass-market products</w:t>
      </w:r>
      <w:r w:rsidRPr="00BC1ABD">
        <w:rPr>
          <w:rFonts w:cs="Arial"/>
          <w:sz w:val="24"/>
          <w:szCs w:val="24"/>
          <w:lang w:val="en-GB"/>
        </w:rPr>
        <w:t>, regardless of whether the specified broadband access service is offered alone or bundled with other electronic communications services and regardless of the access speeds provided within the defined speed range</w:t>
      </w:r>
      <w:bookmarkStart w:id="258" w:name="_Hlk123894161"/>
      <w:r w:rsidRPr="00BC1ABD">
        <w:rPr>
          <w:rFonts w:cs="Arial"/>
          <w:sz w:val="24"/>
          <w:szCs w:val="24"/>
          <w:lang w:val="en-GB"/>
        </w:rPr>
        <w:t>.</w:t>
      </w:r>
    </w:p>
    <w:p w14:paraId="4523464E" w14:textId="53A95044" w:rsidR="00595FA9" w:rsidRPr="00BC1ABD" w:rsidRDefault="00595FA9" w:rsidP="00595FA9">
      <w:pPr>
        <w:spacing w:before="240"/>
        <w:jc w:val="both"/>
        <w:rPr>
          <w:rFonts w:cs="Arial"/>
          <w:sz w:val="24"/>
          <w:szCs w:val="24"/>
          <w:lang w:val="en-GB"/>
        </w:rPr>
      </w:pPr>
      <w:bookmarkStart w:id="259" w:name="_Hlk123667792"/>
      <w:bookmarkEnd w:id="258"/>
      <w:r w:rsidRPr="00BC1ABD">
        <w:rPr>
          <w:rFonts w:cs="Arial"/>
          <w:sz w:val="24"/>
          <w:szCs w:val="24"/>
          <w:lang w:val="en-GB"/>
        </w:rPr>
        <w:t xml:space="preserve">The </w:t>
      </w:r>
      <w:r w:rsidRPr="00BC1ABD">
        <w:rPr>
          <w:rFonts w:cs="Arial"/>
          <w:i/>
          <w:iCs/>
          <w:sz w:val="24"/>
          <w:szCs w:val="24"/>
          <w:lang w:val="en-GB"/>
        </w:rPr>
        <w:t>higher-speed</w:t>
      </w:r>
      <w:r w:rsidRPr="00BC1ABD">
        <w:rPr>
          <w:rFonts w:cs="Arial"/>
          <w:sz w:val="24"/>
          <w:szCs w:val="24"/>
          <w:lang w:val="en-GB"/>
        </w:rPr>
        <w:t xml:space="preserve"> fixed broadband access market, also defined in Chapter 3 consists of</w:t>
      </w:r>
      <w:bookmarkEnd w:id="259"/>
      <w:r w:rsidRPr="00BC1ABD">
        <w:rPr>
          <w:rFonts w:cs="Arial"/>
          <w:sz w:val="24"/>
          <w:szCs w:val="24"/>
          <w:lang w:val="en-GB"/>
        </w:rPr>
        <w:t xml:space="preserve"> the </w:t>
      </w:r>
      <w:r w:rsidR="00F026B4">
        <w:rPr>
          <w:rFonts w:cs="Arial"/>
          <w:sz w:val="24"/>
          <w:szCs w:val="24"/>
          <w:lang w:val="en-GB"/>
        </w:rPr>
        <w:t>FTTx</w:t>
      </w:r>
      <w:r w:rsidRPr="00BC1ABD">
        <w:rPr>
          <w:rFonts w:cs="Arial"/>
          <w:sz w:val="24"/>
          <w:szCs w:val="24"/>
          <w:lang w:val="en-GB"/>
        </w:rPr>
        <w:t xml:space="preserve"> fixed broadband access service offered </w:t>
      </w:r>
      <w:r w:rsidR="004C246C" w:rsidRPr="00BC1ABD">
        <w:rPr>
          <w:rFonts w:cs="Arial"/>
          <w:sz w:val="24"/>
          <w:szCs w:val="24"/>
          <w:lang w:val="en-GB"/>
        </w:rPr>
        <w:t>as</w:t>
      </w:r>
      <w:r w:rsidRPr="00BC1ABD">
        <w:rPr>
          <w:rFonts w:cs="Arial"/>
          <w:sz w:val="24"/>
          <w:szCs w:val="24"/>
          <w:lang w:val="en-GB"/>
        </w:rPr>
        <w:t xml:space="preserve"> </w:t>
      </w:r>
      <w:r w:rsidR="004C246C" w:rsidRPr="00BC1ABD">
        <w:rPr>
          <w:rFonts w:cs="Arial"/>
          <w:sz w:val="24"/>
          <w:szCs w:val="24"/>
          <w:lang w:val="en-GB"/>
        </w:rPr>
        <w:t>mass-market</w:t>
      </w:r>
      <w:r w:rsidRPr="00BC1ABD">
        <w:rPr>
          <w:rFonts w:cs="Arial"/>
          <w:sz w:val="24"/>
          <w:szCs w:val="24"/>
          <w:lang w:val="en-GB"/>
        </w:rPr>
        <w:t xml:space="preserve"> </w:t>
      </w:r>
      <w:r w:rsidR="004C246C" w:rsidRPr="00BC1ABD">
        <w:rPr>
          <w:rFonts w:cs="Arial"/>
          <w:sz w:val="24"/>
          <w:szCs w:val="24"/>
          <w:lang w:val="en-GB"/>
        </w:rPr>
        <w:t>products</w:t>
      </w:r>
      <w:r w:rsidRPr="00BC1ABD">
        <w:rPr>
          <w:rFonts w:cs="Arial"/>
          <w:sz w:val="24"/>
          <w:szCs w:val="24"/>
          <w:lang w:val="en-GB"/>
        </w:rPr>
        <w:t xml:space="preserve"> in the speed range above 10 Mbps, regardless of whether the specified broadband access service is offered alone or bundled with other electronic communications services and regardless of the access speeds provided within the defined speed range.</w:t>
      </w:r>
    </w:p>
    <w:p w14:paraId="754CFEFE" w14:textId="4999B476" w:rsidR="00595FA9" w:rsidRPr="00BC1ABD" w:rsidRDefault="00595FA9" w:rsidP="00595FA9">
      <w:pPr>
        <w:spacing w:before="240"/>
        <w:jc w:val="both"/>
        <w:rPr>
          <w:rFonts w:cs="Arial"/>
          <w:sz w:val="24"/>
          <w:szCs w:val="24"/>
          <w:lang w:val="en-GB"/>
        </w:rPr>
      </w:pPr>
      <w:r w:rsidRPr="00BC1ABD">
        <w:rPr>
          <w:rFonts w:cs="Arial"/>
          <w:sz w:val="24"/>
          <w:szCs w:val="24"/>
          <w:lang w:val="en-GB"/>
        </w:rPr>
        <w:t>The geographical scope of the two retail fixed broadband access markets is national (see Chapter 3</w:t>
      </w:r>
      <w:r w:rsidR="00604A50">
        <w:rPr>
          <w:rFonts w:cs="Arial"/>
          <w:sz w:val="24"/>
          <w:szCs w:val="24"/>
          <w:lang w:val="en-GB"/>
        </w:rPr>
        <w:t>.4</w:t>
      </w:r>
      <w:r w:rsidRPr="00BC1ABD">
        <w:rPr>
          <w:rFonts w:cs="Arial"/>
          <w:sz w:val="24"/>
          <w:szCs w:val="24"/>
          <w:lang w:val="en-GB"/>
        </w:rPr>
        <w:t>).</w:t>
      </w:r>
    </w:p>
    <w:p w14:paraId="25DF3C41" w14:textId="3422B731" w:rsidR="00595FA9" w:rsidRPr="00BC1ABD" w:rsidRDefault="00595FA9" w:rsidP="00595FA9">
      <w:pPr>
        <w:jc w:val="both"/>
        <w:rPr>
          <w:sz w:val="24"/>
          <w:szCs w:val="24"/>
          <w:lang w:val="en-GB"/>
        </w:rPr>
      </w:pPr>
      <w:r w:rsidRPr="00BC1ABD">
        <w:rPr>
          <w:sz w:val="24"/>
          <w:szCs w:val="24"/>
          <w:lang w:val="en-GB"/>
        </w:rPr>
        <w:t xml:space="preserve">The market of local and central access at a fixed location (see Figure </w:t>
      </w:r>
      <w:r w:rsidR="00BC2518">
        <w:rPr>
          <w:sz w:val="24"/>
          <w:szCs w:val="24"/>
          <w:lang w:val="en-GB"/>
        </w:rPr>
        <w:t>47</w:t>
      </w:r>
      <w:r w:rsidRPr="00BC1ABD">
        <w:rPr>
          <w:sz w:val="24"/>
          <w:szCs w:val="24"/>
          <w:lang w:val="en-GB"/>
        </w:rPr>
        <w:t xml:space="preserve">) is a newly defined market in Georgia and does not currently exist in terms of any current operator offering wholesale access. There are no current regulations in place to oblige operators to offer such access and as far as is known, no current operators use such a service. </w:t>
      </w:r>
    </w:p>
    <w:p w14:paraId="00174556" w14:textId="77777777" w:rsidR="00595FA9" w:rsidRPr="00BC1ABD" w:rsidRDefault="00595FA9" w:rsidP="00595FA9">
      <w:pPr>
        <w:jc w:val="both"/>
        <w:rPr>
          <w:rFonts w:cs="Arial"/>
          <w:sz w:val="24"/>
          <w:szCs w:val="24"/>
          <w:lang w:val="en-GB"/>
        </w:rPr>
      </w:pPr>
      <w:r w:rsidRPr="00BC1ABD">
        <w:rPr>
          <w:sz w:val="24"/>
          <w:szCs w:val="24"/>
          <w:lang w:val="en-GB"/>
        </w:rPr>
        <w:t xml:space="preserve">The wholesale market for local and central access at a fixed location </w:t>
      </w:r>
      <w:r w:rsidR="009A5AAC" w:rsidRPr="00BC1ABD">
        <w:rPr>
          <w:sz w:val="24"/>
          <w:szCs w:val="24"/>
          <w:lang w:val="en-GB"/>
        </w:rPr>
        <w:t>is an input to provide retail services in</w:t>
      </w:r>
      <w:r w:rsidR="003255C2" w:rsidRPr="00BC1ABD">
        <w:rPr>
          <w:sz w:val="24"/>
          <w:szCs w:val="24"/>
          <w:lang w:val="en-GB"/>
        </w:rPr>
        <w:t xml:space="preserve"> the</w:t>
      </w:r>
      <w:r w:rsidR="009A5AAC" w:rsidRPr="00BC1ABD">
        <w:rPr>
          <w:sz w:val="24"/>
          <w:szCs w:val="24"/>
          <w:lang w:val="en-GB"/>
        </w:rPr>
        <w:t xml:space="preserve"> higher-speed broadband access market and could also act as an input for the retail </w:t>
      </w:r>
      <w:r w:rsidRPr="00BC1ABD">
        <w:rPr>
          <w:sz w:val="24"/>
          <w:szCs w:val="24"/>
          <w:lang w:val="en-GB"/>
        </w:rPr>
        <w:t>basic fixed broadband access</w:t>
      </w:r>
      <w:r w:rsidR="009A5AAC" w:rsidRPr="00BC1ABD">
        <w:rPr>
          <w:sz w:val="24"/>
          <w:szCs w:val="24"/>
          <w:lang w:val="en-GB"/>
        </w:rPr>
        <w:t xml:space="preserve"> services</w:t>
      </w:r>
      <w:r w:rsidRPr="00BC1ABD">
        <w:rPr>
          <w:sz w:val="24"/>
          <w:szCs w:val="24"/>
          <w:lang w:val="en-GB"/>
        </w:rPr>
        <w:t xml:space="preserve">. </w:t>
      </w:r>
    </w:p>
    <w:p w14:paraId="17CB9ECE" w14:textId="2DF539C0" w:rsidR="00595FA9" w:rsidRPr="00BC1ABD" w:rsidRDefault="009C4D1F" w:rsidP="00595FA9">
      <w:pPr>
        <w:spacing w:before="240"/>
        <w:jc w:val="both"/>
        <w:rPr>
          <w:rFonts w:cs="Arial"/>
          <w:sz w:val="24"/>
          <w:szCs w:val="24"/>
          <w:lang w:val="en-GB"/>
        </w:rPr>
      </w:pPr>
      <w:r w:rsidRPr="00BC1ABD">
        <w:rPr>
          <w:rFonts w:cs="Arial"/>
          <w:sz w:val="24"/>
          <w:szCs w:val="24"/>
          <w:lang w:val="en-GB"/>
        </w:rPr>
        <w:t>T</w:t>
      </w:r>
      <w:r w:rsidR="00595FA9" w:rsidRPr="00BC1ABD">
        <w:rPr>
          <w:rFonts w:cs="Arial"/>
          <w:sz w:val="24"/>
          <w:szCs w:val="24"/>
          <w:lang w:val="en-GB"/>
        </w:rPr>
        <w:t xml:space="preserve">he upstream wholesale market for local and central access at a fixed location has been considered as susceptible to </w:t>
      </w:r>
      <w:r w:rsidR="00595FA9" w:rsidRPr="00BC1ABD">
        <w:rPr>
          <w:rFonts w:cs="Arial"/>
          <w:i/>
          <w:iCs/>
          <w:sz w:val="24"/>
          <w:szCs w:val="24"/>
          <w:lang w:val="en-GB"/>
        </w:rPr>
        <w:t>ex-ante</w:t>
      </w:r>
      <w:r w:rsidR="00595FA9" w:rsidRPr="00BC1ABD">
        <w:rPr>
          <w:rFonts w:cs="Arial"/>
          <w:sz w:val="24"/>
          <w:szCs w:val="24"/>
          <w:lang w:val="en-GB"/>
        </w:rPr>
        <w:t xml:space="preserve"> regulation (see Chapter </w:t>
      </w:r>
      <w:r w:rsidR="00006856">
        <w:rPr>
          <w:rFonts w:cs="Arial"/>
          <w:sz w:val="24"/>
          <w:szCs w:val="24"/>
          <w:lang w:val="en-GB"/>
        </w:rPr>
        <w:t>4.5.4</w:t>
      </w:r>
      <w:r w:rsidR="00595FA9" w:rsidRPr="00BC1ABD">
        <w:rPr>
          <w:rFonts w:cs="Arial"/>
          <w:sz w:val="24"/>
          <w:szCs w:val="24"/>
          <w:lang w:val="en-GB"/>
        </w:rPr>
        <w:t>). This market is the subject of the analysis of SMP below.</w:t>
      </w:r>
    </w:p>
    <w:p w14:paraId="7997FEE7" w14:textId="77777777" w:rsidR="009C4D1F" w:rsidRPr="00BC1ABD" w:rsidRDefault="00595FA9" w:rsidP="00595FA9">
      <w:pPr>
        <w:spacing w:before="240"/>
        <w:jc w:val="both"/>
        <w:rPr>
          <w:rFonts w:cs="Arial"/>
          <w:sz w:val="24"/>
          <w:szCs w:val="24"/>
          <w:lang w:val="en-GB"/>
        </w:rPr>
      </w:pPr>
      <w:r w:rsidRPr="00BC1ABD">
        <w:rPr>
          <w:rFonts w:cs="Arial"/>
          <w:sz w:val="24"/>
          <w:szCs w:val="24"/>
          <w:lang w:val="en-GB"/>
        </w:rPr>
        <w:t>The upstream wholesale market for access to subscriber copper pairs has been subject to ex-ante regulation since 2014</w:t>
      </w:r>
      <w:r w:rsidRPr="00BC1ABD">
        <w:rPr>
          <w:rFonts w:cs="Arial"/>
          <w:sz w:val="24"/>
          <w:szCs w:val="24"/>
          <w:vertAlign w:val="superscript"/>
          <w:lang w:val="en-GB"/>
        </w:rPr>
        <w:footnoteReference w:id="89"/>
      </w:r>
      <w:r w:rsidRPr="00BC1ABD">
        <w:rPr>
          <w:rFonts w:cs="Arial"/>
          <w:sz w:val="24"/>
          <w:szCs w:val="24"/>
          <w:lang w:val="en-GB"/>
        </w:rPr>
        <w:t xml:space="preserve">. This wholesale market is directly derived from the retail market for basic fixed broadband access. Following a market review, the </w:t>
      </w:r>
      <w:r w:rsidRPr="00BC1ABD">
        <w:rPr>
          <w:rFonts w:cs="Arial"/>
          <w:i/>
          <w:iCs/>
          <w:sz w:val="24"/>
          <w:szCs w:val="24"/>
          <w:lang w:val="en-GB"/>
        </w:rPr>
        <w:t>ex-ante</w:t>
      </w:r>
      <w:r w:rsidRPr="00BC1ABD">
        <w:rPr>
          <w:rFonts w:cs="Arial"/>
          <w:sz w:val="24"/>
          <w:szCs w:val="24"/>
          <w:lang w:val="en-GB"/>
        </w:rPr>
        <w:t xml:space="preserve"> regulation of the wholesale market for access to subscriber copper pairs will be reconsidered by ComCom.</w:t>
      </w:r>
    </w:p>
    <w:p w14:paraId="571AE902" w14:textId="66239CFC" w:rsidR="00595FA9" w:rsidRPr="00BC1ABD" w:rsidRDefault="00595FA9" w:rsidP="00595FA9">
      <w:pPr>
        <w:spacing w:before="240"/>
        <w:jc w:val="both"/>
        <w:rPr>
          <w:rFonts w:cs="Arial"/>
          <w:sz w:val="24"/>
          <w:szCs w:val="24"/>
          <w:lang w:val="en-GB"/>
        </w:rPr>
      </w:pPr>
      <w:r w:rsidRPr="00BC1ABD">
        <w:rPr>
          <w:rFonts w:cs="Arial"/>
          <w:sz w:val="24"/>
          <w:szCs w:val="24"/>
          <w:lang w:val="en-GB"/>
        </w:rPr>
        <w:t xml:space="preserve">The remaining upstream wholesale markets shown on Figure </w:t>
      </w:r>
      <w:r w:rsidR="006719F5">
        <w:rPr>
          <w:rFonts w:cs="Arial"/>
          <w:sz w:val="24"/>
          <w:szCs w:val="24"/>
          <w:lang w:val="en-GB"/>
        </w:rPr>
        <w:t>47</w:t>
      </w:r>
      <w:r w:rsidRPr="00BC1ABD">
        <w:rPr>
          <w:rFonts w:cs="Arial"/>
          <w:sz w:val="24"/>
          <w:szCs w:val="24"/>
          <w:lang w:val="en-GB"/>
        </w:rPr>
        <w:t xml:space="preserve"> (for access to the global internet and for access to physical infrastructure) have also been found to be susceptible to </w:t>
      </w:r>
      <w:r w:rsidRPr="00BC1ABD">
        <w:rPr>
          <w:rFonts w:cs="Arial"/>
          <w:i/>
          <w:iCs/>
          <w:sz w:val="24"/>
          <w:szCs w:val="24"/>
          <w:lang w:val="en-GB"/>
        </w:rPr>
        <w:t>ex-ante</w:t>
      </w:r>
      <w:r w:rsidRPr="00BC1ABD">
        <w:rPr>
          <w:rFonts w:cs="Arial"/>
          <w:sz w:val="24"/>
          <w:szCs w:val="24"/>
          <w:lang w:val="en-GB"/>
        </w:rPr>
        <w:t xml:space="preserve"> regulation. These wholesale markets will be considered separately by ComCom. </w:t>
      </w:r>
    </w:p>
    <w:p w14:paraId="3E69DA8D" w14:textId="41858F6E" w:rsidR="00595FA9" w:rsidRPr="00BC1ABD" w:rsidRDefault="00595FA9" w:rsidP="00F551BF">
      <w:pPr>
        <w:jc w:val="both"/>
        <w:rPr>
          <w:sz w:val="24"/>
          <w:szCs w:val="24"/>
          <w:lang w:val="en-GB"/>
        </w:rPr>
      </w:pPr>
      <w:r w:rsidRPr="00BC1ABD">
        <w:rPr>
          <w:sz w:val="24"/>
          <w:szCs w:val="24"/>
          <w:lang w:val="en-GB"/>
        </w:rPr>
        <w:t xml:space="preserve">The regulatory approach to wholesale </w:t>
      </w:r>
      <w:r w:rsidR="00457F24">
        <w:rPr>
          <w:sz w:val="24"/>
          <w:szCs w:val="24"/>
          <w:lang w:val="en-GB"/>
        </w:rPr>
        <w:t>fixed local and central</w:t>
      </w:r>
      <w:r w:rsidRPr="00BC1ABD">
        <w:rPr>
          <w:sz w:val="24"/>
          <w:szCs w:val="24"/>
          <w:lang w:val="en-GB"/>
        </w:rPr>
        <w:t xml:space="preserve"> access market should recognise that competition based on different operators‘</w:t>
      </w:r>
      <w:r w:rsidR="009552DA">
        <w:rPr>
          <w:sz w:val="24"/>
          <w:szCs w:val="24"/>
          <w:lang w:val="en-GB"/>
        </w:rPr>
        <w:t xml:space="preserve"> </w:t>
      </w:r>
      <w:r w:rsidRPr="00BC1ABD">
        <w:rPr>
          <w:sz w:val="24"/>
          <w:szCs w:val="24"/>
          <w:lang w:val="en-GB"/>
        </w:rPr>
        <w:t xml:space="preserve">own infrastructures already exists in many geographical areas in Georgia and that building additional </w:t>
      </w:r>
      <w:r w:rsidR="00F026B4">
        <w:rPr>
          <w:sz w:val="24"/>
          <w:szCs w:val="24"/>
          <w:lang w:val="en-GB"/>
        </w:rPr>
        <w:t>FTTx</w:t>
      </w:r>
      <w:r w:rsidRPr="00BC1ABD">
        <w:rPr>
          <w:sz w:val="24"/>
          <w:szCs w:val="24"/>
          <w:lang w:val="en-GB"/>
        </w:rPr>
        <w:t xml:space="preserve"> infrastructures in places where insufficient competition exists will take time. Infrastructure-based competition is not considered to be possible in all areas of Georgia, at least for the foreseeable future. The regulatory approach should therefore take into account the way that infrastructure competition is expected to develop in different geographic areas</w:t>
      </w:r>
      <w:r w:rsidR="00C857C1" w:rsidRPr="00BC1ABD">
        <w:rPr>
          <w:sz w:val="24"/>
          <w:szCs w:val="24"/>
          <w:lang w:val="en-GB"/>
        </w:rPr>
        <w:t xml:space="preserve"> (see Chapter </w:t>
      </w:r>
      <w:r w:rsidR="0090723A">
        <w:rPr>
          <w:sz w:val="24"/>
          <w:szCs w:val="24"/>
          <w:lang w:val="en-GB"/>
        </w:rPr>
        <w:t>6</w:t>
      </w:r>
      <w:r w:rsidR="00C857C1" w:rsidRPr="00BC1ABD">
        <w:rPr>
          <w:sz w:val="24"/>
          <w:szCs w:val="24"/>
          <w:lang w:val="en-GB"/>
        </w:rPr>
        <w:t>)</w:t>
      </w:r>
      <w:r w:rsidRPr="00BC1ABD">
        <w:rPr>
          <w:sz w:val="24"/>
          <w:szCs w:val="24"/>
          <w:lang w:val="en-GB"/>
        </w:rPr>
        <w:t xml:space="preserve">. </w:t>
      </w:r>
    </w:p>
    <w:p w14:paraId="7DF2317B" w14:textId="3F85E90E" w:rsidR="00595FA9" w:rsidRPr="00BC1ABD" w:rsidRDefault="00595FA9" w:rsidP="00DD796F">
      <w:pPr>
        <w:pStyle w:val="Heading2"/>
        <w:numPr>
          <w:ilvl w:val="1"/>
          <w:numId w:val="88"/>
        </w:numPr>
        <w:spacing w:after="240"/>
        <w:rPr>
          <w:lang w:val="en-GB"/>
        </w:rPr>
      </w:pPr>
      <w:bookmarkStart w:id="260" w:name="_Toc169258952"/>
      <w:r w:rsidRPr="00BC1ABD">
        <w:rPr>
          <w:lang w:val="en-GB"/>
        </w:rPr>
        <w:t>Assessment of SMP using the relevant criteria</w:t>
      </w:r>
      <w:bookmarkEnd w:id="260"/>
    </w:p>
    <w:p w14:paraId="4F6128DA" w14:textId="77EDFBF0" w:rsidR="00595FA9" w:rsidRPr="00DD796F" w:rsidRDefault="00595FA9"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61" w:name="_Toc169258953"/>
      <w:r w:rsidRPr="00BC1ABD">
        <w:rPr>
          <w:rFonts w:asciiTheme="minorHAnsi" w:hAnsiTheme="minorHAnsi" w:cstheme="minorHAnsi"/>
          <w:b w:val="0"/>
          <w:bCs w:val="0"/>
          <w:sz w:val="24"/>
          <w:szCs w:val="24"/>
          <w:lang w:val="en-GB"/>
        </w:rPr>
        <w:t>Market share</w:t>
      </w:r>
      <w:bookmarkEnd w:id="261"/>
    </w:p>
    <w:p w14:paraId="5D69260F" w14:textId="77777777" w:rsidR="00595FA9" w:rsidRPr="00BC1ABD" w:rsidRDefault="00595FA9" w:rsidP="00595FA9">
      <w:pPr>
        <w:spacing w:after="160" w:line="256" w:lineRule="auto"/>
        <w:jc w:val="both"/>
        <w:rPr>
          <w:rFonts w:asciiTheme="minorHAnsi" w:hAnsiTheme="minorHAnsi" w:cstheme="minorHAnsi"/>
          <w:i/>
          <w:iCs/>
          <w:sz w:val="24"/>
          <w:szCs w:val="24"/>
          <w:lang w:val="en-GB"/>
        </w:rPr>
      </w:pPr>
      <w:r w:rsidRPr="00BC1ABD">
        <w:rPr>
          <w:rFonts w:asciiTheme="minorHAnsi" w:hAnsiTheme="minorHAnsi" w:cstheme="minorHAnsi"/>
          <w:sz w:val="24"/>
          <w:szCs w:val="24"/>
          <w:lang w:val="en-GB"/>
        </w:rPr>
        <w:t>It is necessary in the analysis of SMP in the wholesale market for local and central access at a fixed location to determine how to measure market share.</w:t>
      </w:r>
    </w:p>
    <w:p w14:paraId="25E5F8C0" w14:textId="77777777" w:rsidR="00595FA9" w:rsidRPr="00BC1ABD" w:rsidRDefault="00595FA9" w:rsidP="00595FA9">
      <w:pPr>
        <w:spacing w:after="160" w:line="256" w:lineRule="auto"/>
        <w:jc w:val="both"/>
        <w:rPr>
          <w:sz w:val="24"/>
          <w:szCs w:val="24"/>
          <w:lang w:val="en-GB"/>
        </w:rPr>
      </w:pPr>
      <w:r w:rsidRPr="00BC1ABD">
        <w:rPr>
          <w:sz w:val="24"/>
          <w:szCs w:val="24"/>
          <w:lang w:val="en-GB"/>
        </w:rPr>
        <w:t>Article 22.8 of the Georgian Law on Electronic Communication states;</w:t>
      </w:r>
    </w:p>
    <w:p w14:paraId="0284956D" w14:textId="77777777" w:rsidR="00595FA9" w:rsidRPr="00BC1ABD" w:rsidRDefault="00595FA9" w:rsidP="00595FA9">
      <w:pPr>
        <w:spacing w:after="160" w:line="256" w:lineRule="auto"/>
        <w:ind w:left="720"/>
        <w:jc w:val="both"/>
        <w:rPr>
          <w:i/>
          <w:iCs/>
          <w:sz w:val="24"/>
          <w:szCs w:val="24"/>
          <w:lang w:val="en-GB"/>
        </w:rPr>
      </w:pPr>
      <w:r w:rsidRPr="00BC1ABD">
        <w:rPr>
          <w:i/>
          <w:iCs/>
          <w:sz w:val="24"/>
          <w:szCs w:val="24"/>
          <w:lang w:val="en-GB"/>
        </w:rPr>
        <w:t>“While carrying out analysis of competitiveness in the relevant segment of the market, the main criterion for determination of significant market power shall be proportionate market share of an authorised undertaking or a group of interrelated undertakings in the relevant segment of the market. Proportionate market share of an authorised undertaking acquired in the relevant segment of the market shall be defined by taking account of its income, number of end-users and subscribers, or the volume of services (traffic) provided in a defined period, also loaded and free capacities of the relevant elements of the network or reserve of functional resources owned by the authorised undertaking. In each case, guided by the principle of objectivity, the Commission, using objective principles and taking into account characteristics of the relevant market segment, shall decide to measure the share held by an authorised undertaking in the relevant segment of the market and apply relevant basic criteria.“</w:t>
      </w:r>
    </w:p>
    <w:p w14:paraId="33652880" w14:textId="60FF26E4" w:rsidR="00595FA9" w:rsidRPr="00BC1ABD" w:rsidRDefault="004C3063"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Article 22.10</w:t>
      </w:r>
      <w:r>
        <w:rPr>
          <w:rFonts w:asciiTheme="minorHAnsi" w:hAnsiTheme="minorHAnsi" w:cstheme="minorHAnsi"/>
          <w:sz w:val="24"/>
          <w:szCs w:val="24"/>
          <w:lang w:val="en-GB"/>
        </w:rPr>
        <w:t xml:space="preserve"> of the law of </w:t>
      </w:r>
      <w:r w:rsidR="00595FA9" w:rsidRPr="00BC1ABD">
        <w:rPr>
          <w:rFonts w:asciiTheme="minorHAnsi" w:hAnsiTheme="minorHAnsi" w:cstheme="minorHAnsi"/>
          <w:sz w:val="24"/>
          <w:szCs w:val="24"/>
          <w:lang w:val="en-GB"/>
        </w:rPr>
        <w:t xml:space="preserve">Georgia Law on Electronic Communications </w:t>
      </w:r>
      <w:r>
        <w:rPr>
          <w:rFonts w:asciiTheme="minorHAnsi" w:hAnsiTheme="minorHAnsi" w:cstheme="minorHAnsi"/>
          <w:sz w:val="24"/>
          <w:szCs w:val="24"/>
          <w:lang w:val="en-GB"/>
        </w:rPr>
        <w:t xml:space="preserve">sets </w:t>
      </w:r>
      <w:r w:rsidR="00595FA9" w:rsidRPr="00BC1ABD">
        <w:rPr>
          <w:rFonts w:asciiTheme="minorHAnsi" w:hAnsiTheme="minorHAnsi" w:cstheme="minorHAnsi"/>
          <w:sz w:val="24"/>
          <w:szCs w:val="24"/>
          <w:lang w:val="en-GB"/>
        </w:rPr>
        <w:t xml:space="preserve">a presumption of single SMP based on market share: </w:t>
      </w:r>
    </w:p>
    <w:p w14:paraId="4ACF8F4B" w14:textId="77777777" w:rsidR="00595FA9" w:rsidRPr="00BC1ABD" w:rsidRDefault="00595FA9" w:rsidP="00595FA9">
      <w:pPr>
        <w:spacing w:after="160" w:line="256" w:lineRule="auto"/>
        <w:ind w:left="720"/>
        <w:jc w:val="both"/>
        <w:rPr>
          <w:lang w:val="en-GB"/>
        </w:rPr>
      </w:pPr>
      <w:r w:rsidRPr="00BC1ABD">
        <w:rPr>
          <w:rFonts w:asciiTheme="minorHAnsi" w:hAnsiTheme="minorHAnsi" w:cstheme="minorHAnsi"/>
          <w:i/>
          <w:iCs/>
          <w:sz w:val="24"/>
          <w:szCs w:val="24"/>
          <w:lang w:val="en-GB"/>
        </w:rPr>
        <w:t>“Pursuant to the basic criteria for the definition of significant market power in the relevant segment of the market, an authorised undertaking shall be deemed to be executing significant market power if it holds not less than 40% (forty per cent) of the market share in the relevant segment of the market.“</w:t>
      </w:r>
    </w:p>
    <w:p w14:paraId="17B90418" w14:textId="77777777"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The higher the market share and the longer the period of time over which it is held, the more likely it is that it constitutes an important preliminary indication of SMP.</w:t>
      </w:r>
    </w:p>
    <w:p w14:paraId="2FDECA03" w14:textId="77777777"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However, the application of the defined market share threshold is not sufficient to find SMP. According to the Georgian Law on Electronic Communications, the presumption of SMP should be checked based on ‘secondary criteria‘:</w:t>
      </w:r>
    </w:p>
    <w:p w14:paraId="10F89EE6" w14:textId="77777777" w:rsidR="00595FA9" w:rsidRPr="00BC1ABD" w:rsidRDefault="00595FA9" w:rsidP="00595FA9">
      <w:pPr>
        <w:spacing w:after="160" w:line="256" w:lineRule="auto"/>
        <w:ind w:left="720"/>
        <w:jc w:val="both"/>
        <w:rPr>
          <w:rFonts w:asciiTheme="minorHAnsi" w:hAnsiTheme="minorHAnsi" w:cstheme="minorHAnsi"/>
          <w:i/>
          <w:iCs/>
          <w:sz w:val="24"/>
          <w:szCs w:val="24"/>
          <w:lang w:val="en-GB"/>
        </w:rPr>
      </w:pPr>
      <w:r w:rsidRPr="00BC1ABD">
        <w:rPr>
          <w:rFonts w:asciiTheme="minorHAnsi" w:hAnsiTheme="minorHAnsi" w:cstheme="minorHAnsi"/>
          <w:i/>
          <w:iCs/>
          <w:sz w:val="24"/>
          <w:szCs w:val="24"/>
          <w:lang w:val="en-GB"/>
        </w:rPr>
        <w:t>“While identifying an authorised undertaking with significant market power in the relevant segment of the market and imposing specific obligations, in addition to the basic criteria, secondary criteria shall be used to objectively define possibilities of restricting competition and pursuit of non-competitive activities by authorised undertakings with significant market power in the relevant segment of the market. The secondary criteria shall be defined by the Commission on the basis of analytical factors.”</w:t>
      </w:r>
    </w:p>
    <w:p w14:paraId="2CF48DCF" w14:textId="0DBF0831" w:rsidR="00595FA9" w:rsidRPr="00BC1ABD" w:rsidRDefault="0024490C" w:rsidP="00595FA9">
      <w:pPr>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T</w:t>
      </w:r>
      <w:r w:rsidR="00595FA9" w:rsidRPr="00BC1ABD">
        <w:rPr>
          <w:rFonts w:asciiTheme="minorHAnsi" w:hAnsiTheme="minorHAnsi" w:cstheme="minorHAnsi"/>
          <w:sz w:val="24"/>
          <w:szCs w:val="24"/>
          <w:lang w:val="en-GB"/>
        </w:rPr>
        <w:t xml:space="preserve">he analysis of SMP </w:t>
      </w:r>
      <w:r w:rsidRPr="00BC1ABD">
        <w:rPr>
          <w:rFonts w:asciiTheme="minorHAnsi" w:hAnsiTheme="minorHAnsi" w:cstheme="minorHAnsi"/>
          <w:sz w:val="24"/>
          <w:szCs w:val="24"/>
          <w:lang w:val="en-GB"/>
        </w:rPr>
        <w:t xml:space="preserve">starts with the market definition (see Chapter 4). The </w:t>
      </w:r>
      <w:r w:rsidR="00595FA9" w:rsidRPr="00BC1ABD">
        <w:rPr>
          <w:rFonts w:asciiTheme="minorHAnsi" w:hAnsiTheme="minorHAnsi" w:cstheme="minorHAnsi"/>
          <w:sz w:val="24"/>
          <w:szCs w:val="24"/>
          <w:lang w:val="en-GB"/>
        </w:rPr>
        <w:t>wholesale market for local and central access at a fixed location,</w:t>
      </w:r>
      <w:r w:rsidRPr="00BC1ABD">
        <w:rPr>
          <w:rFonts w:asciiTheme="minorHAnsi" w:hAnsiTheme="minorHAnsi" w:cstheme="minorHAnsi"/>
          <w:sz w:val="24"/>
          <w:szCs w:val="24"/>
          <w:lang w:val="en-GB"/>
        </w:rPr>
        <w:t xml:space="preserve"> includes the self-supply of network capacity within each vertically integrated </w:t>
      </w:r>
      <w:r w:rsidR="00F026B4">
        <w:rPr>
          <w:rFonts w:asciiTheme="minorHAnsi" w:hAnsiTheme="minorHAnsi" w:cstheme="minorHAnsi"/>
          <w:sz w:val="24"/>
          <w:szCs w:val="24"/>
          <w:lang w:val="en-GB"/>
        </w:rPr>
        <w:t>FTTx</w:t>
      </w:r>
      <w:r w:rsidRPr="00BC1ABD">
        <w:rPr>
          <w:rFonts w:asciiTheme="minorHAnsi" w:hAnsiTheme="minorHAnsi" w:cstheme="minorHAnsi"/>
          <w:sz w:val="24"/>
          <w:szCs w:val="24"/>
          <w:lang w:val="en-GB"/>
        </w:rPr>
        <w:t xml:space="preserve"> retail and network operators. </w:t>
      </w:r>
    </w:p>
    <w:p w14:paraId="3CF11724" w14:textId="77777777"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In the EU, in the case of markets with vertically integrated operators, it is recommended to assess the market power (in a notional wholesale market) based on the retail market shares in the downstream retail market</w:t>
      </w:r>
      <w:r w:rsidR="00965401" w:rsidRPr="00BC1ABD">
        <w:rPr>
          <w:rFonts w:asciiTheme="minorHAnsi" w:hAnsiTheme="minorHAnsi" w:cstheme="minorHAnsi"/>
          <w:sz w:val="24"/>
          <w:szCs w:val="24"/>
          <w:lang w:val="en-GB"/>
        </w:rPr>
        <w:t xml:space="preserve"> (the concept of </w:t>
      </w:r>
      <w:r w:rsidRPr="00BC1ABD">
        <w:rPr>
          <w:rFonts w:asciiTheme="minorHAnsi" w:hAnsiTheme="minorHAnsi" w:cstheme="minorHAnsi"/>
          <w:sz w:val="24"/>
          <w:szCs w:val="24"/>
          <w:lang w:val="en-GB"/>
        </w:rPr>
        <w:t>‘self-supply’</w:t>
      </w:r>
      <w:r w:rsidR="00965401" w:rsidRPr="00BC1ABD">
        <w:rPr>
          <w:rFonts w:asciiTheme="minorHAnsi" w:hAnsiTheme="minorHAnsi" w:cstheme="minorHAnsi"/>
          <w:sz w:val="24"/>
          <w:szCs w:val="24"/>
          <w:lang w:val="en-GB"/>
        </w:rPr>
        <w:t>)</w:t>
      </w:r>
      <w:r w:rsidRPr="00BC1ABD">
        <w:rPr>
          <w:rFonts w:asciiTheme="minorHAnsi" w:hAnsiTheme="minorHAnsi" w:cstheme="minorHAnsi"/>
          <w:sz w:val="24"/>
          <w:szCs w:val="24"/>
          <w:lang w:val="en-GB"/>
        </w:rPr>
        <w:t>.</w:t>
      </w:r>
      <w:r w:rsidRPr="00BC1ABD">
        <w:rPr>
          <w:rFonts w:asciiTheme="minorHAnsi" w:hAnsiTheme="minorHAnsi" w:cstheme="minorHAnsi"/>
          <w:sz w:val="24"/>
          <w:szCs w:val="24"/>
          <w:vertAlign w:val="superscript"/>
          <w:lang w:val="en-GB"/>
        </w:rPr>
        <w:footnoteReference w:id="90"/>
      </w:r>
    </w:p>
    <w:p w14:paraId="2408D80A" w14:textId="08E181CB" w:rsidR="00595FA9" w:rsidRPr="00467337" w:rsidRDefault="00595FA9" w:rsidP="00467337">
      <w:pPr>
        <w:jc w:val="both"/>
        <w:rPr>
          <w:rFonts w:eastAsia="SimSun"/>
          <w:i/>
          <w:iCs/>
          <w:sz w:val="24"/>
          <w:szCs w:val="24"/>
          <w:lang w:val="en-US"/>
        </w:rPr>
      </w:pPr>
      <w:r w:rsidRPr="00BC1ABD">
        <w:rPr>
          <w:rFonts w:asciiTheme="minorHAnsi" w:hAnsiTheme="minorHAnsi" w:cstheme="minorHAnsi"/>
          <w:sz w:val="24"/>
          <w:szCs w:val="24"/>
          <w:lang w:val="en-GB"/>
        </w:rPr>
        <w:t xml:space="preserve">Such an approach is also recommended in Article </w:t>
      </w:r>
      <w:r w:rsidR="006768F1">
        <w:rPr>
          <w:rFonts w:asciiTheme="minorHAnsi" w:hAnsiTheme="minorHAnsi" w:cstheme="minorHAnsi"/>
          <w:sz w:val="24"/>
          <w:szCs w:val="24"/>
          <w:lang w:val="en-GB"/>
        </w:rPr>
        <w:t>7</w:t>
      </w:r>
      <w:r w:rsidR="00871469" w:rsidRPr="00BC1ABD">
        <w:rPr>
          <w:rFonts w:asciiTheme="minorHAnsi" w:hAnsiTheme="minorHAnsi" w:cstheme="minorHAnsi"/>
          <w:sz w:val="24"/>
          <w:szCs w:val="24"/>
          <w:lang w:val="en-GB"/>
        </w:rPr>
        <w:t xml:space="preserve"> </w:t>
      </w:r>
      <w:r w:rsidRPr="00BC1ABD">
        <w:rPr>
          <w:rFonts w:asciiTheme="minorHAnsi" w:hAnsiTheme="minorHAnsi" w:cstheme="minorHAnsi"/>
          <w:sz w:val="24"/>
          <w:szCs w:val="24"/>
          <w:lang w:val="en-GB"/>
        </w:rPr>
        <w:t>(</w:t>
      </w:r>
      <w:r w:rsidR="00871469" w:rsidRPr="00BC1ABD">
        <w:rPr>
          <w:rFonts w:asciiTheme="minorHAnsi" w:hAnsiTheme="minorHAnsi" w:cstheme="minorHAnsi"/>
          <w:sz w:val="24"/>
          <w:szCs w:val="24"/>
          <w:lang w:val="en-GB"/>
        </w:rPr>
        <w:t>1</w:t>
      </w:r>
      <w:r w:rsidR="00871469">
        <w:rPr>
          <w:rFonts w:asciiTheme="minorHAnsi" w:hAnsiTheme="minorHAnsi" w:cstheme="minorHAnsi"/>
          <w:sz w:val="24"/>
          <w:szCs w:val="24"/>
          <w:lang w:val="en-GB"/>
        </w:rPr>
        <w:t>0</w:t>
      </w:r>
      <w:r w:rsidRPr="00BC1ABD">
        <w:rPr>
          <w:rFonts w:asciiTheme="minorHAnsi" w:hAnsiTheme="minorHAnsi" w:cstheme="minorHAnsi"/>
          <w:sz w:val="24"/>
          <w:szCs w:val="24"/>
          <w:lang w:val="en-GB"/>
        </w:rPr>
        <w:t xml:space="preserve">) of ComCom’s </w:t>
      </w:r>
      <w:r w:rsidR="00804D47">
        <w:rPr>
          <w:sz w:val="24"/>
          <w:szCs w:val="24"/>
          <w:lang w:val="en-GB"/>
        </w:rPr>
        <w:t xml:space="preserve">revised </w:t>
      </w:r>
      <w:r w:rsidRPr="00BC1ABD">
        <w:rPr>
          <w:rFonts w:asciiTheme="minorHAnsi" w:hAnsiTheme="minorHAnsi" w:cstheme="minorHAnsi"/>
          <w:sz w:val="24"/>
          <w:szCs w:val="24"/>
          <w:lang w:val="en-GB"/>
        </w:rPr>
        <w:t xml:space="preserve">Methodological Rules: </w:t>
      </w:r>
      <w:r w:rsidRPr="00986F61">
        <w:rPr>
          <w:rFonts w:asciiTheme="minorHAnsi" w:hAnsiTheme="minorHAnsi" w:cstheme="minorHAnsi"/>
          <w:sz w:val="24"/>
          <w:szCs w:val="24"/>
          <w:lang w:val="en-GB"/>
        </w:rPr>
        <w:t>“…</w:t>
      </w:r>
      <w:r w:rsidR="006768F1" w:rsidRPr="00467337">
        <w:rPr>
          <w:rFonts w:eastAsia="SimSun"/>
          <w:i/>
          <w:iCs/>
          <w:sz w:val="24"/>
          <w:szCs w:val="24"/>
          <w:lang w:val="en-US"/>
        </w:rPr>
        <w:t xml:space="preserve">the Commission should consider self-supply only where there is consumer harm </w:t>
      </w:r>
      <w:r w:rsidR="000269BD">
        <w:rPr>
          <w:rFonts w:eastAsia="SimSun"/>
          <w:i/>
          <w:iCs/>
          <w:sz w:val="24"/>
          <w:szCs w:val="24"/>
          <w:lang w:val="en-US"/>
        </w:rPr>
        <w:t>due to not supplying of the wholesale service</w:t>
      </w:r>
      <w:r w:rsidR="006768F1" w:rsidRPr="00467337">
        <w:rPr>
          <w:rFonts w:eastAsia="SimSun"/>
          <w:i/>
          <w:iCs/>
          <w:sz w:val="24"/>
          <w:szCs w:val="24"/>
          <w:lang w:val="en-US"/>
        </w:rPr>
        <w:t xml:space="preserve"> and potential demand for such type of wholesale service exists</w:t>
      </w:r>
      <w:r w:rsidR="006768F1" w:rsidRPr="00467337" w:rsidDel="00A51DD2">
        <w:rPr>
          <w:rFonts w:eastAsia="SimSun"/>
          <w:i/>
          <w:iCs/>
          <w:sz w:val="24"/>
          <w:szCs w:val="24"/>
          <w:lang w:val="en-US"/>
        </w:rPr>
        <w:t xml:space="preserve"> </w:t>
      </w:r>
      <w:r w:rsidR="006768F1" w:rsidRPr="00467337">
        <w:rPr>
          <w:rFonts w:eastAsia="SimSun"/>
          <w:i/>
          <w:iCs/>
          <w:sz w:val="24"/>
          <w:szCs w:val="24"/>
          <w:lang w:val="en-US"/>
        </w:rPr>
        <w:t>from other authori</w:t>
      </w:r>
      <w:r w:rsidR="001B67B9">
        <w:rPr>
          <w:rFonts w:eastAsia="SimSun"/>
          <w:i/>
          <w:iCs/>
          <w:sz w:val="24"/>
          <w:szCs w:val="24"/>
          <w:lang w:val="en-US"/>
        </w:rPr>
        <w:t>s</w:t>
      </w:r>
      <w:r w:rsidR="006768F1" w:rsidRPr="00467337">
        <w:rPr>
          <w:rFonts w:eastAsia="SimSun"/>
          <w:i/>
          <w:iCs/>
          <w:sz w:val="24"/>
          <w:szCs w:val="24"/>
          <w:lang w:val="en-US"/>
        </w:rPr>
        <w:t xml:space="preserve">ed persons. In that case, The Commission shall </w:t>
      </w:r>
      <w:r w:rsidR="000269BD" w:rsidRPr="00467337">
        <w:rPr>
          <w:rFonts w:eastAsia="SimSun"/>
          <w:i/>
          <w:iCs/>
          <w:sz w:val="24"/>
          <w:szCs w:val="24"/>
          <w:lang w:val="en-US"/>
        </w:rPr>
        <w:t>take into account</w:t>
      </w:r>
      <w:r w:rsidR="005F7482" w:rsidRPr="00467337">
        <w:rPr>
          <w:rFonts w:eastAsia="SimSun"/>
          <w:i/>
          <w:iCs/>
          <w:sz w:val="24"/>
          <w:szCs w:val="24"/>
          <w:lang w:val="en-US"/>
        </w:rPr>
        <w:t xml:space="preserve"> relevant self-supply on the wholesale segment, which</w:t>
      </w:r>
      <w:r w:rsidR="006768F1" w:rsidRPr="00467337">
        <w:rPr>
          <w:rFonts w:eastAsia="SimSun"/>
          <w:i/>
          <w:iCs/>
          <w:sz w:val="24"/>
          <w:szCs w:val="24"/>
          <w:lang w:val="en-US"/>
        </w:rPr>
        <w:t xml:space="preserve"> the </w:t>
      </w:r>
      <w:r w:rsidR="005F7482" w:rsidRPr="00467337">
        <w:rPr>
          <w:rFonts w:eastAsia="SimSun"/>
          <w:i/>
          <w:iCs/>
          <w:sz w:val="24"/>
          <w:szCs w:val="24"/>
          <w:lang w:val="en-US"/>
        </w:rPr>
        <w:t xml:space="preserve"> </w:t>
      </w:r>
      <w:r w:rsidR="006768F1" w:rsidRPr="00467337">
        <w:rPr>
          <w:rFonts w:eastAsia="SimSun"/>
          <w:i/>
          <w:iCs/>
          <w:sz w:val="24"/>
          <w:szCs w:val="24"/>
          <w:lang w:val="en-US"/>
        </w:rPr>
        <w:t xml:space="preserve"> vertically integrated authori</w:t>
      </w:r>
      <w:r w:rsidR="001B67B9">
        <w:rPr>
          <w:rFonts w:eastAsia="SimSun"/>
          <w:i/>
          <w:iCs/>
          <w:sz w:val="24"/>
          <w:szCs w:val="24"/>
          <w:lang w:val="en-US"/>
        </w:rPr>
        <w:t>s</w:t>
      </w:r>
      <w:r w:rsidR="006768F1" w:rsidRPr="00467337">
        <w:rPr>
          <w:rFonts w:eastAsia="SimSun"/>
          <w:i/>
          <w:iCs/>
          <w:sz w:val="24"/>
          <w:szCs w:val="24"/>
          <w:lang w:val="en-US"/>
        </w:rPr>
        <w:t xml:space="preserve">ed person uses for its own downstream retail operations . </w:t>
      </w:r>
      <w:r w:rsidR="005F7482" w:rsidRPr="00467337">
        <w:rPr>
          <w:rFonts w:eastAsia="SimSun"/>
          <w:i/>
          <w:iCs/>
          <w:sz w:val="24"/>
          <w:szCs w:val="24"/>
          <w:lang w:val="en-US"/>
        </w:rPr>
        <w:t>While determining</w:t>
      </w:r>
      <w:r w:rsidR="006768F1" w:rsidRPr="00467337">
        <w:rPr>
          <w:rFonts w:eastAsia="SimSun"/>
          <w:i/>
          <w:iCs/>
          <w:sz w:val="24"/>
          <w:szCs w:val="24"/>
          <w:lang w:val="en-US"/>
        </w:rPr>
        <w:t xml:space="preserve"> the above-mentioned self-supply, the Commission should take into account the authori</w:t>
      </w:r>
      <w:r w:rsidR="001B67B9">
        <w:rPr>
          <w:rFonts w:eastAsia="SimSun"/>
          <w:i/>
          <w:iCs/>
          <w:sz w:val="24"/>
          <w:szCs w:val="24"/>
          <w:lang w:val="en-US"/>
        </w:rPr>
        <w:t>s</w:t>
      </w:r>
      <w:r w:rsidR="006768F1" w:rsidRPr="00467337">
        <w:rPr>
          <w:rFonts w:eastAsia="SimSun"/>
          <w:i/>
          <w:iCs/>
          <w:sz w:val="24"/>
          <w:szCs w:val="24"/>
          <w:lang w:val="en-US"/>
        </w:rPr>
        <w:t xml:space="preserve">ed person's possible restrictions </w:t>
      </w:r>
      <w:r w:rsidR="005F7482" w:rsidRPr="00467337">
        <w:rPr>
          <w:rFonts w:eastAsia="SimSun"/>
          <w:i/>
          <w:iCs/>
          <w:sz w:val="24"/>
          <w:szCs w:val="24"/>
          <w:lang w:val="en-US"/>
        </w:rPr>
        <w:t>regarding</w:t>
      </w:r>
      <w:r w:rsidR="006768F1" w:rsidRPr="00467337">
        <w:rPr>
          <w:rFonts w:eastAsia="SimSun"/>
          <w:i/>
          <w:iCs/>
          <w:sz w:val="24"/>
          <w:szCs w:val="24"/>
          <w:lang w:val="en-US"/>
        </w:rPr>
        <w:t xml:space="preserve"> access to the </w:t>
      </w:r>
      <w:r w:rsidR="005F7482" w:rsidRPr="00467337">
        <w:rPr>
          <w:rFonts w:eastAsia="SimSun"/>
          <w:i/>
          <w:iCs/>
          <w:sz w:val="24"/>
          <w:szCs w:val="24"/>
          <w:lang w:val="en-US"/>
        </w:rPr>
        <w:t xml:space="preserve">competitors' </w:t>
      </w:r>
      <w:r w:rsidR="006768F1" w:rsidRPr="00467337">
        <w:rPr>
          <w:rFonts w:eastAsia="SimSun"/>
          <w:i/>
          <w:iCs/>
          <w:sz w:val="24"/>
          <w:szCs w:val="24"/>
          <w:lang w:val="en-US"/>
        </w:rPr>
        <w:t>network, network coverage and market entry opportunities.</w:t>
      </w:r>
      <w:r w:rsidRPr="00986F61">
        <w:rPr>
          <w:rFonts w:asciiTheme="minorHAnsi" w:hAnsiTheme="minorHAnsi" w:cstheme="minorHAnsi"/>
          <w:i/>
          <w:iCs/>
          <w:sz w:val="24"/>
          <w:szCs w:val="24"/>
          <w:lang w:val="en-GB"/>
        </w:rPr>
        <w:t>”</w:t>
      </w:r>
    </w:p>
    <w:p w14:paraId="0254C15E" w14:textId="3545EF38" w:rsidR="00595FA9" w:rsidRPr="00BC1ABD" w:rsidRDefault="00871469" w:rsidP="00595FA9">
      <w:pPr>
        <w:jc w:val="both"/>
        <w:rPr>
          <w:rFonts w:asciiTheme="minorHAnsi" w:hAnsiTheme="minorHAnsi" w:cstheme="minorHAnsi"/>
          <w:sz w:val="24"/>
          <w:szCs w:val="24"/>
          <w:lang w:val="en-GB"/>
        </w:rPr>
      </w:pPr>
      <w:r>
        <w:rPr>
          <w:rFonts w:asciiTheme="minorHAnsi" w:hAnsiTheme="minorHAnsi" w:cstheme="minorHAnsi"/>
          <w:sz w:val="24"/>
          <w:szCs w:val="24"/>
          <w:lang w:val="en-GB"/>
        </w:rPr>
        <w:t>Therefore</w:t>
      </w:r>
      <w:r w:rsidR="00595FA9" w:rsidRPr="00BC1ABD">
        <w:rPr>
          <w:rFonts w:asciiTheme="minorHAnsi" w:hAnsiTheme="minorHAnsi" w:cstheme="minorHAnsi"/>
          <w:sz w:val="24"/>
          <w:szCs w:val="24"/>
          <w:lang w:val="en-GB"/>
        </w:rPr>
        <w:t xml:space="preserve">, the limitations related to network capacity and network coverage from integrated operators (in this case within their own respective fibre-based networks) should also be considered for the SMP assessment. The relevant capacity relates to the fibre-based networks which are potentially available to offer wholesale local and central access to other operators wishing to enter the retail higher-speed broadband access market or to expand their geographical presence in that market. Generally, at the national level of SMP analysis (according to the national geographical definition assigned to the wholesale market for local and central access), market shares in the retail market and </w:t>
      </w:r>
      <w:r w:rsidR="00F026B4">
        <w:rPr>
          <w:rFonts w:asciiTheme="minorHAnsi" w:hAnsiTheme="minorHAnsi" w:cstheme="minorHAnsi"/>
          <w:sz w:val="24"/>
          <w:szCs w:val="24"/>
          <w:lang w:val="en-GB"/>
        </w:rPr>
        <w:t>FTTx</w:t>
      </w:r>
      <w:r w:rsidR="00595FA9" w:rsidRPr="00BC1ABD">
        <w:rPr>
          <w:rFonts w:asciiTheme="minorHAnsi" w:hAnsiTheme="minorHAnsi" w:cstheme="minorHAnsi"/>
          <w:sz w:val="24"/>
          <w:szCs w:val="24"/>
          <w:lang w:val="en-GB"/>
        </w:rPr>
        <w:t xml:space="preserve"> network coverage will be broadly correlated</w:t>
      </w:r>
      <w:r w:rsidR="0037102D" w:rsidRPr="00BC1ABD">
        <w:rPr>
          <w:rFonts w:asciiTheme="minorHAnsi" w:hAnsiTheme="minorHAnsi" w:cstheme="minorHAnsi"/>
          <w:sz w:val="24"/>
          <w:szCs w:val="24"/>
          <w:lang w:val="en-GB"/>
        </w:rPr>
        <w:t>, but this is not always the case</w:t>
      </w:r>
      <w:r w:rsidR="00595FA9" w:rsidRPr="00BC1ABD">
        <w:rPr>
          <w:rFonts w:asciiTheme="minorHAnsi" w:hAnsiTheme="minorHAnsi" w:cstheme="minorHAnsi"/>
          <w:sz w:val="24"/>
          <w:szCs w:val="24"/>
          <w:lang w:val="en-GB"/>
        </w:rPr>
        <w:t xml:space="preserve">. Further examination at settlement level could also be considered if there are any anomalies arising (from a national designation of SMP) when deciding what proportionate </w:t>
      </w:r>
      <w:r w:rsidR="00595FA9" w:rsidRPr="00BC1ABD">
        <w:rPr>
          <w:rFonts w:asciiTheme="minorHAnsi" w:hAnsiTheme="minorHAnsi" w:cstheme="minorHAnsi"/>
          <w:i/>
          <w:iCs/>
          <w:sz w:val="24"/>
          <w:szCs w:val="24"/>
          <w:lang w:val="en-GB"/>
        </w:rPr>
        <w:t>ex-ante</w:t>
      </w:r>
      <w:r w:rsidR="00595FA9" w:rsidRPr="00BC1ABD">
        <w:rPr>
          <w:rFonts w:asciiTheme="minorHAnsi" w:hAnsiTheme="minorHAnsi" w:cstheme="minorHAnsi"/>
          <w:sz w:val="24"/>
          <w:szCs w:val="24"/>
          <w:lang w:val="en-GB"/>
        </w:rPr>
        <w:t xml:space="preserve"> regulatory measures should be applied at settlement level</w:t>
      </w:r>
      <w:r w:rsidR="0037102D" w:rsidRPr="00BC1ABD">
        <w:rPr>
          <w:rFonts w:asciiTheme="minorHAnsi" w:hAnsiTheme="minorHAnsi" w:cstheme="minorHAnsi"/>
          <w:sz w:val="24"/>
          <w:szCs w:val="24"/>
          <w:lang w:val="en-GB"/>
        </w:rPr>
        <w:t xml:space="preserve"> (see Chapter</w:t>
      </w:r>
      <w:r w:rsidR="00E0079D" w:rsidRPr="00BC1ABD">
        <w:rPr>
          <w:rFonts w:asciiTheme="minorHAnsi" w:hAnsiTheme="minorHAnsi" w:cstheme="minorHAnsi"/>
          <w:sz w:val="24"/>
          <w:szCs w:val="24"/>
          <w:lang w:val="en-GB"/>
        </w:rPr>
        <w:t xml:space="preserve"> </w:t>
      </w:r>
      <w:r w:rsidR="008765CB">
        <w:rPr>
          <w:rFonts w:asciiTheme="minorHAnsi" w:hAnsiTheme="minorHAnsi" w:cstheme="minorHAnsi"/>
          <w:sz w:val="24"/>
          <w:szCs w:val="24"/>
          <w:lang w:val="en-GB"/>
        </w:rPr>
        <w:t>6</w:t>
      </w:r>
      <w:r w:rsidR="0037102D" w:rsidRPr="00BC1ABD">
        <w:rPr>
          <w:rFonts w:asciiTheme="minorHAnsi" w:hAnsiTheme="minorHAnsi" w:cstheme="minorHAnsi"/>
          <w:sz w:val="24"/>
          <w:szCs w:val="24"/>
          <w:lang w:val="en-GB"/>
        </w:rPr>
        <w:t xml:space="preserve">). </w:t>
      </w:r>
    </w:p>
    <w:p w14:paraId="088ADC70" w14:textId="5B75EB6F" w:rsidR="00595FA9" w:rsidRPr="00BC1ABD" w:rsidRDefault="00595FA9" w:rsidP="00595FA9">
      <w:pPr>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A dominant market share can function as an accurate indicator only on the assumption that competitors are unable to expand their output by sufficient volume to meet the shifting demand resulting from a rival's price increase</w:t>
      </w:r>
      <w:r w:rsidR="006025DF" w:rsidRPr="00BC1ABD">
        <w:rPr>
          <w:rFonts w:asciiTheme="minorHAnsi" w:hAnsiTheme="minorHAnsi" w:cstheme="minorHAnsi"/>
          <w:sz w:val="24"/>
          <w:szCs w:val="24"/>
          <w:lang w:val="en-GB"/>
        </w:rPr>
        <w:t xml:space="preserve">, but this will not necessarily be the case in all the settlements (see Chapter </w:t>
      </w:r>
      <w:r w:rsidR="007E283C">
        <w:rPr>
          <w:rFonts w:asciiTheme="minorHAnsi" w:hAnsiTheme="minorHAnsi" w:cstheme="minorHAnsi"/>
          <w:sz w:val="24"/>
          <w:szCs w:val="24"/>
          <w:lang w:val="en-GB"/>
        </w:rPr>
        <w:t>6</w:t>
      </w:r>
      <w:r w:rsidR="006025DF" w:rsidRPr="00BC1ABD">
        <w:rPr>
          <w:rFonts w:asciiTheme="minorHAnsi" w:hAnsiTheme="minorHAnsi" w:cstheme="minorHAnsi"/>
          <w:sz w:val="24"/>
          <w:szCs w:val="24"/>
          <w:lang w:val="en-GB"/>
        </w:rPr>
        <w:t>)</w:t>
      </w:r>
      <w:r w:rsidRPr="00BC1ABD">
        <w:rPr>
          <w:rFonts w:asciiTheme="minorHAnsi" w:hAnsiTheme="minorHAnsi" w:cstheme="minorHAnsi"/>
          <w:sz w:val="24"/>
          <w:szCs w:val="24"/>
          <w:lang w:val="en-GB"/>
        </w:rPr>
        <w:t xml:space="preserve">. </w:t>
      </w:r>
    </w:p>
    <w:p w14:paraId="52376B63" w14:textId="77777777" w:rsidR="00595FA9" w:rsidRPr="00BC1ABD" w:rsidRDefault="00595FA9" w:rsidP="00595FA9">
      <w:pPr>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For the assessment of</w:t>
      </w:r>
      <w:r w:rsidR="006025DF" w:rsidRPr="00BC1ABD">
        <w:rPr>
          <w:rFonts w:asciiTheme="minorHAnsi" w:hAnsiTheme="minorHAnsi" w:cstheme="minorHAnsi"/>
          <w:sz w:val="24"/>
          <w:szCs w:val="24"/>
          <w:lang w:val="en-GB"/>
        </w:rPr>
        <w:t xml:space="preserve"> </w:t>
      </w:r>
      <w:r w:rsidRPr="00BC1ABD">
        <w:rPr>
          <w:rFonts w:asciiTheme="minorHAnsi" w:hAnsiTheme="minorHAnsi" w:cstheme="minorHAnsi"/>
          <w:sz w:val="24"/>
          <w:szCs w:val="24"/>
          <w:lang w:val="en-GB"/>
        </w:rPr>
        <w:t>market power in the wholesale market for local and central access at a fixed location it is therefore necessary to examine:</w:t>
      </w:r>
    </w:p>
    <w:p w14:paraId="331F965D" w14:textId="5CDCE674" w:rsidR="00595FA9" w:rsidRPr="00BC1ABD" w:rsidRDefault="00595FA9">
      <w:pPr>
        <w:numPr>
          <w:ilvl w:val="0"/>
          <w:numId w:val="23"/>
        </w:numPr>
        <w:contextualSpacing/>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The relative market shares of </w:t>
      </w:r>
      <w:r w:rsidR="00F026B4">
        <w:rPr>
          <w:rFonts w:asciiTheme="minorHAnsi" w:hAnsiTheme="minorHAnsi" w:cstheme="minorHAnsi"/>
          <w:sz w:val="24"/>
          <w:szCs w:val="24"/>
          <w:lang w:val="en-GB"/>
        </w:rPr>
        <w:t>FTTx</w:t>
      </w:r>
      <w:r w:rsidRPr="00BC1ABD">
        <w:rPr>
          <w:rFonts w:asciiTheme="minorHAnsi" w:hAnsiTheme="minorHAnsi" w:cstheme="minorHAnsi"/>
          <w:sz w:val="24"/>
          <w:szCs w:val="24"/>
          <w:lang w:val="en-GB"/>
        </w:rPr>
        <w:t xml:space="preserve"> operators in the higher-speed retail broadband market and their evolution over time</w:t>
      </w:r>
    </w:p>
    <w:p w14:paraId="5DD83D6F" w14:textId="0FFCBC82" w:rsidR="00595FA9" w:rsidRPr="00BC1ABD" w:rsidRDefault="00595FA9">
      <w:pPr>
        <w:numPr>
          <w:ilvl w:val="0"/>
          <w:numId w:val="23"/>
        </w:numPr>
        <w:contextualSpacing/>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The relative network coverage of </w:t>
      </w:r>
      <w:r w:rsidR="00F026B4">
        <w:rPr>
          <w:rFonts w:asciiTheme="minorHAnsi" w:hAnsiTheme="minorHAnsi" w:cstheme="minorHAnsi"/>
          <w:sz w:val="24"/>
          <w:szCs w:val="24"/>
          <w:lang w:val="en-GB"/>
        </w:rPr>
        <w:t>FTTx</w:t>
      </w:r>
      <w:r w:rsidRPr="00BC1ABD">
        <w:rPr>
          <w:rFonts w:asciiTheme="minorHAnsi" w:hAnsiTheme="minorHAnsi" w:cstheme="minorHAnsi"/>
          <w:sz w:val="24"/>
          <w:szCs w:val="24"/>
          <w:lang w:val="en-GB"/>
        </w:rPr>
        <w:t xml:space="preserve"> operators in terms of premises passed by their respective networks.</w:t>
      </w:r>
    </w:p>
    <w:p w14:paraId="4BB9A863" w14:textId="01D8B447" w:rsidR="00595FA9" w:rsidRPr="00D0712A" w:rsidRDefault="00595FA9" w:rsidP="00D0712A">
      <w:pPr>
        <w:pStyle w:val="Heading3"/>
        <w:numPr>
          <w:ilvl w:val="3"/>
          <w:numId w:val="88"/>
        </w:numPr>
        <w:spacing w:beforeAutospacing="0" w:after="160" w:afterAutospacing="0" w:line="256" w:lineRule="auto"/>
        <w:rPr>
          <w:rFonts w:asciiTheme="minorHAnsi" w:hAnsiTheme="minorHAnsi" w:cstheme="minorHAnsi"/>
          <w:b w:val="0"/>
          <w:bCs w:val="0"/>
          <w:lang w:val="en-GB"/>
        </w:rPr>
      </w:pPr>
      <w:bookmarkStart w:id="262" w:name="_Toc169258954"/>
      <w:r w:rsidRPr="00D0712A">
        <w:rPr>
          <w:rFonts w:asciiTheme="minorHAnsi" w:hAnsiTheme="minorHAnsi" w:cstheme="minorHAnsi"/>
          <w:b w:val="0"/>
          <w:bCs w:val="0"/>
          <w:sz w:val="24"/>
          <w:szCs w:val="24"/>
          <w:lang w:val="en-GB"/>
        </w:rPr>
        <w:t>Market share based on the retail market</w:t>
      </w:r>
      <w:bookmarkEnd w:id="262"/>
    </w:p>
    <w:p w14:paraId="2C7DA85F" w14:textId="24F95C4A" w:rsidR="00A866AA" w:rsidRPr="00BC1ABD" w:rsidRDefault="00595FA9" w:rsidP="00595FA9">
      <w:pPr>
        <w:spacing w:after="160" w:line="256" w:lineRule="auto"/>
        <w:jc w:val="both"/>
        <w:rPr>
          <w:sz w:val="24"/>
          <w:szCs w:val="24"/>
          <w:lang w:val="en-GB"/>
        </w:rPr>
      </w:pPr>
      <w:r w:rsidRPr="00BC1ABD">
        <w:rPr>
          <w:sz w:val="24"/>
          <w:szCs w:val="24"/>
          <w:lang w:val="en-GB"/>
        </w:rPr>
        <w:t xml:space="preserve">The retail market shares shown in Figure </w:t>
      </w:r>
      <w:r w:rsidR="006719F5">
        <w:rPr>
          <w:sz w:val="24"/>
          <w:szCs w:val="24"/>
          <w:lang w:val="en-GB"/>
        </w:rPr>
        <w:t>48</w:t>
      </w:r>
      <w:r w:rsidRPr="00BC1ABD">
        <w:rPr>
          <w:sz w:val="24"/>
          <w:szCs w:val="24"/>
          <w:lang w:val="en-GB"/>
        </w:rPr>
        <w:t xml:space="preserve"> are for higher-speed (&gt;10</w:t>
      </w:r>
      <w:r w:rsidR="00F54BCD">
        <w:rPr>
          <w:sz w:val="24"/>
          <w:szCs w:val="24"/>
          <w:lang w:val="en-GB"/>
        </w:rPr>
        <w:t xml:space="preserve"> </w:t>
      </w:r>
      <w:r w:rsidRPr="00BC1ABD">
        <w:rPr>
          <w:sz w:val="24"/>
          <w:szCs w:val="24"/>
          <w:lang w:val="en-GB"/>
        </w:rPr>
        <w:t xml:space="preserve">Mbps) end-user subscriptions using </w:t>
      </w:r>
      <w:r w:rsidR="00F026B4">
        <w:rPr>
          <w:sz w:val="24"/>
          <w:szCs w:val="24"/>
          <w:lang w:val="en-GB"/>
        </w:rPr>
        <w:t>FTTx</w:t>
      </w:r>
      <w:r w:rsidRPr="00BC1ABD">
        <w:rPr>
          <w:sz w:val="24"/>
          <w:szCs w:val="24"/>
          <w:lang w:val="en-GB"/>
        </w:rPr>
        <w:t xml:space="preserve"> technology connections. This definition of market share is considered to be the most relevant, because</w:t>
      </w:r>
      <w:r w:rsidR="00A866AA" w:rsidRPr="00BC1ABD">
        <w:rPr>
          <w:sz w:val="24"/>
          <w:szCs w:val="24"/>
          <w:lang w:val="en-GB"/>
        </w:rPr>
        <w:t>:</w:t>
      </w:r>
    </w:p>
    <w:p w14:paraId="7BEB02DD" w14:textId="77777777" w:rsidR="00310A89" w:rsidRPr="00BC1ABD" w:rsidRDefault="00E675C7">
      <w:pPr>
        <w:pStyle w:val="ListParagraph"/>
        <w:numPr>
          <w:ilvl w:val="0"/>
          <w:numId w:val="31"/>
        </w:numPr>
        <w:spacing w:after="160" w:line="256" w:lineRule="auto"/>
        <w:jc w:val="both"/>
        <w:rPr>
          <w:sz w:val="24"/>
          <w:szCs w:val="24"/>
          <w:lang w:val="en-GB"/>
        </w:rPr>
      </w:pPr>
      <w:r w:rsidRPr="00BC1ABD">
        <w:rPr>
          <w:sz w:val="24"/>
          <w:szCs w:val="24"/>
          <w:lang w:val="en-GB"/>
        </w:rPr>
        <w:t>I</w:t>
      </w:r>
      <w:r w:rsidR="00595FA9" w:rsidRPr="00BC1ABD">
        <w:rPr>
          <w:sz w:val="24"/>
          <w:szCs w:val="24"/>
          <w:lang w:val="en-GB"/>
        </w:rPr>
        <w:t xml:space="preserve">t is directly linked to the capacity used in a provider‘s network at the local and central access wholesale level. </w:t>
      </w:r>
    </w:p>
    <w:p w14:paraId="6BB10626" w14:textId="02639BA2" w:rsidR="00595FA9" w:rsidRPr="00BC1ABD" w:rsidRDefault="00595FA9">
      <w:pPr>
        <w:pStyle w:val="ListParagraph"/>
        <w:numPr>
          <w:ilvl w:val="0"/>
          <w:numId w:val="31"/>
        </w:numPr>
        <w:spacing w:after="160" w:line="256" w:lineRule="auto"/>
        <w:jc w:val="both"/>
        <w:rPr>
          <w:sz w:val="24"/>
          <w:szCs w:val="24"/>
          <w:lang w:val="en-GB"/>
        </w:rPr>
      </w:pPr>
      <w:r w:rsidRPr="00BC1ABD">
        <w:rPr>
          <w:sz w:val="24"/>
          <w:szCs w:val="24"/>
          <w:lang w:val="en-GB"/>
        </w:rPr>
        <w:t>That capacity is at present wholly used in the self-supply by each retail operator’s network capacity to its own retail FTTH higher-speed broadband access services.</w:t>
      </w:r>
      <w:r w:rsidR="00CE776D" w:rsidRPr="00BC1ABD">
        <w:rPr>
          <w:sz w:val="24"/>
          <w:szCs w:val="24"/>
          <w:lang w:val="en-GB"/>
        </w:rPr>
        <w:t xml:space="preserve"> Since there is no merchant wholesale market, it is necessary to rely on retail market shares, having in mind that self-supply is part of the market definition.</w:t>
      </w:r>
    </w:p>
    <w:p w14:paraId="0F764611" w14:textId="416A2255" w:rsidR="007C2C46" w:rsidRPr="0007709B" w:rsidRDefault="00A866AA" w:rsidP="00CE776D">
      <w:pPr>
        <w:pStyle w:val="ListParagraph"/>
        <w:numPr>
          <w:ilvl w:val="0"/>
          <w:numId w:val="31"/>
        </w:numPr>
        <w:spacing w:after="160" w:line="256" w:lineRule="auto"/>
        <w:jc w:val="both"/>
        <w:rPr>
          <w:sz w:val="24"/>
          <w:szCs w:val="24"/>
          <w:lang w:val="en-GB"/>
        </w:rPr>
      </w:pPr>
      <w:r w:rsidRPr="00BC1ABD">
        <w:rPr>
          <w:sz w:val="24"/>
          <w:szCs w:val="24"/>
          <w:lang w:val="en-GB"/>
        </w:rPr>
        <w:t xml:space="preserve">The higher-speed retail fixed broadband access market consists of </w:t>
      </w:r>
      <w:r w:rsidR="00F026B4">
        <w:rPr>
          <w:sz w:val="24"/>
          <w:szCs w:val="24"/>
          <w:lang w:val="en-GB"/>
        </w:rPr>
        <w:t>FTTx</w:t>
      </w:r>
      <w:r w:rsidRPr="00BC1ABD">
        <w:rPr>
          <w:sz w:val="24"/>
          <w:szCs w:val="24"/>
          <w:lang w:val="en-GB"/>
        </w:rPr>
        <w:t xml:space="preserve"> technology. </w:t>
      </w:r>
    </w:p>
    <w:p w14:paraId="6B9C38ED" w14:textId="79D0CCB0" w:rsidR="00595FA9" w:rsidRPr="00BC1ABD" w:rsidRDefault="00A866AA" w:rsidP="00595FA9">
      <w:pPr>
        <w:spacing w:after="160" w:line="256" w:lineRule="auto"/>
        <w:jc w:val="both"/>
        <w:rPr>
          <w:sz w:val="24"/>
          <w:szCs w:val="24"/>
          <w:lang w:val="en-GB"/>
        </w:rPr>
      </w:pPr>
      <w:r w:rsidRPr="00BC1ABD">
        <w:rPr>
          <w:rFonts w:asciiTheme="minorHAnsi" w:hAnsiTheme="minorHAnsi" w:cstheme="minorHAnsi"/>
          <w:sz w:val="24"/>
          <w:szCs w:val="24"/>
          <w:lang w:val="en-GB"/>
        </w:rPr>
        <w:t xml:space="preserve">The market shares from Figure </w:t>
      </w:r>
      <w:r w:rsidR="00AC0A89">
        <w:rPr>
          <w:rFonts w:asciiTheme="minorHAnsi" w:hAnsiTheme="minorHAnsi" w:cstheme="minorHAnsi"/>
          <w:sz w:val="24"/>
          <w:szCs w:val="24"/>
          <w:lang w:val="en-GB"/>
        </w:rPr>
        <w:t>48</w:t>
      </w:r>
      <w:r w:rsidRPr="00BC1ABD">
        <w:rPr>
          <w:rFonts w:asciiTheme="minorHAnsi" w:hAnsiTheme="minorHAnsi" w:cstheme="minorHAnsi"/>
          <w:sz w:val="24"/>
          <w:szCs w:val="24"/>
          <w:lang w:val="en-GB"/>
        </w:rPr>
        <w:t xml:space="preserve"> should then be compared with the Georgian Law’s 40% SMP presumption.</w:t>
      </w:r>
    </w:p>
    <w:p w14:paraId="6340D1BC" w14:textId="2184741C" w:rsidR="00595FA9" w:rsidRPr="00BC1ABD" w:rsidRDefault="002A26C4" w:rsidP="002A26C4">
      <w:pPr>
        <w:pStyle w:val="Caption"/>
        <w:jc w:val="center"/>
        <w:rPr>
          <w:i w:val="0"/>
          <w:iCs w:val="0"/>
          <w:sz w:val="20"/>
          <w:szCs w:val="20"/>
          <w:lang w:val="en-GB"/>
        </w:rPr>
      </w:pPr>
      <w:bookmarkStart w:id="263" w:name="_Toc152931399"/>
      <w:r>
        <w:t xml:space="preserve">Figure </w:t>
      </w:r>
      <w:r>
        <w:fldChar w:fldCharType="begin"/>
      </w:r>
      <w:r>
        <w:instrText xml:space="preserve"> SEQ Figure \* ARABIC </w:instrText>
      </w:r>
      <w:r>
        <w:fldChar w:fldCharType="separate"/>
      </w:r>
      <w:r w:rsidR="00ED2C35">
        <w:rPr>
          <w:noProof/>
        </w:rPr>
        <w:t>48</w:t>
      </w:r>
      <w:r>
        <w:fldChar w:fldCharType="end"/>
      </w:r>
      <w:r w:rsidR="00595FA9" w:rsidRPr="00BC1ABD">
        <w:rPr>
          <w:sz w:val="20"/>
          <w:szCs w:val="20"/>
          <w:lang w:val="en-GB"/>
        </w:rPr>
        <w:t>: Higher-speed retail fixed broadband market shares (subscribers, 2022)</w:t>
      </w:r>
      <w:bookmarkEnd w:id="263"/>
    </w:p>
    <w:p w14:paraId="48BB056B" w14:textId="77777777" w:rsidR="00595FA9" w:rsidRPr="00BC1ABD" w:rsidRDefault="00595FA9" w:rsidP="00595FA9">
      <w:pPr>
        <w:jc w:val="center"/>
        <w:rPr>
          <w:lang w:val="en-GB"/>
        </w:rPr>
      </w:pPr>
      <w:r w:rsidRPr="00BC1ABD">
        <w:rPr>
          <w:noProof/>
          <w:lang w:val="sl-SI" w:eastAsia="sl-SI"/>
        </w:rPr>
        <w:drawing>
          <wp:inline distT="0" distB="0" distL="0" distR="0" wp14:anchorId="4959893B" wp14:editId="3312EB1A">
            <wp:extent cx="4273062" cy="2496820"/>
            <wp:effectExtent l="0" t="0" r="13335" b="17780"/>
            <wp:docPr id="7" name="Chart 7">
              <a:extLst xmlns:a="http://schemas.openxmlformats.org/drawingml/2006/main">
                <a:ext uri="{FF2B5EF4-FFF2-40B4-BE49-F238E27FC236}">
                  <a16:creationId xmlns:a16="http://schemas.microsoft.com/office/drawing/2014/main" id="{E6AEFF53-8D25-6C4F-1E3D-3A0EC658B8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9CBB7D5" w14:textId="77777777" w:rsidR="00595FA9" w:rsidRPr="00BC1ABD" w:rsidRDefault="00595FA9" w:rsidP="00A866AA">
      <w:pPr>
        <w:spacing w:after="160" w:line="256"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ComCom</w:t>
      </w:r>
    </w:p>
    <w:p w14:paraId="218E00A6" w14:textId="1926F96D" w:rsidR="00C4166A" w:rsidRPr="00384D6A" w:rsidRDefault="00E675C7" w:rsidP="00384D6A">
      <w:pPr>
        <w:spacing w:after="160" w:line="256" w:lineRule="auto"/>
        <w:jc w:val="both"/>
        <w:rPr>
          <w:sz w:val="24"/>
          <w:szCs w:val="24"/>
          <w:lang w:val="en-GB"/>
        </w:rPr>
      </w:pPr>
      <w:r w:rsidRPr="00BC1ABD">
        <w:rPr>
          <w:sz w:val="24"/>
          <w:szCs w:val="24"/>
          <w:lang w:val="en-GB"/>
        </w:rPr>
        <w:t>T</w:t>
      </w:r>
      <w:r w:rsidR="00595FA9" w:rsidRPr="00BC1ABD">
        <w:rPr>
          <w:sz w:val="24"/>
          <w:szCs w:val="24"/>
          <w:lang w:val="en-GB"/>
        </w:rPr>
        <w:t xml:space="preserve">he retail higher-speed broadband market shares of each operator (Figure </w:t>
      </w:r>
      <w:r w:rsidR="007C3A4A">
        <w:rPr>
          <w:sz w:val="24"/>
          <w:szCs w:val="24"/>
          <w:lang w:val="en-GB"/>
        </w:rPr>
        <w:t>48</w:t>
      </w:r>
      <w:r w:rsidR="00595FA9" w:rsidRPr="00BC1ABD">
        <w:rPr>
          <w:sz w:val="24"/>
          <w:szCs w:val="24"/>
          <w:lang w:val="en-GB"/>
        </w:rPr>
        <w:t xml:space="preserve">) will closely align with the network capacity required at the wholesale local and central access level, using fibre technologies. In the past 5 years, the proportion of </w:t>
      </w:r>
      <w:r w:rsidR="00F026B4">
        <w:rPr>
          <w:sz w:val="24"/>
          <w:szCs w:val="24"/>
          <w:lang w:val="en-GB"/>
        </w:rPr>
        <w:t>FTTx</w:t>
      </w:r>
      <w:r w:rsidR="00595FA9" w:rsidRPr="00BC1ABD">
        <w:rPr>
          <w:sz w:val="24"/>
          <w:szCs w:val="24"/>
          <w:lang w:val="en-GB"/>
        </w:rPr>
        <w:t xml:space="preserve"> retail fixed broadband access subscribers </w:t>
      </w:r>
      <w:r w:rsidR="007C3A4A" w:rsidRPr="00BC1ABD">
        <w:rPr>
          <w:sz w:val="24"/>
          <w:szCs w:val="24"/>
          <w:lang w:val="en-GB"/>
        </w:rPr>
        <w:t>have</w:t>
      </w:r>
      <w:r w:rsidR="00595FA9" w:rsidRPr="00BC1ABD">
        <w:rPr>
          <w:sz w:val="24"/>
          <w:szCs w:val="24"/>
          <w:lang w:val="en-GB"/>
        </w:rPr>
        <w:t xml:space="preserve"> risen sharply while the use of other technologies (mainly FWA and xDSL) has declined (see Figure </w:t>
      </w:r>
      <w:r w:rsidR="00173C6E">
        <w:rPr>
          <w:sz w:val="24"/>
          <w:szCs w:val="24"/>
          <w:lang w:val="en-GB"/>
        </w:rPr>
        <w:t>49</w:t>
      </w:r>
      <w:r w:rsidR="00595FA9" w:rsidRPr="00BC1ABD">
        <w:rPr>
          <w:sz w:val="24"/>
          <w:szCs w:val="24"/>
          <w:lang w:val="en-GB"/>
        </w:rPr>
        <w:t xml:space="preserve">). This reflects the investments made in </w:t>
      </w:r>
      <w:r w:rsidR="00F026B4">
        <w:rPr>
          <w:sz w:val="24"/>
          <w:szCs w:val="24"/>
          <w:lang w:val="en-GB"/>
        </w:rPr>
        <w:t>FTTx</w:t>
      </w:r>
      <w:r w:rsidR="00595FA9" w:rsidRPr="00BC1ABD">
        <w:rPr>
          <w:sz w:val="24"/>
          <w:szCs w:val="24"/>
          <w:lang w:val="en-GB"/>
        </w:rPr>
        <w:t xml:space="preserve"> local access networks by the operators in response to the demands from end-users for higher speed fixed broadband connections. </w:t>
      </w:r>
    </w:p>
    <w:p w14:paraId="7E5CC4C1" w14:textId="7C855154" w:rsidR="00595FA9" w:rsidRPr="00BC1ABD" w:rsidRDefault="002A26C4" w:rsidP="002A26C4">
      <w:pPr>
        <w:pStyle w:val="Caption"/>
        <w:jc w:val="center"/>
        <w:rPr>
          <w:i w:val="0"/>
          <w:iCs w:val="0"/>
          <w:sz w:val="20"/>
          <w:szCs w:val="20"/>
          <w:lang w:val="en-GB"/>
        </w:rPr>
      </w:pPr>
      <w:bookmarkStart w:id="264" w:name="_Toc152931400"/>
      <w:r>
        <w:t xml:space="preserve">Figure </w:t>
      </w:r>
      <w:r>
        <w:fldChar w:fldCharType="begin"/>
      </w:r>
      <w:r>
        <w:instrText xml:space="preserve"> SEQ Figure \* ARABIC </w:instrText>
      </w:r>
      <w:r>
        <w:fldChar w:fldCharType="separate"/>
      </w:r>
      <w:r w:rsidR="00ED2C35">
        <w:rPr>
          <w:noProof/>
        </w:rPr>
        <w:t>49</w:t>
      </w:r>
      <w:r>
        <w:fldChar w:fldCharType="end"/>
      </w:r>
      <w:r w:rsidR="00595FA9" w:rsidRPr="00BC1ABD">
        <w:rPr>
          <w:sz w:val="20"/>
          <w:szCs w:val="20"/>
          <w:lang w:val="en-GB"/>
        </w:rPr>
        <w:t>: Fixed broadband subscriptions – technology trend</w:t>
      </w:r>
      <w:bookmarkEnd w:id="264"/>
    </w:p>
    <w:p w14:paraId="47F5294F" w14:textId="77777777" w:rsidR="00595FA9" w:rsidRPr="00BC1ABD" w:rsidRDefault="00595FA9" w:rsidP="00595FA9">
      <w:pPr>
        <w:spacing w:after="160" w:line="256" w:lineRule="auto"/>
        <w:jc w:val="center"/>
        <w:rPr>
          <w:lang w:val="en-GB"/>
        </w:rPr>
      </w:pPr>
      <w:r w:rsidRPr="00BC1ABD">
        <w:rPr>
          <w:noProof/>
          <w:lang w:val="sl-SI" w:eastAsia="sl-SI"/>
        </w:rPr>
        <w:drawing>
          <wp:inline distT="0" distB="0" distL="0" distR="0" wp14:anchorId="118AFA4C" wp14:editId="1BB0E6FD">
            <wp:extent cx="5098676" cy="3024469"/>
            <wp:effectExtent l="0" t="0" r="6985" b="5080"/>
            <wp:docPr id="17" name="Chart 17">
              <a:extLst xmlns:a="http://schemas.openxmlformats.org/drawingml/2006/main">
                <a:ext uri="{FF2B5EF4-FFF2-40B4-BE49-F238E27FC236}">
                  <a16:creationId xmlns:a16="http://schemas.microsoft.com/office/drawing/2014/main" id="{3EEF31F2-E8E2-3572-CEDB-77F3F4A3E6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33E85A8" w14:textId="77777777" w:rsidR="00595FA9" w:rsidRPr="00BC1ABD" w:rsidRDefault="00595FA9" w:rsidP="00595FA9">
      <w:pPr>
        <w:spacing w:after="160" w:line="256"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ComCom</w:t>
      </w:r>
    </w:p>
    <w:p w14:paraId="309A3C39" w14:textId="592F4D77" w:rsidR="00595FA9" w:rsidRPr="00BC1ABD" w:rsidRDefault="00595FA9" w:rsidP="00595FA9">
      <w:pPr>
        <w:spacing w:after="160" w:line="256" w:lineRule="auto"/>
        <w:jc w:val="both"/>
        <w:rPr>
          <w:sz w:val="24"/>
          <w:szCs w:val="24"/>
          <w:lang w:val="en-GB"/>
        </w:rPr>
      </w:pPr>
      <w:r w:rsidRPr="00BC1ABD">
        <w:rPr>
          <w:sz w:val="24"/>
          <w:szCs w:val="24"/>
          <w:lang w:val="en-GB"/>
        </w:rPr>
        <w:t xml:space="preserve">Taking a forward-looking perspective based on the trend in Figure </w:t>
      </w:r>
      <w:r w:rsidR="00173C6E">
        <w:rPr>
          <w:sz w:val="24"/>
          <w:szCs w:val="24"/>
          <w:lang w:val="en-GB"/>
        </w:rPr>
        <w:t>49</w:t>
      </w:r>
      <w:r w:rsidRPr="00BC1ABD">
        <w:rPr>
          <w:sz w:val="24"/>
          <w:szCs w:val="24"/>
          <w:lang w:val="en-GB"/>
        </w:rPr>
        <w:t>, the proportion of fibre-based technology in the local and central networks of Georgian operators will continue to increase.</w:t>
      </w:r>
    </w:p>
    <w:p w14:paraId="28052768" w14:textId="7C06B6A2" w:rsidR="00595FA9" w:rsidRPr="00BC1ABD" w:rsidRDefault="00077F7F" w:rsidP="00F70E21">
      <w:pPr>
        <w:jc w:val="both"/>
        <w:rPr>
          <w:sz w:val="24"/>
          <w:szCs w:val="24"/>
          <w:lang w:val="en-GB"/>
        </w:rPr>
      </w:pPr>
      <w:r w:rsidRPr="00BC1ABD">
        <w:rPr>
          <w:sz w:val="24"/>
          <w:szCs w:val="24"/>
          <w:lang w:val="en-GB"/>
        </w:rPr>
        <w:t>Therefore</w:t>
      </w:r>
      <w:r w:rsidR="002A26C4">
        <w:rPr>
          <w:sz w:val="24"/>
          <w:szCs w:val="24"/>
          <w:lang w:val="en-GB"/>
        </w:rPr>
        <w:t>,</w:t>
      </w:r>
      <w:r w:rsidRPr="00BC1ABD">
        <w:rPr>
          <w:sz w:val="24"/>
          <w:szCs w:val="24"/>
          <w:lang w:val="en-GB"/>
        </w:rPr>
        <w:t xml:space="preserve"> we can use retail </w:t>
      </w:r>
      <w:r w:rsidR="00595FA9" w:rsidRPr="00BC1ABD">
        <w:rPr>
          <w:sz w:val="24"/>
          <w:szCs w:val="24"/>
          <w:lang w:val="en-GB"/>
        </w:rPr>
        <w:t xml:space="preserve">market shares for retail higher-speed fixed broadband (see Figure </w:t>
      </w:r>
      <w:r w:rsidR="00173C6E">
        <w:rPr>
          <w:sz w:val="24"/>
          <w:szCs w:val="24"/>
          <w:lang w:val="en-GB"/>
        </w:rPr>
        <w:t>48</w:t>
      </w:r>
      <w:r w:rsidR="00595FA9" w:rsidRPr="00BC1ABD">
        <w:rPr>
          <w:sz w:val="24"/>
          <w:szCs w:val="24"/>
          <w:lang w:val="en-GB"/>
        </w:rPr>
        <w:t xml:space="preserve">) </w:t>
      </w:r>
      <w:r w:rsidRPr="00BC1ABD">
        <w:rPr>
          <w:sz w:val="24"/>
          <w:szCs w:val="24"/>
          <w:lang w:val="en-GB"/>
        </w:rPr>
        <w:t>for the purpose of assessing SMP</w:t>
      </w:r>
      <w:r w:rsidR="003348BA" w:rsidRPr="00BC1ABD">
        <w:rPr>
          <w:sz w:val="24"/>
          <w:szCs w:val="24"/>
          <w:lang w:val="en-GB"/>
        </w:rPr>
        <w:t>.</w:t>
      </w:r>
      <w:r w:rsidRPr="00BC1ABD">
        <w:rPr>
          <w:sz w:val="24"/>
          <w:szCs w:val="24"/>
          <w:lang w:val="en-GB"/>
        </w:rPr>
        <w:t xml:space="preserve"> </w:t>
      </w:r>
    </w:p>
    <w:p w14:paraId="68C58C4F" w14:textId="118FE96C" w:rsidR="00595FA9" w:rsidRPr="00BC1ABD" w:rsidRDefault="00595FA9" w:rsidP="00595FA9">
      <w:pPr>
        <w:spacing w:after="160" w:line="256" w:lineRule="auto"/>
        <w:jc w:val="both"/>
        <w:rPr>
          <w:sz w:val="24"/>
          <w:szCs w:val="24"/>
          <w:lang w:val="en-GB"/>
        </w:rPr>
      </w:pPr>
      <w:r w:rsidRPr="00BC1ABD">
        <w:rPr>
          <w:sz w:val="24"/>
          <w:szCs w:val="24"/>
          <w:lang w:val="en-GB"/>
        </w:rPr>
        <w:t>Th</w:t>
      </w:r>
      <w:r w:rsidR="003348BA" w:rsidRPr="00BC1ABD">
        <w:rPr>
          <w:sz w:val="24"/>
          <w:szCs w:val="24"/>
          <w:lang w:val="en-GB"/>
        </w:rPr>
        <w:t>e</w:t>
      </w:r>
      <w:r w:rsidRPr="00BC1ABD">
        <w:rPr>
          <w:sz w:val="24"/>
          <w:szCs w:val="24"/>
          <w:lang w:val="en-GB"/>
        </w:rPr>
        <w:t xml:space="preserve"> market shares </w:t>
      </w:r>
      <w:r w:rsidR="003348BA" w:rsidRPr="00BC1ABD">
        <w:rPr>
          <w:sz w:val="24"/>
          <w:szCs w:val="24"/>
          <w:lang w:val="en-GB"/>
        </w:rPr>
        <w:t xml:space="preserve">in Figure </w:t>
      </w:r>
      <w:r w:rsidR="00173C6E">
        <w:rPr>
          <w:sz w:val="24"/>
          <w:szCs w:val="24"/>
          <w:lang w:val="en-GB"/>
        </w:rPr>
        <w:t>48</w:t>
      </w:r>
      <w:r w:rsidR="003348BA" w:rsidRPr="00BC1ABD">
        <w:rPr>
          <w:sz w:val="24"/>
          <w:szCs w:val="24"/>
          <w:lang w:val="en-GB"/>
        </w:rPr>
        <w:t xml:space="preserve"> </w:t>
      </w:r>
      <w:r w:rsidRPr="00BC1ABD">
        <w:rPr>
          <w:sz w:val="24"/>
          <w:szCs w:val="24"/>
          <w:lang w:val="en-GB"/>
        </w:rPr>
        <w:t xml:space="preserve">for each operator are based on their respective retail fixed higher-speed broadband subscriptions using </w:t>
      </w:r>
      <w:r w:rsidR="00F026B4">
        <w:rPr>
          <w:sz w:val="24"/>
          <w:szCs w:val="24"/>
          <w:lang w:val="en-GB"/>
        </w:rPr>
        <w:t>FTTx</w:t>
      </w:r>
      <w:r w:rsidRPr="00BC1ABD">
        <w:rPr>
          <w:sz w:val="24"/>
          <w:szCs w:val="24"/>
          <w:lang w:val="en-GB"/>
        </w:rPr>
        <w:t xml:space="preserve"> technologies. </w:t>
      </w:r>
    </w:p>
    <w:p w14:paraId="7DA49022" w14:textId="705F017A" w:rsidR="00595FA9" w:rsidRPr="00BC1ABD" w:rsidRDefault="00595FA9" w:rsidP="00595FA9">
      <w:pPr>
        <w:spacing w:after="160" w:line="256" w:lineRule="auto"/>
        <w:jc w:val="both"/>
        <w:rPr>
          <w:sz w:val="24"/>
          <w:szCs w:val="24"/>
          <w:lang w:val="en-GB"/>
        </w:rPr>
      </w:pPr>
      <w:r w:rsidRPr="00BC1ABD">
        <w:rPr>
          <w:sz w:val="24"/>
          <w:szCs w:val="24"/>
          <w:lang w:val="en-GB"/>
        </w:rPr>
        <w:t xml:space="preserve">The market share of Magticom at 54.6% exceeds the presumption of 40% for SMP specified by the Georgian Law on Electronic Communications (see Chapter </w:t>
      </w:r>
      <w:r w:rsidR="007E283C">
        <w:rPr>
          <w:sz w:val="24"/>
          <w:szCs w:val="24"/>
          <w:lang w:val="en-GB"/>
        </w:rPr>
        <w:t>5.3</w:t>
      </w:r>
      <w:r w:rsidRPr="00BC1ABD">
        <w:rPr>
          <w:sz w:val="24"/>
          <w:szCs w:val="24"/>
          <w:lang w:val="en-GB"/>
        </w:rPr>
        <w:t>.1).</w:t>
      </w:r>
    </w:p>
    <w:p w14:paraId="2D3A5599" w14:textId="4E3CF421" w:rsidR="00595FA9" w:rsidRPr="00E02685" w:rsidRDefault="00595FA9" w:rsidP="002207AC">
      <w:pPr>
        <w:spacing w:before="240" w:after="0"/>
        <w:jc w:val="both"/>
        <w:rPr>
          <w:sz w:val="24"/>
          <w:szCs w:val="24"/>
          <w:lang w:val="en-GB"/>
        </w:rPr>
      </w:pPr>
      <w:r w:rsidRPr="00E02685">
        <w:rPr>
          <w:sz w:val="24"/>
          <w:szCs w:val="24"/>
          <w:lang w:val="en-GB"/>
        </w:rPr>
        <w:t xml:space="preserve">According to article </w:t>
      </w:r>
      <w:r w:rsidR="00536D58" w:rsidRPr="00E02685">
        <w:rPr>
          <w:sz w:val="24"/>
          <w:szCs w:val="24"/>
          <w:lang w:val="en-GB"/>
        </w:rPr>
        <w:t>1</w:t>
      </w:r>
      <w:r w:rsidR="00986F61">
        <w:rPr>
          <w:sz w:val="24"/>
          <w:szCs w:val="24"/>
          <w:lang w:val="en-GB"/>
        </w:rPr>
        <w:t>5</w:t>
      </w:r>
      <w:r w:rsidR="00297EB5">
        <w:rPr>
          <w:sz w:val="24"/>
          <w:szCs w:val="24"/>
          <w:lang w:val="en-GB"/>
        </w:rPr>
        <w:t>(2)</w:t>
      </w:r>
      <w:r w:rsidR="00536D58" w:rsidRPr="00E02685">
        <w:rPr>
          <w:sz w:val="24"/>
          <w:szCs w:val="24"/>
          <w:lang w:val="en-GB"/>
        </w:rPr>
        <w:t xml:space="preserve"> </w:t>
      </w:r>
      <w:r w:rsidRPr="00E02685">
        <w:rPr>
          <w:sz w:val="24"/>
          <w:szCs w:val="24"/>
          <w:lang w:val="en-GB"/>
        </w:rPr>
        <w:t xml:space="preserve">of ComCom’s </w:t>
      </w:r>
      <w:r w:rsidR="00804D47" w:rsidRPr="00E02685">
        <w:rPr>
          <w:sz w:val="24"/>
          <w:szCs w:val="24"/>
          <w:lang w:val="en-GB"/>
        </w:rPr>
        <w:t xml:space="preserve">revised </w:t>
      </w:r>
      <w:r w:rsidRPr="00E02685">
        <w:rPr>
          <w:sz w:val="24"/>
          <w:szCs w:val="24"/>
          <w:lang w:val="en-GB"/>
        </w:rPr>
        <w:t xml:space="preserve">Methodological Rules, the </w:t>
      </w:r>
      <w:r w:rsidRPr="002207AC">
        <w:rPr>
          <w:i/>
          <w:iCs/>
          <w:sz w:val="24"/>
          <w:szCs w:val="24"/>
          <w:lang w:val="en-GB"/>
        </w:rPr>
        <w:t>“…</w:t>
      </w:r>
      <w:r w:rsidR="00E02685" w:rsidRPr="002207AC">
        <w:rPr>
          <w:i/>
          <w:iCs/>
          <w:sz w:val="24"/>
          <w:szCs w:val="24"/>
          <w:lang w:val="en-GB"/>
        </w:rPr>
        <w:t xml:space="preserve">The Commission should also take into account the </w:t>
      </w:r>
      <w:r w:rsidR="00297EB5">
        <w:rPr>
          <w:i/>
          <w:iCs/>
          <w:sz w:val="24"/>
          <w:szCs w:val="24"/>
          <w:lang w:val="en-US"/>
        </w:rPr>
        <w:t>dynamics of</w:t>
      </w:r>
      <w:r w:rsidR="00E02685" w:rsidRPr="002207AC">
        <w:rPr>
          <w:i/>
          <w:iCs/>
          <w:sz w:val="24"/>
          <w:szCs w:val="24"/>
          <w:lang w:val="en-GB"/>
        </w:rPr>
        <w:t xml:space="preserve"> the data on specific market shares of other authori</w:t>
      </w:r>
      <w:r w:rsidR="001B67B9">
        <w:rPr>
          <w:i/>
          <w:iCs/>
          <w:sz w:val="24"/>
          <w:szCs w:val="24"/>
          <w:lang w:val="en-GB"/>
        </w:rPr>
        <w:t>s</w:t>
      </w:r>
      <w:r w:rsidR="00E02685" w:rsidRPr="002207AC">
        <w:rPr>
          <w:i/>
          <w:iCs/>
          <w:sz w:val="24"/>
          <w:szCs w:val="24"/>
          <w:lang w:val="en-GB"/>
        </w:rPr>
        <w:t>ed persons operating in the relevant segment of the market. This circumstance, along with other relevant criteria, determines whether the relevant market segment is prone to effective competition.</w:t>
      </w:r>
      <w:r w:rsidRPr="002207AC">
        <w:rPr>
          <w:i/>
          <w:iCs/>
          <w:sz w:val="24"/>
          <w:szCs w:val="24"/>
          <w:lang w:val="en-GB"/>
        </w:rPr>
        <w:t>”</w:t>
      </w:r>
      <w:r w:rsidR="00E02685">
        <w:rPr>
          <w:sz w:val="24"/>
          <w:szCs w:val="24"/>
          <w:lang w:val="en-GB"/>
        </w:rPr>
        <w:t xml:space="preserve"> </w:t>
      </w:r>
      <w:r w:rsidRPr="00BC1ABD">
        <w:rPr>
          <w:sz w:val="24"/>
          <w:szCs w:val="24"/>
          <w:lang w:val="en-GB"/>
        </w:rPr>
        <w:t xml:space="preserve">A declining market share </w:t>
      </w:r>
      <w:r w:rsidR="00536D58">
        <w:rPr>
          <w:sz w:val="24"/>
          <w:szCs w:val="24"/>
          <w:lang w:val="en-GB"/>
        </w:rPr>
        <w:t xml:space="preserve">of Magticom </w:t>
      </w:r>
      <w:r w:rsidRPr="00BC1ABD">
        <w:rPr>
          <w:sz w:val="24"/>
          <w:szCs w:val="24"/>
          <w:lang w:val="en-GB"/>
        </w:rPr>
        <w:t>could</w:t>
      </w:r>
      <w:r w:rsidR="00536D58">
        <w:rPr>
          <w:sz w:val="24"/>
          <w:szCs w:val="24"/>
          <w:lang w:val="en-GB"/>
        </w:rPr>
        <w:t xml:space="preserve"> therefore</w:t>
      </w:r>
      <w:r w:rsidRPr="00BC1ABD">
        <w:rPr>
          <w:sz w:val="24"/>
          <w:szCs w:val="24"/>
          <w:lang w:val="en-GB"/>
        </w:rPr>
        <w:t xml:space="preserve"> lead to the conclusion that there is sufficient competitive pressure on an operator with over 50% market share. The trend in market shares is shown in Figure </w:t>
      </w:r>
      <w:r w:rsidR="00173C6E">
        <w:rPr>
          <w:sz w:val="24"/>
          <w:szCs w:val="24"/>
          <w:lang w:val="en-GB"/>
        </w:rPr>
        <w:t>50</w:t>
      </w:r>
      <w:r w:rsidRPr="00BC1ABD">
        <w:rPr>
          <w:sz w:val="24"/>
          <w:szCs w:val="24"/>
          <w:lang w:val="en-GB"/>
        </w:rPr>
        <w:t>.</w:t>
      </w:r>
    </w:p>
    <w:p w14:paraId="23EC16E3" w14:textId="77777777" w:rsidR="002A26C4" w:rsidRDefault="002A26C4" w:rsidP="002A26C4">
      <w:pPr>
        <w:pStyle w:val="Caption"/>
        <w:jc w:val="center"/>
      </w:pPr>
    </w:p>
    <w:p w14:paraId="369D932A" w14:textId="10F5ACE2" w:rsidR="002A26C4" w:rsidRDefault="002A26C4" w:rsidP="00D759A2">
      <w:pPr>
        <w:pStyle w:val="Caption"/>
      </w:pPr>
    </w:p>
    <w:p w14:paraId="2D55FDDA" w14:textId="77777777" w:rsidR="00C4166A" w:rsidRDefault="00C4166A" w:rsidP="00C4166A">
      <w:pPr>
        <w:rPr>
          <w:lang w:val="sl-SI"/>
        </w:rPr>
      </w:pPr>
    </w:p>
    <w:p w14:paraId="10C93097" w14:textId="77777777" w:rsidR="002A26C4" w:rsidRDefault="002A26C4" w:rsidP="00384D6A">
      <w:pPr>
        <w:pStyle w:val="Caption"/>
      </w:pPr>
    </w:p>
    <w:p w14:paraId="31F2A221" w14:textId="5EC64DA3" w:rsidR="00595FA9" w:rsidRPr="00BC1ABD" w:rsidRDefault="002A26C4" w:rsidP="002A26C4">
      <w:pPr>
        <w:pStyle w:val="Caption"/>
        <w:jc w:val="center"/>
        <w:rPr>
          <w:i w:val="0"/>
          <w:iCs w:val="0"/>
          <w:sz w:val="20"/>
          <w:szCs w:val="20"/>
          <w:lang w:val="en-GB"/>
        </w:rPr>
      </w:pPr>
      <w:bookmarkStart w:id="265" w:name="_Toc152931401"/>
      <w:r>
        <w:t xml:space="preserve">Figure </w:t>
      </w:r>
      <w:r>
        <w:fldChar w:fldCharType="begin"/>
      </w:r>
      <w:r>
        <w:instrText xml:space="preserve"> SEQ Figure \* ARABIC </w:instrText>
      </w:r>
      <w:r>
        <w:fldChar w:fldCharType="separate"/>
      </w:r>
      <w:r w:rsidR="00ED2C35">
        <w:rPr>
          <w:noProof/>
        </w:rPr>
        <w:t>50</w:t>
      </w:r>
      <w:r>
        <w:fldChar w:fldCharType="end"/>
      </w:r>
      <w:r w:rsidR="00595FA9" w:rsidRPr="00BC1ABD">
        <w:rPr>
          <w:sz w:val="20"/>
          <w:szCs w:val="20"/>
          <w:lang w:val="en-GB"/>
        </w:rPr>
        <w:t>: Market shares for retail higher-speed broadband services (trend)</w:t>
      </w:r>
      <w:bookmarkEnd w:id="265"/>
    </w:p>
    <w:p w14:paraId="444293C5" w14:textId="77777777" w:rsidR="00595FA9" w:rsidRPr="00BC1ABD" w:rsidRDefault="00595FA9" w:rsidP="00595FA9">
      <w:pPr>
        <w:spacing w:after="160" w:line="256" w:lineRule="auto"/>
        <w:jc w:val="center"/>
        <w:rPr>
          <w:lang w:val="en-GB"/>
        </w:rPr>
      </w:pPr>
      <w:r w:rsidRPr="00BC1ABD">
        <w:rPr>
          <w:noProof/>
          <w:lang w:val="sl-SI" w:eastAsia="sl-SI"/>
        </w:rPr>
        <w:drawing>
          <wp:inline distT="0" distB="0" distL="0" distR="0" wp14:anchorId="6C9A4648" wp14:editId="378F87E4">
            <wp:extent cx="5732585" cy="2567305"/>
            <wp:effectExtent l="0" t="0" r="1905" b="4445"/>
            <wp:docPr id="18" name="Chart 18">
              <a:extLst xmlns:a="http://schemas.openxmlformats.org/drawingml/2006/main">
                <a:ext uri="{FF2B5EF4-FFF2-40B4-BE49-F238E27FC236}">
                  <a16:creationId xmlns:a16="http://schemas.microsoft.com/office/drawing/2014/main" id="{E22DC98C-DE4E-5652-CC1F-370B3108F2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92BC6DB" w14:textId="5F0CE185" w:rsidR="00595FA9" w:rsidRPr="00BC1ABD" w:rsidRDefault="00595FA9" w:rsidP="00595FA9">
      <w:pPr>
        <w:spacing w:after="160" w:line="256" w:lineRule="auto"/>
        <w:jc w:val="both"/>
        <w:rPr>
          <w:sz w:val="24"/>
          <w:szCs w:val="24"/>
          <w:lang w:val="en-GB"/>
        </w:rPr>
      </w:pPr>
      <w:r w:rsidRPr="00BC1ABD">
        <w:rPr>
          <w:sz w:val="24"/>
          <w:szCs w:val="24"/>
          <w:lang w:val="en-GB"/>
        </w:rPr>
        <w:t>The trend shows a gradual decline in Magticom’s market share (based on the retail higher-speed fixed broadband access market). It is considered that the same direct link between the retail market share and the market share for wholesale local and central access capacity has existed over the period. There have been no regulatory interventions on this notional wholesale market and all the players have been vertically integrated retail and network operators throughout the period. Magticom’s market share decline (from 58.</w:t>
      </w:r>
      <w:r w:rsidR="00772D26" w:rsidRPr="00BC1ABD">
        <w:rPr>
          <w:sz w:val="24"/>
          <w:szCs w:val="24"/>
          <w:lang w:val="en-GB"/>
        </w:rPr>
        <w:t>9</w:t>
      </w:r>
      <w:r w:rsidRPr="00BC1ABD">
        <w:rPr>
          <w:sz w:val="24"/>
          <w:szCs w:val="24"/>
          <w:lang w:val="en-GB"/>
        </w:rPr>
        <w:t>% to 5</w:t>
      </w:r>
      <w:r w:rsidR="00772D26" w:rsidRPr="00BC1ABD">
        <w:rPr>
          <w:sz w:val="24"/>
          <w:szCs w:val="24"/>
          <w:lang w:val="en-GB"/>
        </w:rPr>
        <w:t>4</w:t>
      </w:r>
      <w:r w:rsidRPr="00BC1ABD">
        <w:rPr>
          <w:sz w:val="24"/>
          <w:szCs w:val="24"/>
          <w:lang w:val="en-GB"/>
        </w:rPr>
        <w:t xml:space="preserve">.8%) has been matched partly by the rise in the market share of Silknet (from 30.2% to 32.0% over the period) and partly by the rising market shares taken by the remaining operators (from </w:t>
      </w:r>
      <w:r w:rsidR="00772D26" w:rsidRPr="00BC1ABD">
        <w:rPr>
          <w:sz w:val="24"/>
          <w:szCs w:val="24"/>
          <w:lang w:val="en-GB"/>
        </w:rPr>
        <w:t>10</w:t>
      </w:r>
      <w:r w:rsidRPr="00BC1ABD">
        <w:rPr>
          <w:sz w:val="24"/>
          <w:szCs w:val="24"/>
          <w:lang w:val="en-GB"/>
        </w:rPr>
        <w:t>.</w:t>
      </w:r>
      <w:r w:rsidR="00772D26" w:rsidRPr="00BC1ABD">
        <w:rPr>
          <w:sz w:val="24"/>
          <w:szCs w:val="24"/>
          <w:lang w:val="en-GB"/>
        </w:rPr>
        <w:t>9</w:t>
      </w:r>
      <w:r w:rsidRPr="00BC1ABD">
        <w:rPr>
          <w:sz w:val="24"/>
          <w:szCs w:val="24"/>
          <w:lang w:val="en-GB"/>
        </w:rPr>
        <w:t xml:space="preserve">% to 13.2%). It is interesting to note that the market share of </w:t>
      </w:r>
      <w:r w:rsidR="001A02CA">
        <w:rPr>
          <w:rFonts w:eastAsia="Times New Roman" w:cs="Arial"/>
          <w:sz w:val="24"/>
          <w:szCs w:val="24"/>
          <w:lang w:val="en-GB"/>
        </w:rPr>
        <w:t>Akhali Kselebi</w:t>
      </w:r>
      <w:r w:rsidRPr="00BC1ABD">
        <w:rPr>
          <w:sz w:val="24"/>
          <w:szCs w:val="24"/>
          <w:lang w:val="en-GB"/>
        </w:rPr>
        <w:t xml:space="preserve">, the third largest provider of higher-speed retail broadband access services using FTTH, has reduced from 9.4% to 6.3%. </w:t>
      </w:r>
    </w:p>
    <w:p w14:paraId="2F7894AE" w14:textId="1F8E1346" w:rsidR="00595FA9" w:rsidRPr="00BC1ABD" w:rsidRDefault="00595FA9" w:rsidP="00595FA9">
      <w:pPr>
        <w:spacing w:after="160" w:line="256" w:lineRule="auto"/>
        <w:jc w:val="both"/>
        <w:rPr>
          <w:sz w:val="24"/>
          <w:szCs w:val="24"/>
          <w:lang w:val="en-GB"/>
        </w:rPr>
      </w:pPr>
      <w:r w:rsidRPr="00BC1ABD">
        <w:rPr>
          <w:sz w:val="24"/>
          <w:szCs w:val="24"/>
          <w:lang w:val="en-GB"/>
        </w:rPr>
        <w:t xml:space="preserve">The main increases (up to 6.9% in 2022) have resulted from market entrants, notably Skytel, now the fourth largest </w:t>
      </w:r>
      <w:r w:rsidR="00F026B4">
        <w:rPr>
          <w:sz w:val="24"/>
          <w:szCs w:val="24"/>
          <w:lang w:val="en-GB"/>
        </w:rPr>
        <w:t>FTTx</w:t>
      </w:r>
      <w:r w:rsidRPr="00BC1ABD">
        <w:rPr>
          <w:sz w:val="24"/>
          <w:szCs w:val="24"/>
          <w:lang w:val="en-GB"/>
        </w:rPr>
        <w:t xml:space="preserve"> higher-speed broadband operator with 1.5% in 2022.</w:t>
      </w:r>
    </w:p>
    <w:p w14:paraId="3FEC97E0" w14:textId="07201E30"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The decline in the market shares of Magticom from 58.9% to 54.8% over the most recent 5-year period does not arise from a net loss of subscribers but from a reduced proportion of the overall market growth in fixed broadband access subscriptions. This is illustrated in Figure </w:t>
      </w:r>
      <w:r w:rsidR="00173C6E">
        <w:rPr>
          <w:rFonts w:asciiTheme="minorHAnsi" w:hAnsiTheme="minorHAnsi" w:cstheme="minorHAnsi"/>
          <w:sz w:val="24"/>
          <w:szCs w:val="24"/>
          <w:lang w:val="en-GB"/>
        </w:rPr>
        <w:t>51.</w:t>
      </w:r>
    </w:p>
    <w:p w14:paraId="728B3CD8" w14:textId="0127DD7C" w:rsidR="00595FA9" w:rsidRPr="00BC1ABD" w:rsidRDefault="002A26C4" w:rsidP="002A26C4">
      <w:pPr>
        <w:pStyle w:val="Caption"/>
        <w:jc w:val="center"/>
        <w:rPr>
          <w:i w:val="0"/>
          <w:iCs w:val="0"/>
          <w:sz w:val="20"/>
          <w:szCs w:val="20"/>
          <w:lang w:val="en-GB"/>
        </w:rPr>
      </w:pPr>
      <w:bookmarkStart w:id="266" w:name="_Toc152931402"/>
      <w:r>
        <w:t xml:space="preserve">Figure </w:t>
      </w:r>
      <w:r>
        <w:fldChar w:fldCharType="begin"/>
      </w:r>
      <w:r>
        <w:instrText xml:space="preserve"> SEQ Figure \* ARABIC </w:instrText>
      </w:r>
      <w:r>
        <w:fldChar w:fldCharType="separate"/>
      </w:r>
      <w:r w:rsidR="00ED2C35">
        <w:rPr>
          <w:noProof/>
        </w:rPr>
        <w:t>51</w:t>
      </w:r>
      <w:r>
        <w:fldChar w:fldCharType="end"/>
      </w:r>
      <w:r w:rsidR="00595FA9" w:rsidRPr="00BC1ABD">
        <w:rPr>
          <w:sz w:val="20"/>
          <w:szCs w:val="20"/>
          <w:lang w:val="en-GB"/>
        </w:rPr>
        <w:t>: Net growth in retail higher-speed fixed broadband subscriptions in each year (2018-2022)</w:t>
      </w:r>
      <w:bookmarkEnd w:id="266"/>
    </w:p>
    <w:tbl>
      <w:tblPr>
        <w:tblStyle w:val="TableGrid"/>
        <w:tblW w:w="95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37"/>
        <w:gridCol w:w="1417"/>
        <w:gridCol w:w="1251"/>
        <w:gridCol w:w="1474"/>
        <w:gridCol w:w="1415"/>
        <w:gridCol w:w="1415"/>
      </w:tblGrid>
      <w:tr w:rsidR="00595FA9" w:rsidRPr="00355738" w14:paraId="6966035D" w14:textId="77777777" w:rsidTr="00D759A2">
        <w:trPr>
          <w:cnfStyle w:val="100000000000" w:firstRow="1" w:lastRow="0" w:firstColumn="0" w:lastColumn="0" w:oddVBand="0" w:evenVBand="0" w:oddHBand="0" w:evenHBand="0" w:firstRowFirstColumn="0" w:firstRowLastColumn="0" w:lastRowFirstColumn="0" w:lastRowLastColumn="0"/>
          <w:jc w:val="center"/>
        </w:trPr>
        <w:tc>
          <w:tcPr>
            <w:tcW w:w="2537" w:type="dxa"/>
            <w:vMerge w:val="restart"/>
            <w:shd w:val="clear" w:color="auto" w:fill="D9D9D9" w:themeFill="background1" w:themeFillShade="D9"/>
            <w:hideMark/>
          </w:tcPr>
          <w:p w14:paraId="62AA2DD1" w14:textId="77777777" w:rsidR="00595FA9" w:rsidRPr="00BC1ABD" w:rsidRDefault="00595FA9" w:rsidP="00595FA9">
            <w:pPr>
              <w:spacing w:after="120" w:line="252" w:lineRule="auto"/>
              <w:jc w:val="center"/>
              <w:rPr>
                <w:b w:val="0"/>
                <w:lang w:val="en-GB"/>
              </w:rPr>
            </w:pPr>
          </w:p>
          <w:p w14:paraId="35AC94CD" w14:textId="77777777" w:rsidR="00595FA9" w:rsidRPr="00BC1ABD" w:rsidRDefault="00595FA9" w:rsidP="00595FA9">
            <w:pPr>
              <w:spacing w:after="120" w:line="252" w:lineRule="auto"/>
              <w:jc w:val="center"/>
              <w:rPr>
                <w:lang w:val="en-GB"/>
              </w:rPr>
            </w:pPr>
            <w:r w:rsidRPr="00BC1ABD">
              <w:rPr>
                <w:lang w:val="en-GB"/>
              </w:rPr>
              <w:t>Operator</w:t>
            </w:r>
          </w:p>
        </w:tc>
        <w:tc>
          <w:tcPr>
            <w:tcW w:w="6972" w:type="dxa"/>
            <w:gridSpan w:val="5"/>
            <w:shd w:val="clear" w:color="auto" w:fill="D9D9D9" w:themeFill="background1" w:themeFillShade="D9"/>
          </w:tcPr>
          <w:p w14:paraId="38D54933" w14:textId="77777777" w:rsidR="00595FA9" w:rsidRPr="00BC1ABD" w:rsidRDefault="00595FA9" w:rsidP="00595FA9">
            <w:pPr>
              <w:spacing w:after="120" w:line="252" w:lineRule="auto"/>
              <w:jc w:val="center"/>
              <w:rPr>
                <w:lang w:val="en-GB"/>
              </w:rPr>
            </w:pPr>
            <w:r w:rsidRPr="00BC1ABD">
              <w:rPr>
                <w:lang w:val="en-GB"/>
              </w:rPr>
              <w:t>Net growth in subscriptions during each year</w:t>
            </w:r>
          </w:p>
        </w:tc>
      </w:tr>
      <w:tr w:rsidR="00D759A2" w:rsidRPr="00BC1ABD" w14:paraId="3758761F" w14:textId="77777777" w:rsidTr="007363E3">
        <w:trPr>
          <w:jc w:val="center"/>
        </w:trPr>
        <w:tc>
          <w:tcPr>
            <w:tcW w:w="2537" w:type="dxa"/>
            <w:vMerge/>
            <w:shd w:val="clear" w:color="auto" w:fill="D9D9D9" w:themeFill="background1" w:themeFillShade="D9"/>
          </w:tcPr>
          <w:p w14:paraId="099BFED3" w14:textId="77777777" w:rsidR="00595FA9" w:rsidRPr="00BC1ABD" w:rsidRDefault="00595FA9" w:rsidP="00595FA9">
            <w:pPr>
              <w:spacing w:after="120" w:line="252" w:lineRule="auto"/>
              <w:jc w:val="center"/>
              <w:rPr>
                <w:lang w:val="en-GB"/>
              </w:rPr>
            </w:pPr>
          </w:p>
        </w:tc>
        <w:tc>
          <w:tcPr>
            <w:tcW w:w="1417" w:type="dxa"/>
            <w:shd w:val="clear" w:color="auto" w:fill="D9D9D9" w:themeFill="background1" w:themeFillShade="D9"/>
            <w:vAlign w:val="center"/>
          </w:tcPr>
          <w:p w14:paraId="408B97AE" w14:textId="77777777" w:rsidR="00595FA9" w:rsidRPr="00BC1ABD" w:rsidRDefault="00595FA9" w:rsidP="00595FA9">
            <w:pPr>
              <w:spacing w:after="120" w:line="252" w:lineRule="auto"/>
              <w:jc w:val="center"/>
              <w:rPr>
                <w:lang w:val="en-GB"/>
              </w:rPr>
            </w:pPr>
            <w:r w:rsidRPr="00BC1ABD">
              <w:rPr>
                <w:lang w:val="en-GB"/>
              </w:rPr>
              <w:t>2018</w:t>
            </w:r>
          </w:p>
        </w:tc>
        <w:tc>
          <w:tcPr>
            <w:tcW w:w="1251" w:type="dxa"/>
            <w:shd w:val="clear" w:color="auto" w:fill="D9D9D9" w:themeFill="background1" w:themeFillShade="D9"/>
          </w:tcPr>
          <w:p w14:paraId="4646BC70" w14:textId="77777777" w:rsidR="00595FA9" w:rsidRPr="00BC1ABD" w:rsidRDefault="00595FA9" w:rsidP="00595FA9">
            <w:pPr>
              <w:spacing w:after="120" w:line="252" w:lineRule="auto"/>
              <w:jc w:val="center"/>
              <w:rPr>
                <w:lang w:val="en-GB"/>
              </w:rPr>
            </w:pPr>
            <w:r w:rsidRPr="00BC1ABD">
              <w:rPr>
                <w:lang w:val="en-GB"/>
              </w:rPr>
              <w:t>2019</w:t>
            </w:r>
          </w:p>
        </w:tc>
        <w:tc>
          <w:tcPr>
            <w:tcW w:w="1474" w:type="dxa"/>
            <w:shd w:val="clear" w:color="auto" w:fill="D9D9D9" w:themeFill="background1" w:themeFillShade="D9"/>
          </w:tcPr>
          <w:p w14:paraId="22B7E071" w14:textId="77777777" w:rsidR="00595FA9" w:rsidRPr="00BC1ABD" w:rsidRDefault="00595FA9" w:rsidP="00595FA9">
            <w:pPr>
              <w:spacing w:after="120" w:line="252" w:lineRule="auto"/>
              <w:jc w:val="center"/>
              <w:rPr>
                <w:lang w:val="en-GB"/>
              </w:rPr>
            </w:pPr>
            <w:r w:rsidRPr="00BC1ABD">
              <w:rPr>
                <w:lang w:val="en-GB"/>
              </w:rPr>
              <w:t>2020</w:t>
            </w:r>
          </w:p>
        </w:tc>
        <w:tc>
          <w:tcPr>
            <w:tcW w:w="1415" w:type="dxa"/>
            <w:shd w:val="clear" w:color="auto" w:fill="D9D9D9" w:themeFill="background1" w:themeFillShade="D9"/>
          </w:tcPr>
          <w:p w14:paraId="032A1B08" w14:textId="77777777" w:rsidR="00595FA9" w:rsidRPr="00BC1ABD" w:rsidRDefault="00595FA9" w:rsidP="00595FA9">
            <w:pPr>
              <w:spacing w:after="120" w:line="252" w:lineRule="auto"/>
              <w:jc w:val="center"/>
              <w:rPr>
                <w:lang w:val="en-GB"/>
              </w:rPr>
            </w:pPr>
            <w:r w:rsidRPr="00BC1ABD">
              <w:rPr>
                <w:lang w:val="en-GB"/>
              </w:rPr>
              <w:t>2021</w:t>
            </w:r>
          </w:p>
        </w:tc>
        <w:tc>
          <w:tcPr>
            <w:tcW w:w="1415" w:type="dxa"/>
            <w:shd w:val="clear" w:color="auto" w:fill="D9D9D9" w:themeFill="background1" w:themeFillShade="D9"/>
          </w:tcPr>
          <w:p w14:paraId="015BBC6E" w14:textId="77777777" w:rsidR="00595FA9" w:rsidRPr="00BC1ABD" w:rsidRDefault="00595FA9" w:rsidP="00595FA9">
            <w:pPr>
              <w:spacing w:after="120" w:line="252" w:lineRule="auto"/>
              <w:jc w:val="center"/>
              <w:rPr>
                <w:lang w:val="en-GB"/>
              </w:rPr>
            </w:pPr>
            <w:r w:rsidRPr="00BC1ABD">
              <w:rPr>
                <w:lang w:val="en-GB"/>
              </w:rPr>
              <w:t>2022</w:t>
            </w:r>
          </w:p>
        </w:tc>
      </w:tr>
      <w:tr w:rsidR="00595FA9" w:rsidRPr="00BC1ABD" w14:paraId="3870E23B" w14:textId="77777777" w:rsidTr="007363E3">
        <w:trPr>
          <w:jc w:val="center"/>
        </w:trPr>
        <w:tc>
          <w:tcPr>
            <w:tcW w:w="2537" w:type="dxa"/>
          </w:tcPr>
          <w:p w14:paraId="57B8498A" w14:textId="77777777" w:rsidR="00595FA9" w:rsidRPr="00BC1ABD" w:rsidRDefault="00595FA9" w:rsidP="00595FA9">
            <w:pPr>
              <w:spacing w:after="120" w:line="252" w:lineRule="auto"/>
              <w:jc w:val="center"/>
              <w:rPr>
                <w:lang w:val="en-GB"/>
              </w:rPr>
            </w:pPr>
            <w:r w:rsidRPr="00BC1ABD">
              <w:rPr>
                <w:lang w:val="en-GB"/>
              </w:rPr>
              <w:t>Magticom</w:t>
            </w:r>
          </w:p>
        </w:tc>
        <w:tc>
          <w:tcPr>
            <w:tcW w:w="1417" w:type="dxa"/>
            <w:vAlign w:val="center"/>
          </w:tcPr>
          <w:p w14:paraId="53EA0866" w14:textId="77777777" w:rsidR="00595FA9" w:rsidRPr="00BC1ABD" w:rsidRDefault="00595FA9" w:rsidP="00595FA9">
            <w:pPr>
              <w:spacing w:after="120" w:line="252" w:lineRule="auto"/>
              <w:jc w:val="center"/>
              <w:rPr>
                <w:lang w:val="en-GB"/>
              </w:rPr>
            </w:pPr>
            <w:r w:rsidRPr="00BC1ABD">
              <w:rPr>
                <w:lang w:val="en-GB"/>
              </w:rPr>
              <w:t>80,176</w:t>
            </w:r>
          </w:p>
        </w:tc>
        <w:tc>
          <w:tcPr>
            <w:tcW w:w="1251" w:type="dxa"/>
          </w:tcPr>
          <w:p w14:paraId="54512604" w14:textId="77777777" w:rsidR="00595FA9" w:rsidRPr="00BC1ABD" w:rsidRDefault="00595FA9" w:rsidP="00595FA9">
            <w:pPr>
              <w:spacing w:after="120" w:line="252" w:lineRule="auto"/>
              <w:jc w:val="center"/>
              <w:rPr>
                <w:lang w:val="en-GB"/>
              </w:rPr>
            </w:pPr>
            <w:r w:rsidRPr="00BC1ABD">
              <w:rPr>
                <w:lang w:val="en-GB"/>
              </w:rPr>
              <w:t>64,881</w:t>
            </w:r>
          </w:p>
        </w:tc>
        <w:tc>
          <w:tcPr>
            <w:tcW w:w="1474" w:type="dxa"/>
          </w:tcPr>
          <w:p w14:paraId="482C560C" w14:textId="77777777" w:rsidR="00595FA9" w:rsidRPr="00BC1ABD" w:rsidRDefault="00595FA9" w:rsidP="00595FA9">
            <w:pPr>
              <w:spacing w:after="120" w:line="252" w:lineRule="auto"/>
              <w:jc w:val="center"/>
              <w:rPr>
                <w:lang w:val="en-GB"/>
              </w:rPr>
            </w:pPr>
            <w:r w:rsidRPr="00BC1ABD">
              <w:rPr>
                <w:lang w:val="en-GB"/>
              </w:rPr>
              <w:t>27,650</w:t>
            </w:r>
          </w:p>
        </w:tc>
        <w:tc>
          <w:tcPr>
            <w:tcW w:w="1415" w:type="dxa"/>
          </w:tcPr>
          <w:p w14:paraId="67EDE818" w14:textId="77777777" w:rsidR="00595FA9" w:rsidRPr="00BC1ABD" w:rsidRDefault="00595FA9" w:rsidP="00595FA9">
            <w:pPr>
              <w:spacing w:after="120" w:line="252" w:lineRule="auto"/>
              <w:jc w:val="center"/>
              <w:rPr>
                <w:lang w:val="en-GB"/>
              </w:rPr>
            </w:pPr>
            <w:r w:rsidRPr="00BC1ABD">
              <w:rPr>
                <w:lang w:val="en-GB"/>
              </w:rPr>
              <w:t>16,519</w:t>
            </w:r>
          </w:p>
        </w:tc>
        <w:tc>
          <w:tcPr>
            <w:tcW w:w="1415" w:type="dxa"/>
          </w:tcPr>
          <w:p w14:paraId="2CEDC37A" w14:textId="77777777" w:rsidR="00595FA9" w:rsidRPr="00BC1ABD" w:rsidRDefault="00595FA9" w:rsidP="00595FA9">
            <w:pPr>
              <w:spacing w:after="120" w:line="252" w:lineRule="auto"/>
              <w:jc w:val="center"/>
              <w:rPr>
                <w:lang w:val="en-GB"/>
              </w:rPr>
            </w:pPr>
            <w:r w:rsidRPr="00BC1ABD">
              <w:rPr>
                <w:lang w:val="en-GB"/>
              </w:rPr>
              <w:t>22,721</w:t>
            </w:r>
          </w:p>
        </w:tc>
      </w:tr>
      <w:tr w:rsidR="00595FA9" w:rsidRPr="00BC1ABD" w14:paraId="4B7432B4" w14:textId="77777777" w:rsidTr="007363E3">
        <w:trPr>
          <w:jc w:val="center"/>
        </w:trPr>
        <w:tc>
          <w:tcPr>
            <w:tcW w:w="2537" w:type="dxa"/>
          </w:tcPr>
          <w:p w14:paraId="5DA3D323" w14:textId="77777777" w:rsidR="00595FA9" w:rsidRPr="00BC1ABD" w:rsidRDefault="00595FA9" w:rsidP="00595FA9">
            <w:pPr>
              <w:spacing w:after="120" w:line="252" w:lineRule="auto"/>
              <w:jc w:val="center"/>
              <w:rPr>
                <w:lang w:val="en-GB"/>
              </w:rPr>
            </w:pPr>
            <w:r w:rsidRPr="00BC1ABD">
              <w:rPr>
                <w:lang w:val="en-GB"/>
              </w:rPr>
              <w:t>Silknet</w:t>
            </w:r>
          </w:p>
        </w:tc>
        <w:tc>
          <w:tcPr>
            <w:tcW w:w="1417" w:type="dxa"/>
            <w:vAlign w:val="center"/>
          </w:tcPr>
          <w:p w14:paraId="70E7E085" w14:textId="77777777" w:rsidR="00595FA9" w:rsidRPr="00BC1ABD" w:rsidRDefault="00595FA9" w:rsidP="00595FA9">
            <w:pPr>
              <w:spacing w:after="120" w:line="252" w:lineRule="auto"/>
              <w:jc w:val="center"/>
              <w:rPr>
                <w:lang w:val="en-GB"/>
              </w:rPr>
            </w:pPr>
            <w:r w:rsidRPr="00BC1ABD">
              <w:rPr>
                <w:lang w:val="en-GB"/>
              </w:rPr>
              <w:t>26,376</w:t>
            </w:r>
          </w:p>
        </w:tc>
        <w:tc>
          <w:tcPr>
            <w:tcW w:w="1251" w:type="dxa"/>
          </w:tcPr>
          <w:p w14:paraId="0A9D435C" w14:textId="77777777" w:rsidR="00595FA9" w:rsidRPr="00BC1ABD" w:rsidRDefault="00595FA9" w:rsidP="00595FA9">
            <w:pPr>
              <w:spacing w:after="120" w:line="252" w:lineRule="auto"/>
              <w:jc w:val="center"/>
              <w:rPr>
                <w:lang w:val="en-GB"/>
              </w:rPr>
            </w:pPr>
            <w:r w:rsidRPr="00BC1ABD">
              <w:rPr>
                <w:lang w:val="en-GB"/>
              </w:rPr>
              <w:t>37,461</w:t>
            </w:r>
          </w:p>
        </w:tc>
        <w:tc>
          <w:tcPr>
            <w:tcW w:w="1474" w:type="dxa"/>
          </w:tcPr>
          <w:p w14:paraId="4E2DC968" w14:textId="77777777" w:rsidR="00595FA9" w:rsidRPr="00BC1ABD" w:rsidRDefault="00595FA9" w:rsidP="00595FA9">
            <w:pPr>
              <w:spacing w:after="120" w:line="252" w:lineRule="auto"/>
              <w:jc w:val="center"/>
              <w:rPr>
                <w:lang w:val="en-GB"/>
              </w:rPr>
            </w:pPr>
            <w:r w:rsidRPr="00BC1ABD">
              <w:rPr>
                <w:lang w:val="en-GB"/>
              </w:rPr>
              <w:t>23,453</w:t>
            </w:r>
          </w:p>
        </w:tc>
        <w:tc>
          <w:tcPr>
            <w:tcW w:w="1415" w:type="dxa"/>
          </w:tcPr>
          <w:p w14:paraId="4D948255" w14:textId="77777777" w:rsidR="00595FA9" w:rsidRPr="00BC1ABD" w:rsidRDefault="00595FA9" w:rsidP="00595FA9">
            <w:pPr>
              <w:spacing w:after="120" w:line="252" w:lineRule="auto"/>
              <w:jc w:val="center"/>
              <w:rPr>
                <w:lang w:val="en-GB"/>
              </w:rPr>
            </w:pPr>
            <w:r w:rsidRPr="00BC1ABD">
              <w:rPr>
                <w:lang w:val="en-GB"/>
              </w:rPr>
              <w:t>13,177</w:t>
            </w:r>
          </w:p>
        </w:tc>
        <w:tc>
          <w:tcPr>
            <w:tcW w:w="1415" w:type="dxa"/>
          </w:tcPr>
          <w:p w14:paraId="5558D1C4" w14:textId="77777777" w:rsidR="00595FA9" w:rsidRPr="00BC1ABD" w:rsidRDefault="00595FA9" w:rsidP="00595FA9">
            <w:pPr>
              <w:spacing w:after="120" w:line="252" w:lineRule="auto"/>
              <w:jc w:val="center"/>
              <w:rPr>
                <w:lang w:val="en-GB"/>
              </w:rPr>
            </w:pPr>
            <w:r w:rsidRPr="00BC1ABD">
              <w:rPr>
                <w:lang w:val="en-GB"/>
              </w:rPr>
              <w:t>28,970</w:t>
            </w:r>
          </w:p>
        </w:tc>
      </w:tr>
      <w:tr w:rsidR="00595FA9" w:rsidRPr="00BC1ABD" w14:paraId="380DD977" w14:textId="77777777" w:rsidTr="007363E3">
        <w:trPr>
          <w:jc w:val="center"/>
        </w:trPr>
        <w:tc>
          <w:tcPr>
            <w:tcW w:w="2537" w:type="dxa"/>
          </w:tcPr>
          <w:p w14:paraId="43CA0FD0" w14:textId="6780C54D" w:rsidR="00595FA9" w:rsidRPr="00BC1ABD" w:rsidRDefault="001A02CA" w:rsidP="00595FA9">
            <w:pPr>
              <w:spacing w:after="120" w:line="252" w:lineRule="auto"/>
              <w:jc w:val="center"/>
              <w:rPr>
                <w:lang w:val="en-GB"/>
              </w:rPr>
            </w:pPr>
            <w:r>
              <w:rPr>
                <w:lang w:val="en-GB"/>
              </w:rPr>
              <w:t>Akhali Kselebi</w:t>
            </w:r>
          </w:p>
        </w:tc>
        <w:tc>
          <w:tcPr>
            <w:tcW w:w="1417" w:type="dxa"/>
            <w:vAlign w:val="center"/>
          </w:tcPr>
          <w:p w14:paraId="39CD7209" w14:textId="77777777" w:rsidR="00595FA9" w:rsidRPr="00BC1ABD" w:rsidRDefault="00595FA9" w:rsidP="00595FA9">
            <w:pPr>
              <w:spacing w:after="120" w:line="252" w:lineRule="auto"/>
              <w:jc w:val="center"/>
              <w:rPr>
                <w:lang w:val="en-GB"/>
              </w:rPr>
            </w:pPr>
            <w:r w:rsidRPr="00BC1ABD">
              <w:rPr>
                <w:lang w:val="en-GB"/>
              </w:rPr>
              <w:t>22,941</w:t>
            </w:r>
          </w:p>
        </w:tc>
        <w:tc>
          <w:tcPr>
            <w:tcW w:w="1251" w:type="dxa"/>
          </w:tcPr>
          <w:p w14:paraId="199C8416" w14:textId="77777777" w:rsidR="00595FA9" w:rsidRPr="00BC1ABD" w:rsidRDefault="00595FA9" w:rsidP="00595FA9">
            <w:pPr>
              <w:spacing w:after="120" w:line="252" w:lineRule="auto"/>
              <w:jc w:val="center"/>
              <w:rPr>
                <w:lang w:val="en-GB"/>
              </w:rPr>
            </w:pPr>
            <w:r w:rsidRPr="00BC1ABD">
              <w:rPr>
                <w:lang w:val="en-GB"/>
              </w:rPr>
              <w:t>1,837</w:t>
            </w:r>
          </w:p>
        </w:tc>
        <w:tc>
          <w:tcPr>
            <w:tcW w:w="1474" w:type="dxa"/>
          </w:tcPr>
          <w:p w14:paraId="2483F80A" w14:textId="77777777" w:rsidR="00595FA9" w:rsidRPr="00BC1ABD" w:rsidRDefault="00595FA9" w:rsidP="00595FA9">
            <w:pPr>
              <w:spacing w:after="120" w:line="252" w:lineRule="auto"/>
              <w:jc w:val="center"/>
              <w:rPr>
                <w:lang w:val="en-GB"/>
              </w:rPr>
            </w:pPr>
            <w:r w:rsidRPr="00BC1ABD">
              <w:rPr>
                <w:lang w:val="en-GB"/>
              </w:rPr>
              <w:t>-7,277</w:t>
            </w:r>
          </w:p>
        </w:tc>
        <w:tc>
          <w:tcPr>
            <w:tcW w:w="1415" w:type="dxa"/>
          </w:tcPr>
          <w:p w14:paraId="75CF6C60" w14:textId="77777777" w:rsidR="00595FA9" w:rsidRPr="00BC1ABD" w:rsidRDefault="00595FA9" w:rsidP="00595FA9">
            <w:pPr>
              <w:spacing w:after="120" w:line="252" w:lineRule="auto"/>
              <w:jc w:val="center"/>
              <w:rPr>
                <w:lang w:val="en-GB"/>
              </w:rPr>
            </w:pPr>
            <w:r w:rsidRPr="00BC1ABD">
              <w:rPr>
                <w:lang w:val="en-GB"/>
              </w:rPr>
              <w:t>2,277</w:t>
            </w:r>
          </w:p>
        </w:tc>
        <w:tc>
          <w:tcPr>
            <w:tcW w:w="1415" w:type="dxa"/>
          </w:tcPr>
          <w:p w14:paraId="317D896D" w14:textId="77777777" w:rsidR="00595FA9" w:rsidRPr="00BC1ABD" w:rsidRDefault="00595FA9" w:rsidP="00595FA9">
            <w:pPr>
              <w:spacing w:after="120" w:line="252" w:lineRule="auto"/>
              <w:jc w:val="center"/>
              <w:rPr>
                <w:lang w:val="en-GB"/>
              </w:rPr>
            </w:pPr>
            <w:r w:rsidRPr="00BC1ABD">
              <w:rPr>
                <w:lang w:val="en-GB"/>
              </w:rPr>
              <w:t>2,706</w:t>
            </w:r>
          </w:p>
        </w:tc>
      </w:tr>
      <w:tr w:rsidR="00595FA9" w:rsidRPr="00BC1ABD" w14:paraId="5B7E5E04" w14:textId="77777777" w:rsidTr="007363E3">
        <w:trPr>
          <w:trHeight w:val="396"/>
          <w:jc w:val="center"/>
        </w:trPr>
        <w:tc>
          <w:tcPr>
            <w:tcW w:w="2537" w:type="dxa"/>
          </w:tcPr>
          <w:p w14:paraId="065C6CEC" w14:textId="77777777" w:rsidR="00595FA9" w:rsidRPr="00BC1ABD" w:rsidRDefault="00595FA9" w:rsidP="00595FA9">
            <w:pPr>
              <w:spacing w:after="120" w:line="252" w:lineRule="auto"/>
              <w:jc w:val="center"/>
              <w:rPr>
                <w:lang w:val="en-GB"/>
              </w:rPr>
            </w:pPr>
            <w:r w:rsidRPr="00BC1ABD">
              <w:rPr>
                <w:lang w:val="en-GB"/>
              </w:rPr>
              <w:t>Others</w:t>
            </w:r>
          </w:p>
        </w:tc>
        <w:tc>
          <w:tcPr>
            <w:tcW w:w="1417" w:type="dxa"/>
            <w:vAlign w:val="center"/>
          </w:tcPr>
          <w:p w14:paraId="22CB402D" w14:textId="77777777" w:rsidR="00595FA9" w:rsidRPr="00BC1ABD" w:rsidRDefault="00595FA9" w:rsidP="00595FA9">
            <w:pPr>
              <w:spacing w:after="120" w:line="252" w:lineRule="auto"/>
              <w:jc w:val="center"/>
              <w:rPr>
                <w:lang w:val="en-GB"/>
              </w:rPr>
            </w:pPr>
            <w:r w:rsidRPr="00BC1ABD">
              <w:rPr>
                <w:lang w:val="en-GB"/>
              </w:rPr>
              <w:t>3,125</w:t>
            </w:r>
          </w:p>
        </w:tc>
        <w:tc>
          <w:tcPr>
            <w:tcW w:w="1251" w:type="dxa"/>
            <w:vAlign w:val="center"/>
          </w:tcPr>
          <w:p w14:paraId="6A69B8CA" w14:textId="77777777" w:rsidR="00595FA9" w:rsidRPr="00BC1ABD" w:rsidRDefault="00595FA9" w:rsidP="00595FA9">
            <w:pPr>
              <w:spacing w:after="120" w:line="252" w:lineRule="auto"/>
              <w:jc w:val="center"/>
              <w:rPr>
                <w:lang w:val="en-GB"/>
              </w:rPr>
            </w:pPr>
            <w:r w:rsidRPr="00BC1ABD">
              <w:rPr>
                <w:lang w:val="en-GB"/>
              </w:rPr>
              <w:t>11,678</w:t>
            </w:r>
          </w:p>
        </w:tc>
        <w:tc>
          <w:tcPr>
            <w:tcW w:w="1474" w:type="dxa"/>
            <w:vAlign w:val="center"/>
          </w:tcPr>
          <w:p w14:paraId="74E3114B" w14:textId="77777777" w:rsidR="00595FA9" w:rsidRPr="00BC1ABD" w:rsidRDefault="00595FA9" w:rsidP="00595FA9">
            <w:pPr>
              <w:spacing w:after="120" w:line="252" w:lineRule="auto"/>
              <w:jc w:val="center"/>
              <w:rPr>
                <w:lang w:val="en-GB"/>
              </w:rPr>
            </w:pPr>
            <w:r w:rsidRPr="00BC1ABD">
              <w:rPr>
                <w:lang w:val="en-GB"/>
              </w:rPr>
              <w:t>12,531</w:t>
            </w:r>
          </w:p>
        </w:tc>
        <w:tc>
          <w:tcPr>
            <w:tcW w:w="1415" w:type="dxa"/>
            <w:vAlign w:val="center"/>
          </w:tcPr>
          <w:p w14:paraId="461B6A60" w14:textId="77777777" w:rsidR="00595FA9" w:rsidRPr="00BC1ABD" w:rsidRDefault="00595FA9" w:rsidP="00595FA9">
            <w:pPr>
              <w:spacing w:after="120" w:line="252" w:lineRule="auto"/>
              <w:jc w:val="center"/>
              <w:rPr>
                <w:lang w:val="en-GB"/>
              </w:rPr>
            </w:pPr>
            <w:r w:rsidRPr="00BC1ABD">
              <w:rPr>
                <w:lang w:val="en-GB"/>
              </w:rPr>
              <w:t>12,360</w:t>
            </w:r>
          </w:p>
        </w:tc>
        <w:tc>
          <w:tcPr>
            <w:tcW w:w="1415" w:type="dxa"/>
            <w:vAlign w:val="center"/>
          </w:tcPr>
          <w:p w14:paraId="24CCAFBB" w14:textId="77777777" w:rsidR="00595FA9" w:rsidRPr="00BC1ABD" w:rsidRDefault="00595FA9" w:rsidP="00595FA9">
            <w:pPr>
              <w:spacing w:after="120" w:line="252" w:lineRule="auto"/>
              <w:jc w:val="center"/>
              <w:rPr>
                <w:lang w:val="en-GB"/>
              </w:rPr>
            </w:pPr>
            <w:r w:rsidRPr="00BC1ABD">
              <w:rPr>
                <w:lang w:val="en-GB"/>
              </w:rPr>
              <w:t>16,342</w:t>
            </w:r>
          </w:p>
        </w:tc>
      </w:tr>
      <w:tr w:rsidR="00D759A2" w:rsidRPr="00BC1ABD" w14:paraId="41C495F3" w14:textId="77777777" w:rsidTr="00F26E8B">
        <w:trPr>
          <w:jc w:val="center"/>
        </w:trPr>
        <w:tc>
          <w:tcPr>
            <w:tcW w:w="2537" w:type="dxa"/>
            <w:shd w:val="clear" w:color="auto" w:fill="D0CECE" w:themeFill="background2" w:themeFillShade="E6"/>
          </w:tcPr>
          <w:p w14:paraId="19E9AB6D" w14:textId="77777777" w:rsidR="00595FA9" w:rsidRPr="00BC1ABD" w:rsidRDefault="00595FA9" w:rsidP="00595FA9">
            <w:pPr>
              <w:spacing w:after="120" w:line="252" w:lineRule="auto"/>
              <w:jc w:val="center"/>
              <w:rPr>
                <w:lang w:val="en-GB"/>
              </w:rPr>
            </w:pPr>
            <w:r w:rsidRPr="00BC1ABD">
              <w:rPr>
                <w:lang w:val="en-GB"/>
              </w:rPr>
              <w:t>TOTAL</w:t>
            </w:r>
          </w:p>
        </w:tc>
        <w:tc>
          <w:tcPr>
            <w:tcW w:w="1417" w:type="dxa"/>
            <w:shd w:val="clear" w:color="auto" w:fill="D0CECE" w:themeFill="background2" w:themeFillShade="E6"/>
            <w:vAlign w:val="center"/>
          </w:tcPr>
          <w:p w14:paraId="3462449F" w14:textId="77777777" w:rsidR="00595FA9" w:rsidRPr="00BC1ABD" w:rsidRDefault="00595FA9" w:rsidP="00595FA9">
            <w:pPr>
              <w:spacing w:after="120" w:line="252" w:lineRule="auto"/>
              <w:jc w:val="center"/>
              <w:rPr>
                <w:lang w:val="en-GB"/>
              </w:rPr>
            </w:pPr>
            <w:r w:rsidRPr="00BC1ABD">
              <w:rPr>
                <w:lang w:val="en-GB"/>
              </w:rPr>
              <w:t xml:space="preserve">132,618 </w:t>
            </w:r>
          </w:p>
        </w:tc>
        <w:tc>
          <w:tcPr>
            <w:tcW w:w="1251" w:type="dxa"/>
            <w:shd w:val="clear" w:color="auto" w:fill="D0CECE" w:themeFill="background2" w:themeFillShade="E6"/>
            <w:vAlign w:val="center"/>
          </w:tcPr>
          <w:p w14:paraId="38EF614D" w14:textId="77777777" w:rsidR="00595FA9" w:rsidRPr="00BC1ABD" w:rsidRDefault="00595FA9" w:rsidP="00595FA9">
            <w:pPr>
              <w:spacing w:after="120" w:line="252" w:lineRule="auto"/>
              <w:jc w:val="center"/>
              <w:rPr>
                <w:lang w:val="en-GB"/>
              </w:rPr>
            </w:pPr>
            <w:r w:rsidRPr="00BC1ABD">
              <w:rPr>
                <w:lang w:val="en-GB"/>
              </w:rPr>
              <w:t xml:space="preserve">115,857 </w:t>
            </w:r>
          </w:p>
        </w:tc>
        <w:tc>
          <w:tcPr>
            <w:tcW w:w="1474" w:type="dxa"/>
            <w:shd w:val="clear" w:color="auto" w:fill="D0CECE" w:themeFill="background2" w:themeFillShade="E6"/>
            <w:vAlign w:val="center"/>
          </w:tcPr>
          <w:p w14:paraId="5274A322" w14:textId="77777777" w:rsidR="00595FA9" w:rsidRPr="00BC1ABD" w:rsidRDefault="00595FA9" w:rsidP="00595FA9">
            <w:pPr>
              <w:spacing w:after="120" w:line="252" w:lineRule="auto"/>
              <w:jc w:val="center"/>
              <w:rPr>
                <w:lang w:val="en-GB"/>
              </w:rPr>
            </w:pPr>
            <w:r w:rsidRPr="00BC1ABD">
              <w:rPr>
                <w:lang w:val="en-GB"/>
              </w:rPr>
              <w:t xml:space="preserve">56,357 </w:t>
            </w:r>
          </w:p>
        </w:tc>
        <w:tc>
          <w:tcPr>
            <w:tcW w:w="1415" w:type="dxa"/>
            <w:shd w:val="clear" w:color="auto" w:fill="D0CECE" w:themeFill="background2" w:themeFillShade="E6"/>
            <w:vAlign w:val="center"/>
          </w:tcPr>
          <w:p w14:paraId="5FA33939" w14:textId="77777777" w:rsidR="00595FA9" w:rsidRPr="00BC1ABD" w:rsidRDefault="00595FA9" w:rsidP="00595FA9">
            <w:pPr>
              <w:spacing w:after="120" w:line="252" w:lineRule="auto"/>
              <w:jc w:val="center"/>
              <w:rPr>
                <w:lang w:val="en-GB"/>
              </w:rPr>
            </w:pPr>
            <w:r w:rsidRPr="00BC1ABD">
              <w:rPr>
                <w:lang w:val="en-GB"/>
              </w:rPr>
              <w:t xml:space="preserve">44,333 </w:t>
            </w:r>
          </w:p>
        </w:tc>
        <w:tc>
          <w:tcPr>
            <w:tcW w:w="1415" w:type="dxa"/>
            <w:shd w:val="clear" w:color="auto" w:fill="D0CECE" w:themeFill="background2" w:themeFillShade="E6"/>
            <w:vAlign w:val="center"/>
          </w:tcPr>
          <w:p w14:paraId="13D732CD" w14:textId="77777777" w:rsidR="00595FA9" w:rsidRPr="00BC1ABD" w:rsidRDefault="00595FA9" w:rsidP="00595FA9">
            <w:pPr>
              <w:spacing w:after="120" w:line="252" w:lineRule="auto"/>
              <w:jc w:val="center"/>
              <w:rPr>
                <w:lang w:val="en-GB"/>
              </w:rPr>
            </w:pPr>
            <w:r w:rsidRPr="00BC1ABD">
              <w:rPr>
                <w:lang w:val="en-GB"/>
              </w:rPr>
              <w:t xml:space="preserve">70,739 </w:t>
            </w:r>
          </w:p>
        </w:tc>
      </w:tr>
    </w:tbl>
    <w:p w14:paraId="2DB95CF3" w14:textId="77777777" w:rsidR="00595FA9" w:rsidRPr="00BC1ABD" w:rsidRDefault="00595FA9" w:rsidP="00595FA9">
      <w:pPr>
        <w:spacing w:after="160" w:line="256"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Derived from ComCom data</w:t>
      </w:r>
    </w:p>
    <w:p w14:paraId="3B2FAFAB" w14:textId="209A9DEE"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Figure </w:t>
      </w:r>
      <w:r w:rsidR="00742D0E">
        <w:rPr>
          <w:rFonts w:asciiTheme="minorHAnsi" w:hAnsiTheme="minorHAnsi" w:cstheme="minorHAnsi"/>
          <w:sz w:val="24"/>
          <w:szCs w:val="24"/>
          <w:lang w:val="en-GB"/>
        </w:rPr>
        <w:t>51</w:t>
      </w:r>
      <w:r w:rsidRPr="00BC1ABD">
        <w:rPr>
          <w:rFonts w:asciiTheme="minorHAnsi" w:hAnsiTheme="minorHAnsi" w:cstheme="minorHAnsi"/>
          <w:sz w:val="24"/>
          <w:szCs w:val="24"/>
          <w:lang w:val="en-GB"/>
        </w:rPr>
        <w:t xml:space="preserve"> shows that Magticom’s share of the net growth in higher-speed broadband subscriptions has fallen from 61% in 2018 to 32% in 2022. Silknet has broadly doubled its share of market growth from 20% to 41% over the same period. </w:t>
      </w:r>
      <w:r w:rsidR="000F5A70" w:rsidRPr="00BC1ABD">
        <w:rPr>
          <w:rFonts w:eastAsia="Times New Roman" w:cs="Arial"/>
          <w:sz w:val="24"/>
          <w:szCs w:val="24"/>
          <w:lang w:val="en-GB"/>
        </w:rPr>
        <w:t>Akhali Kselebi</w:t>
      </w:r>
      <w:r w:rsidR="000F5A70">
        <w:rPr>
          <w:rFonts w:eastAsia="Times New Roman" w:cs="Arial"/>
          <w:sz w:val="24"/>
          <w:szCs w:val="24"/>
          <w:lang w:val="en-GB"/>
        </w:rPr>
        <w:t>’s</w:t>
      </w:r>
      <w:r w:rsidR="000F5A70" w:rsidRPr="00BC1ABD">
        <w:rPr>
          <w:rFonts w:eastAsia="Times New Roman" w:cs="Arial"/>
          <w:sz w:val="24"/>
          <w:szCs w:val="24"/>
          <w:lang w:val="en-GB"/>
        </w:rPr>
        <w:t xml:space="preserve"> </w:t>
      </w:r>
      <w:r w:rsidR="000F5A70">
        <w:rPr>
          <w:rFonts w:eastAsia="Times New Roman" w:cs="Arial"/>
          <w:sz w:val="24"/>
          <w:szCs w:val="24"/>
          <w:lang w:val="en-GB"/>
        </w:rPr>
        <w:t>(</w:t>
      </w:r>
      <w:r w:rsidRPr="00BC1ABD">
        <w:rPr>
          <w:rFonts w:asciiTheme="minorHAnsi" w:hAnsiTheme="minorHAnsi" w:cstheme="minorHAnsi"/>
          <w:sz w:val="24"/>
          <w:szCs w:val="24"/>
          <w:lang w:val="en-GB"/>
        </w:rPr>
        <w:t>NewNet</w:t>
      </w:r>
      <w:r w:rsidR="000F5A70">
        <w:rPr>
          <w:rFonts w:asciiTheme="minorHAnsi" w:hAnsiTheme="minorHAnsi" w:cstheme="minorHAnsi"/>
          <w:sz w:val="24"/>
          <w:szCs w:val="24"/>
          <w:lang w:val="en-GB"/>
        </w:rPr>
        <w:t>)</w:t>
      </w:r>
      <w:r w:rsidRPr="00BC1ABD">
        <w:rPr>
          <w:rFonts w:asciiTheme="minorHAnsi" w:hAnsiTheme="minorHAnsi" w:cstheme="minorHAnsi"/>
          <w:sz w:val="24"/>
          <w:szCs w:val="24"/>
          <w:lang w:val="en-GB"/>
        </w:rPr>
        <w:t xml:space="preserve"> added subscribers have fallen from 17% of total market growth to less than 3%. Together, all other operators have increased their share of growth from 2.4% in 2018 to 23% </w:t>
      </w:r>
      <w:r w:rsidR="000A4558" w:rsidRPr="00BC1ABD">
        <w:rPr>
          <w:rFonts w:asciiTheme="minorHAnsi" w:hAnsiTheme="minorHAnsi" w:cstheme="minorHAnsi"/>
          <w:sz w:val="24"/>
          <w:szCs w:val="24"/>
          <w:lang w:val="en-GB"/>
        </w:rPr>
        <w:t>i</w:t>
      </w:r>
      <w:r w:rsidRPr="00BC1ABD">
        <w:rPr>
          <w:rFonts w:asciiTheme="minorHAnsi" w:hAnsiTheme="minorHAnsi" w:cstheme="minorHAnsi"/>
          <w:sz w:val="24"/>
          <w:szCs w:val="24"/>
          <w:lang w:val="en-GB"/>
        </w:rPr>
        <w:t xml:space="preserve">n 2022. </w:t>
      </w:r>
    </w:p>
    <w:p w14:paraId="2F730159" w14:textId="700ECF2F"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Although this analysis (from Figure </w:t>
      </w:r>
      <w:r w:rsidR="00742D0E">
        <w:rPr>
          <w:rFonts w:asciiTheme="minorHAnsi" w:hAnsiTheme="minorHAnsi" w:cstheme="minorHAnsi"/>
          <w:sz w:val="24"/>
          <w:szCs w:val="24"/>
          <w:lang w:val="en-GB"/>
        </w:rPr>
        <w:t>51</w:t>
      </w:r>
      <w:r w:rsidRPr="00BC1ABD">
        <w:rPr>
          <w:rFonts w:asciiTheme="minorHAnsi" w:hAnsiTheme="minorHAnsi" w:cstheme="minorHAnsi"/>
          <w:sz w:val="24"/>
          <w:szCs w:val="24"/>
          <w:lang w:val="en-GB"/>
        </w:rPr>
        <w:t xml:space="preserve">) shows some competitive dynamics in the retail higher-speed fixed broadband market, Magticom is not significantly losing subscribers by their switching to its competitors, instead Magticom is gaining a lower share of new market growth. It is considered that in projecting this trend forward, even if Magticom’s share of the overall added subscribers to the market fell to zero (i.e. Magticom ceased to grow its subscriber base), then Magticom’s overall market share </w:t>
      </w:r>
      <w:r w:rsidR="00320E4A" w:rsidRPr="00BC1ABD">
        <w:rPr>
          <w:rFonts w:asciiTheme="minorHAnsi" w:hAnsiTheme="minorHAnsi" w:cstheme="minorHAnsi"/>
          <w:sz w:val="24"/>
          <w:szCs w:val="24"/>
          <w:lang w:val="en-GB"/>
        </w:rPr>
        <w:t>c</w:t>
      </w:r>
      <w:r w:rsidRPr="00BC1ABD">
        <w:rPr>
          <w:rFonts w:asciiTheme="minorHAnsi" w:hAnsiTheme="minorHAnsi" w:cstheme="minorHAnsi"/>
          <w:sz w:val="24"/>
          <w:szCs w:val="24"/>
          <w:lang w:val="en-GB"/>
        </w:rPr>
        <w:t>ould still remain as high as 50%</w:t>
      </w:r>
      <w:r w:rsidR="00205A0F" w:rsidRPr="00BC1ABD">
        <w:rPr>
          <w:rFonts w:asciiTheme="minorHAnsi" w:hAnsiTheme="minorHAnsi" w:cstheme="minorHAnsi"/>
          <w:sz w:val="24"/>
          <w:szCs w:val="24"/>
          <w:lang w:val="en-GB"/>
        </w:rPr>
        <w:t xml:space="preserve">, by </w:t>
      </w:r>
      <w:r w:rsidR="00B04D14" w:rsidRPr="00BC1ABD">
        <w:rPr>
          <w:rFonts w:asciiTheme="minorHAnsi" w:hAnsiTheme="minorHAnsi" w:cstheme="minorHAnsi"/>
          <w:sz w:val="24"/>
          <w:szCs w:val="24"/>
          <w:lang w:val="en-GB"/>
        </w:rPr>
        <w:t>the end of the forward</w:t>
      </w:r>
      <w:r w:rsidR="00C37261" w:rsidRPr="00BC1ABD">
        <w:rPr>
          <w:rFonts w:asciiTheme="minorHAnsi" w:hAnsiTheme="minorHAnsi" w:cstheme="minorHAnsi"/>
          <w:sz w:val="24"/>
          <w:szCs w:val="24"/>
          <w:lang w:val="en-GB"/>
        </w:rPr>
        <w:t>-</w:t>
      </w:r>
      <w:r w:rsidR="00B04D14" w:rsidRPr="00BC1ABD">
        <w:rPr>
          <w:rFonts w:asciiTheme="minorHAnsi" w:hAnsiTheme="minorHAnsi" w:cstheme="minorHAnsi"/>
          <w:sz w:val="24"/>
          <w:szCs w:val="24"/>
          <w:lang w:val="en-GB"/>
        </w:rPr>
        <w:t>looking time period of this analysis (2026)</w:t>
      </w:r>
      <w:r w:rsidRPr="00BC1ABD">
        <w:rPr>
          <w:rFonts w:asciiTheme="minorHAnsi" w:hAnsiTheme="minorHAnsi" w:cstheme="minorHAnsi"/>
          <w:sz w:val="24"/>
          <w:szCs w:val="24"/>
          <w:lang w:val="en-GB"/>
        </w:rPr>
        <w:t xml:space="preserve">. </w:t>
      </w:r>
    </w:p>
    <w:p w14:paraId="6A077F15" w14:textId="1C989D46" w:rsidR="00595FA9" w:rsidRPr="00BC1ABD" w:rsidRDefault="00595FA9" w:rsidP="00595FA9">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In 2022, there was an upturn in overall market growth and Magticom (along with all other </w:t>
      </w:r>
      <w:r w:rsidR="00F026B4">
        <w:rPr>
          <w:rFonts w:asciiTheme="minorHAnsi" w:hAnsiTheme="minorHAnsi" w:cstheme="minorHAnsi"/>
          <w:sz w:val="24"/>
          <w:szCs w:val="24"/>
          <w:lang w:val="en-GB"/>
        </w:rPr>
        <w:t>FTTx</w:t>
      </w:r>
      <w:r w:rsidRPr="00BC1ABD">
        <w:rPr>
          <w:rFonts w:asciiTheme="minorHAnsi" w:hAnsiTheme="minorHAnsi" w:cstheme="minorHAnsi"/>
          <w:sz w:val="24"/>
          <w:szCs w:val="24"/>
          <w:lang w:val="en-GB"/>
        </w:rPr>
        <w:t xml:space="preserve"> operators) continued to increase their higher-speed fixed broadband subscriptions</w:t>
      </w:r>
      <w:r w:rsidR="00475817" w:rsidRPr="00BC1ABD">
        <w:rPr>
          <w:rFonts w:asciiTheme="minorHAnsi" w:hAnsiTheme="minorHAnsi" w:cstheme="minorHAnsi"/>
          <w:sz w:val="24"/>
          <w:szCs w:val="24"/>
          <w:lang w:val="en-GB"/>
        </w:rPr>
        <w:t xml:space="preserve"> customer base</w:t>
      </w:r>
      <w:r w:rsidRPr="00BC1ABD">
        <w:rPr>
          <w:rFonts w:asciiTheme="minorHAnsi" w:hAnsiTheme="minorHAnsi" w:cstheme="minorHAnsi"/>
          <w:sz w:val="24"/>
          <w:szCs w:val="24"/>
          <w:lang w:val="en-GB"/>
        </w:rPr>
        <w:t xml:space="preserve">. It is considered that the strong growth rate in the higher-speed retail broadband market will continue as more premises are connected to </w:t>
      </w:r>
      <w:r w:rsidR="00F026B4">
        <w:rPr>
          <w:rFonts w:asciiTheme="minorHAnsi" w:hAnsiTheme="minorHAnsi" w:cstheme="minorHAnsi"/>
          <w:sz w:val="24"/>
          <w:szCs w:val="24"/>
          <w:lang w:val="en-GB"/>
        </w:rPr>
        <w:t>FTTx</w:t>
      </w:r>
      <w:r w:rsidRPr="00BC1ABD">
        <w:rPr>
          <w:rFonts w:asciiTheme="minorHAnsi" w:hAnsiTheme="minorHAnsi" w:cstheme="minorHAnsi"/>
          <w:sz w:val="24"/>
          <w:szCs w:val="24"/>
          <w:lang w:val="en-GB"/>
        </w:rPr>
        <w:t xml:space="preserve"> networks and many existing basic broadband subscribers migrate to higher-speed usage.</w:t>
      </w:r>
    </w:p>
    <w:p w14:paraId="3CA33AF8" w14:textId="695716EB" w:rsidR="00595FA9" w:rsidRPr="00BC1ABD" w:rsidRDefault="00595FA9" w:rsidP="00536D58">
      <w:pPr>
        <w:spacing w:after="160" w:line="256" w:lineRule="auto"/>
        <w:jc w:val="both"/>
        <w:rPr>
          <w:sz w:val="24"/>
          <w:szCs w:val="24"/>
          <w:lang w:val="en-GB"/>
        </w:rPr>
      </w:pPr>
      <w:r w:rsidRPr="00BC1ABD">
        <w:rPr>
          <w:sz w:val="24"/>
          <w:szCs w:val="24"/>
          <w:lang w:val="en-GB"/>
        </w:rPr>
        <w:t xml:space="preserve">Based on the trends given in Figures </w:t>
      </w:r>
      <w:r w:rsidR="00742D0E">
        <w:rPr>
          <w:sz w:val="24"/>
          <w:szCs w:val="24"/>
          <w:lang w:val="en-GB"/>
        </w:rPr>
        <w:t>50</w:t>
      </w:r>
      <w:r w:rsidRPr="00BC1ABD">
        <w:rPr>
          <w:sz w:val="24"/>
          <w:szCs w:val="24"/>
          <w:lang w:val="en-GB"/>
        </w:rPr>
        <w:t xml:space="preserve"> and </w:t>
      </w:r>
      <w:r w:rsidR="00742D0E">
        <w:rPr>
          <w:sz w:val="24"/>
          <w:szCs w:val="24"/>
          <w:lang w:val="en-GB"/>
        </w:rPr>
        <w:t>51</w:t>
      </w:r>
      <w:r w:rsidRPr="00BC1ABD">
        <w:rPr>
          <w:sz w:val="24"/>
          <w:szCs w:val="24"/>
          <w:lang w:val="en-GB"/>
        </w:rPr>
        <w:t xml:space="preserve">, it is considered unlikely that Magticom’s retail market share for higher speed fixed broadband services (at 54.8% in 2022) will fall below 50%. In any case, </w:t>
      </w:r>
      <w:r w:rsidR="00536D58">
        <w:rPr>
          <w:sz w:val="24"/>
          <w:szCs w:val="24"/>
          <w:lang w:val="en-GB"/>
        </w:rPr>
        <w:t>according to</w:t>
      </w:r>
      <w:r w:rsidR="00536D58" w:rsidRPr="00BC1ABD">
        <w:rPr>
          <w:sz w:val="24"/>
          <w:szCs w:val="24"/>
          <w:lang w:val="en-GB"/>
        </w:rPr>
        <w:t xml:space="preserve"> </w:t>
      </w:r>
      <w:r w:rsidRPr="00BC1ABD">
        <w:rPr>
          <w:sz w:val="24"/>
          <w:szCs w:val="24"/>
          <w:lang w:val="en-GB"/>
        </w:rPr>
        <w:t>Article 2</w:t>
      </w:r>
      <w:r w:rsidR="00536D58">
        <w:rPr>
          <w:sz w:val="24"/>
          <w:szCs w:val="24"/>
          <w:lang w:val="en-GB"/>
        </w:rPr>
        <w:t>2 (</w:t>
      </w:r>
      <w:r w:rsidRPr="00BC1ABD">
        <w:rPr>
          <w:sz w:val="24"/>
          <w:szCs w:val="24"/>
          <w:lang w:val="en-GB"/>
        </w:rPr>
        <w:t>1</w:t>
      </w:r>
      <w:r w:rsidR="00536D58">
        <w:rPr>
          <w:sz w:val="24"/>
          <w:szCs w:val="24"/>
          <w:lang w:val="en-GB"/>
        </w:rPr>
        <w:t xml:space="preserve">2) </w:t>
      </w:r>
      <w:r w:rsidRPr="00BC1ABD">
        <w:rPr>
          <w:sz w:val="24"/>
          <w:szCs w:val="24"/>
          <w:lang w:val="en-GB"/>
        </w:rPr>
        <w:t xml:space="preserve">of </w:t>
      </w:r>
      <w:r w:rsidR="00536D58">
        <w:rPr>
          <w:sz w:val="24"/>
          <w:szCs w:val="24"/>
          <w:lang w:val="en-GB"/>
        </w:rPr>
        <w:t xml:space="preserve">the law </w:t>
      </w:r>
      <w:r w:rsidRPr="00BC1ABD">
        <w:rPr>
          <w:i/>
          <w:iCs/>
          <w:sz w:val="24"/>
          <w:szCs w:val="24"/>
          <w:lang w:val="en-GB"/>
        </w:rPr>
        <w:t>“..</w:t>
      </w:r>
      <w:r w:rsidR="00536D58" w:rsidRPr="00D759A2">
        <w:rPr>
          <w:lang w:val="en-US"/>
        </w:rPr>
        <w:t xml:space="preserve"> </w:t>
      </w:r>
      <w:r w:rsidR="00536D58" w:rsidRPr="00536D58">
        <w:rPr>
          <w:i/>
          <w:iCs/>
          <w:sz w:val="24"/>
          <w:szCs w:val="24"/>
          <w:lang w:val="en-GB"/>
        </w:rPr>
        <w:t>In designating an authorised person as having significant market power in a relevant segment of the service market and in imposing specific</w:t>
      </w:r>
      <w:r w:rsidR="00536D58">
        <w:rPr>
          <w:i/>
          <w:iCs/>
          <w:sz w:val="24"/>
          <w:szCs w:val="24"/>
          <w:lang w:val="en-GB"/>
        </w:rPr>
        <w:t xml:space="preserve"> </w:t>
      </w:r>
      <w:r w:rsidR="00536D58" w:rsidRPr="00536D58">
        <w:rPr>
          <w:i/>
          <w:iCs/>
          <w:sz w:val="24"/>
          <w:szCs w:val="24"/>
          <w:lang w:val="en-GB"/>
        </w:rPr>
        <w:t>obligations on such person, in addition to the primary criteria, use shall be made of secondary criteria which, in accordance with primary criteria,</w:t>
      </w:r>
      <w:r w:rsidR="00536D58">
        <w:rPr>
          <w:i/>
          <w:iCs/>
          <w:sz w:val="24"/>
          <w:szCs w:val="24"/>
          <w:lang w:val="en-GB"/>
        </w:rPr>
        <w:t xml:space="preserve"> </w:t>
      </w:r>
      <w:r w:rsidR="00536D58" w:rsidRPr="00536D58">
        <w:rPr>
          <w:i/>
          <w:iCs/>
          <w:sz w:val="24"/>
          <w:szCs w:val="24"/>
          <w:lang w:val="en-GB"/>
        </w:rPr>
        <w:t>objectively determines the possibilities of persons with significant market power to restrict competition and carry out noncompetitive actions in the</w:t>
      </w:r>
      <w:r w:rsidR="00536D58">
        <w:rPr>
          <w:i/>
          <w:iCs/>
          <w:sz w:val="24"/>
          <w:szCs w:val="24"/>
          <w:lang w:val="en-GB"/>
        </w:rPr>
        <w:t xml:space="preserve"> </w:t>
      </w:r>
      <w:r w:rsidR="00536D58" w:rsidRPr="00536D58">
        <w:rPr>
          <w:i/>
          <w:iCs/>
          <w:sz w:val="24"/>
          <w:szCs w:val="24"/>
          <w:lang w:val="en-GB"/>
        </w:rPr>
        <w:t>relevant segment of the service market</w:t>
      </w:r>
      <w:r w:rsidR="00536D58" w:rsidRPr="00536D58" w:rsidDel="00536D58">
        <w:rPr>
          <w:i/>
          <w:iCs/>
          <w:sz w:val="24"/>
          <w:szCs w:val="24"/>
          <w:lang w:val="en-GB"/>
        </w:rPr>
        <w:t xml:space="preserve"> </w:t>
      </w:r>
      <w:r w:rsidRPr="00BC1ABD">
        <w:rPr>
          <w:i/>
          <w:iCs/>
          <w:sz w:val="24"/>
          <w:szCs w:val="24"/>
          <w:lang w:val="en-GB"/>
        </w:rPr>
        <w:t>”</w:t>
      </w:r>
      <w:r w:rsidR="003F7DA5" w:rsidRPr="00BC1ABD">
        <w:rPr>
          <w:sz w:val="24"/>
          <w:szCs w:val="24"/>
          <w:lang w:val="en-GB"/>
        </w:rPr>
        <w:t xml:space="preserve">, </w:t>
      </w:r>
      <w:r w:rsidR="00536D58">
        <w:rPr>
          <w:sz w:val="24"/>
          <w:szCs w:val="24"/>
          <w:lang w:val="en-GB"/>
        </w:rPr>
        <w:t xml:space="preserve">Therefore, elements </w:t>
      </w:r>
      <w:r w:rsidR="003F7DA5" w:rsidRPr="00BC1ABD">
        <w:rPr>
          <w:sz w:val="24"/>
          <w:szCs w:val="24"/>
          <w:lang w:val="en-GB"/>
        </w:rPr>
        <w:t>o</w:t>
      </w:r>
      <w:r w:rsidRPr="00BC1ABD">
        <w:rPr>
          <w:sz w:val="24"/>
          <w:szCs w:val="24"/>
          <w:lang w:val="en-GB"/>
        </w:rPr>
        <w:t xml:space="preserve">ther </w:t>
      </w:r>
      <w:r w:rsidR="00536D58">
        <w:rPr>
          <w:sz w:val="24"/>
          <w:szCs w:val="24"/>
          <w:lang w:val="en-GB"/>
        </w:rPr>
        <w:t>than the market shares</w:t>
      </w:r>
      <w:r w:rsidR="00536D58" w:rsidRPr="00BC1ABD">
        <w:rPr>
          <w:sz w:val="24"/>
          <w:szCs w:val="24"/>
          <w:lang w:val="en-GB"/>
        </w:rPr>
        <w:t xml:space="preserve"> </w:t>
      </w:r>
      <w:r w:rsidRPr="00BC1ABD">
        <w:rPr>
          <w:sz w:val="24"/>
          <w:szCs w:val="24"/>
          <w:lang w:val="en-GB"/>
        </w:rPr>
        <w:t>should also be considered</w:t>
      </w:r>
      <w:r w:rsidR="00B71B90" w:rsidRPr="00BC1ABD">
        <w:rPr>
          <w:sz w:val="24"/>
          <w:szCs w:val="24"/>
          <w:lang w:val="en-GB"/>
        </w:rPr>
        <w:t xml:space="preserve"> </w:t>
      </w:r>
      <w:r w:rsidR="00390074" w:rsidRPr="00BC1ABD">
        <w:rPr>
          <w:sz w:val="24"/>
          <w:szCs w:val="24"/>
          <w:lang w:val="en-GB"/>
        </w:rPr>
        <w:t>(see</w:t>
      </w:r>
      <w:r w:rsidR="00B71B90" w:rsidRPr="00BC1ABD">
        <w:rPr>
          <w:sz w:val="24"/>
          <w:szCs w:val="24"/>
          <w:lang w:val="en-GB"/>
        </w:rPr>
        <w:t xml:space="preserve"> Chapters </w:t>
      </w:r>
      <w:r w:rsidR="00A63518">
        <w:rPr>
          <w:sz w:val="24"/>
          <w:szCs w:val="24"/>
          <w:lang w:val="en-GB"/>
        </w:rPr>
        <w:t>5</w:t>
      </w:r>
      <w:r w:rsidR="00B71B90" w:rsidRPr="00BC1ABD">
        <w:rPr>
          <w:sz w:val="24"/>
          <w:szCs w:val="24"/>
          <w:lang w:val="en-GB"/>
        </w:rPr>
        <w:t>.</w:t>
      </w:r>
      <w:r w:rsidR="00781F7B" w:rsidRPr="00BC1ABD">
        <w:rPr>
          <w:sz w:val="24"/>
          <w:szCs w:val="24"/>
          <w:lang w:val="en-GB"/>
        </w:rPr>
        <w:t>3</w:t>
      </w:r>
      <w:r w:rsidR="00B71B90" w:rsidRPr="00BC1ABD">
        <w:rPr>
          <w:sz w:val="24"/>
          <w:szCs w:val="24"/>
          <w:lang w:val="en-GB"/>
        </w:rPr>
        <w:t xml:space="preserve">.2 to </w:t>
      </w:r>
      <w:r w:rsidR="00A63518">
        <w:rPr>
          <w:sz w:val="24"/>
          <w:szCs w:val="24"/>
          <w:lang w:val="en-GB"/>
        </w:rPr>
        <w:t>5</w:t>
      </w:r>
      <w:r w:rsidR="00B71B90" w:rsidRPr="00BC1ABD">
        <w:rPr>
          <w:sz w:val="24"/>
          <w:szCs w:val="24"/>
          <w:lang w:val="en-GB"/>
        </w:rPr>
        <w:t>.</w:t>
      </w:r>
      <w:r w:rsidR="00781F7B" w:rsidRPr="00BC1ABD">
        <w:rPr>
          <w:sz w:val="24"/>
          <w:szCs w:val="24"/>
          <w:lang w:val="en-GB"/>
        </w:rPr>
        <w:t>3</w:t>
      </w:r>
      <w:r w:rsidR="00B71B90" w:rsidRPr="00BC1ABD">
        <w:rPr>
          <w:sz w:val="24"/>
          <w:szCs w:val="24"/>
          <w:lang w:val="en-GB"/>
        </w:rPr>
        <w:t>.10</w:t>
      </w:r>
      <w:r w:rsidR="00390074" w:rsidRPr="00BC1ABD">
        <w:rPr>
          <w:sz w:val="24"/>
          <w:szCs w:val="24"/>
          <w:lang w:val="en-GB"/>
        </w:rPr>
        <w:t>)</w:t>
      </w:r>
      <w:r w:rsidR="00B71B90" w:rsidRPr="00BC1ABD">
        <w:rPr>
          <w:sz w:val="24"/>
          <w:szCs w:val="24"/>
          <w:lang w:val="en-GB"/>
        </w:rPr>
        <w:t>.</w:t>
      </w:r>
    </w:p>
    <w:p w14:paraId="5D1A1CF9" w14:textId="583DDFB1" w:rsidR="00595FA9" w:rsidRPr="00BC1ABD" w:rsidRDefault="00595FA9"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67" w:name="_Toc169258955"/>
      <w:r w:rsidRPr="00BC1ABD">
        <w:rPr>
          <w:rFonts w:asciiTheme="minorHAnsi" w:hAnsiTheme="minorHAnsi" w:cstheme="minorHAnsi"/>
          <w:b w:val="0"/>
          <w:bCs w:val="0"/>
          <w:sz w:val="24"/>
          <w:szCs w:val="24"/>
          <w:lang w:val="en-GB"/>
        </w:rPr>
        <w:t>Absolute and relative size of the operators</w:t>
      </w:r>
      <w:bookmarkEnd w:id="267"/>
    </w:p>
    <w:p w14:paraId="4DD67757" w14:textId="1FDA1482" w:rsidR="00595FA9" w:rsidRPr="00EE28FF" w:rsidRDefault="00536D58" w:rsidP="00EE28FF">
      <w:pPr>
        <w:spacing w:before="240" w:after="0"/>
        <w:jc w:val="both"/>
        <w:rPr>
          <w:sz w:val="24"/>
          <w:szCs w:val="24"/>
          <w:lang w:val="en-GB"/>
        </w:rPr>
      </w:pPr>
      <w:r w:rsidRPr="007F6CD9">
        <w:rPr>
          <w:sz w:val="24"/>
          <w:szCs w:val="24"/>
          <w:lang w:val="en-GB"/>
        </w:rPr>
        <w:t xml:space="preserve">As already mentioned, </w:t>
      </w:r>
      <w:r w:rsidR="00595FA9" w:rsidRPr="007F6CD9">
        <w:rPr>
          <w:sz w:val="24"/>
          <w:szCs w:val="24"/>
          <w:lang w:val="en-GB"/>
        </w:rPr>
        <w:t xml:space="preserve">Article </w:t>
      </w:r>
      <w:r w:rsidRPr="007F6CD9">
        <w:rPr>
          <w:sz w:val="24"/>
          <w:szCs w:val="24"/>
          <w:lang w:val="en-GB"/>
        </w:rPr>
        <w:t>1</w:t>
      </w:r>
      <w:r w:rsidR="00986F61">
        <w:rPr>
          <w:sz w:val="24"/>
          <w:szCs w:val="24"/>
          <w:lang w:val="en-GB"/>
        </w:rPr>
        <w:t>5</w:t>
      </w:r>
      <w:r w:rsidR="00804D47" w:rsidRPr="007F6CD9">
        <w:rPr>
          <w:sz w:val="24"/>
          <w:szCs w:val="24"/>
          <w:lang w:val="en-GB"/>
        </w:rPr>
        <w:t>(</w:t>
      </w:r>
      <w:r w:rsidR="007F6CD9" w:rsidRPr="007F6CD9">
        <w:rPr>
          <w:sz w:val="24"/>
          <w:szCs w:val="24"/>
          <w:lang w:val="en-GB"/>
        </w:rPr>
        <w:t>2</w:t>
      </w:r>
      <w:r w:rsidR="00804D47" w:rsidRPr="007F6CD9">
        <w:rPr>
          <w:sz w:val="24"/>
          <w:szCs w:val="24"/>
          <w:lang w:val="en-GB"/>
        </w:rPr>
        <w:t>)</w:t>
      </w:r>
      <w:r w:rsidR="00595FA9" w:rsidRPr="007F6CD9">
        <w:rPr>
          <w:sz w:val="24"/>
          <w:szCs w:val="24"/>
          <w:lang w:val="en-GB"/>
        </w:rPr>
        <w:t xml:space="preserve"> of ComCom’s </w:t>
      </w:r>
      <w:r w:rsidR="00804D47" w:rsidRPr="007F6CD9">
        <w:rPr>
          <w:sz w:val="24"/>
          <w:szCs w:val="24"/>
          <w:lang w:val="en-GB"/>
        </w:rPr>
        <w:t xml:space="preserve">revised </w:t>
      </w:r>
      <w:r w:rsidR="00595FA9" w:rsidRPr="007F6CD9">
        <w:rPr>
          <w:sz w:val="24"/>
          <w:szCs w:val="24"/>
          <w:lang w:val="en-GB"/>
        </w:rPr>
        <w:t>Methodological Rules</w:t>
      </w:r>
      <w:r w:rsidR="0014296B" w:rsidRPr="007F6CD9">
        <w:rPr>
          <w:sz w:val="24"/>
          <w:szCs w:val="24"/>
          <w:lang w:val="en-GB"/>
        </w:rPr>
        <w:t xml:space="preserve"> states that</w:t>
      </w:r>
      <w:r w:rsidRPr="007F6CD9">
        <w:rPr>
          <w:sz w:val="24"/>
          <w:szCs w:val="24"/>
          <w:lang w:val="en-GB"/>
        </w:rPr>
        <w:t xml:space="preserve"> the</w:t>
      </w:r>
      <w:r w:rsidR="0014296B" w:rsidRPr="007F6CD9">
        <w:rPr>
          <w:sz w:val="24"/>
          <w:szCs w:val="24"/>
          <w:lang w:val="en-GB"/>
        </w:rPr>
        <w:t>:</w:t>
      </w:r>
      <w:r w:rsidR="00595FA9" w:rsidRPr="007F6CD9">
        <w:rPr>
          <w:sz w:val="24"/>
          <w:szCs w:val="24"/>
          <w:lang w:val="en-GB"/>
        </w:rPr>
        <w:t xml:space="preserve"> </w:t>
      </w:r>
      <w:r w:rsidR="00595FA9" w:rsidRPr="00EE28FF">
        <w:rPr>
          <w:i/>
          <w:iCs/>
          <w:sz w:val="24"/>
          <w:szCs w:val="24"/>
          <w:lang w:val="en-GB"/>
        </w:rPr>
        <w:t>“..</w:t>
      </w:r>
      <w:r w:rsidR="007F6CD9" w:rsidRPr="00EE28FF">
        <w:rPr>
          <w:i/>
          <w:iCs/>
          <w:sz w:val="24"/>
          <w:szCs w:val="24"/>
          <w:lang w:val="en-US"/>
        </w:rPr>
        <w:t xml:space="preserve">The Commission should also take into account the </w:t>
      </w:r>
      <w:r w:rsidR="00297EB5" w:rsidRPr="00EE28FF">
        <w:rPr>
          <w:i/>
          <w:iCs/>
          <w:sz w:val="24"/>
          <w:szCs w:val="24"/>
          <w:lang w:val="en-US"/>
        </w:rPr>
        <w:t xml:space="preserve">dynamics of </w:t>
      </w:r>
      <w:r w:rsidR="007F6CD9" w:rsidRPr="00EE28FF">
        <w:rPr>
          <w:i/>
          <w:iCs/>
          <w:sz w:val="24"/>
          <w:szCs w:val="24"/>
          <w:lang w:val="en-US"/>
        </w:rPr>
        <w:t>the data on specific market shares of other authori</w:t>
      </w:r>
      <w:r w:rsidR="001B67B9">
        <w:rPr>
          <w:i/>
          <w:iCs/>
          <w:sz w:val="24"/>
          <w:szCs w:val="24"/>
          <w:lang w:val="en-US"/>
        </w:rPr>
        <w:t>s</w:t>
      </w:r>
      <w:r w:rsidR="007F6CD9" w:rsidRPr="00EE28FF">
        <w:rPr>
          <w:i/>
          <w:iCs/>
          <w:sz w:val="24"/>
          <w:szCs w:val="24"/>
          <w:lang w:val="en-US"/>
        </w:rPr>
        <w:t>ed persons operating in the relevant segment of the market. This circumstance, along with other relevant criteria, determines whether the relevant market segment is prone to effective competition.</w:t>
      </w:r>
      <w:r w:rsidR="00595FA9" w:rsidRPr="00EE28FF">
        <w:rPr>
          <w:i/>
          <w:iCs/>
          <w:sz w:val="24"/>
          <w:szCs w:val="24"/>
          <w:lang w:val="en-GB"/>
        </w:rPr>
        <w:t>”</w:t>
      </w:r>
      <w:r w:rsidR="00595FA9" w:rsidRPr="00BC1ABD">
        <w:rPr>
          <w:sz w:val="24"/>
          <w:szCs w:val="24"/>
          <w:lang w:val="en-GB"/>
        </w:rPr>
        <w:t xml:space="preserve"> Magticom, with 54.8% market share and a retail market size of 496,634 higher-speed broadband subscribers is over 1.7 times the size (in market terms) of its nearest competitor, Silknet with 290,408 subscribers. The remainder of the (over 60) smaller operators together have a total of 119,859 higher-speed retail broadband subscribers, a factor of over 4 times less than Magticom. The main reason for these significant relative and absolute size differences is the extent of the national coverage potential of Magticom (and to a lesser extent Silknet) compared to the smaller players, who generally have more locally-based network coverage. </w:t>
      </w:r>
    </w:p>
    <w:p w14:paraId="37AD1A40" w14:textId="53608197" w:rsidR="00595FA9" w:rsidRPr="00BC1ABD" w:rsidRDefault="0014296B" w:rsidP="00595FA9">
      <w:pPr>
        <w:spacing w:after="160" w:line="256" w:lineRule="auto"/>
        <w:jc w:val="both"/>
        <w:rPr>
          <w:sz w:val="24"/>
          <w:szCs w:val="24"/>
          <w:lang w:val="en-GB"/>
        </w:rPr>
      </w:pPr>
      <w:r w:rsidRPr="00BC1ABD">
        <w:rPr>
          <w:sz w:val="24"/>
          <w:szCs w:val="24"/>
          <w:lang w:val="en-GB"/>
        </w:rPr>
        <w:t xml:space="preserve">Based on Figure </w:t>
      </w:r>
      <w:r w:rsidR="00742D0E">
        <w:rPr>
          <w:sz w:val="24"/>
          <w:szCs w:val="24"/>
          <w:lang w:val="en-GB"/>
        </w:rPr>
        <w:t>52</w:t>
      </w:r>
      <w:r w:rsidRPr="00BC1ABD">
        <w:rPr>
          <w:sz w:val="24"/>
          <w:szCs w:val="24"/>
          <w:lang w:val="en-GB"/>
        </w:rPr>
        <w:t xml:space="preserve">, </w:t>
      </w:r>
      <w:r w:rsidR="00595FA9" w:rsidRPr="00BC1ABD">
        <w:rPr>
          <w:sz w:val="24"/>
          <w:szCs w:val="24"/>
          <w:lang w:val="en-GB"/>
        </w:rPr>
        <w:t xml:space="preserve">Magticom’s </w:t>
      </w:r>
      <w:r w:rsidR="00F026B4">
        <w:rPr>
          <w:sz w:val="24"/>
          <w:szCs w:val="24"/>
          <w:lang w:val="en-GB"/>
        </w:rPr>
        <w:t>FTTx</w:t>
      </w:r>
      <w:r w:rsidR="00595FA9" w:rsidRPr="00BC1ABD">
        <w:rPr>
          <w:sz w:val="24"/>
          <w:szCs w:val="24"/>
          <w:lang w:val="en-GB"/>
        </w:rPr>
        <w:t xml:space="preserve"> network</w:t>
      </w:r>
      <w:r w:rsidR="00FA30F2" w:rsidRPr="00BC1ABD">
        <w:rPr>
          <w:sz w:val="24"/>
          <w:szCs w:val="24"/>
          <w:lang w:val="en-GB"/>
        </w:rPr>
        <w:t xml:space="preserve"> has significantly greater</w:t>
      </w:r>
      <w:r w:rsidR="000D251D" w:rsidRPr="00BC1ABD">
        <w:rPr>
          <w:sz w:val="24"/>
          <w:szCs w:val="24"/>
          <w:lang w:val="en-GB"/>
        </w:rPr>
        <w:t xml:space="preserve"> national</w:t>
      </w:r>
      <w:r w:rsidR="00FA30F2" w:rsidRPr="00BC1ABD">
        <w:rPr>
          <w:sz w:val="24"/>
          <w:szCs w:val="24"/>
          <w:lang w:val="en-GB"/>
        </w:rPr>
        <w:t xml:space="preserve"> coverage than its nearest competitor Silknet. </w:t>
      </w:r>
      <w:r w:rsidR="00595FA9" w:rsidRPr="00BC1ABD">
        <w:rPr>
          <w:sz w:val="24"/>
          <w:szCs w:val="24"/>
          <w:lang w:val="en-GB"/>
        </w:rPr>
        <w:t xml:space="preserve">No other </w:t>
      </w:r>
      <w:r w:rsidR="00F026B4">
        <w:rPr>
          <w:sz w:val="24"/>
          <w:szCs w:val="24"/>
          <w:lang w:val="en-GB"/>
        </w:rPr>
        <w:t>FTTx</w:t>
      </w:r>
      <w:r w:rsidR="00595FA9" w:rsidRPr="00BC1ABD">
        <w:rPr>
          <w:sz w:val="24"/>
          <w:szCs w:val="24"/>
          <w:lang w:val="en-GB"/>
        </w:rPr>
        <w:t xml:space="preserve"> operator has </w:t>
      </w:r>
      <w:r w:rsidR="000D251D" w:rsidRPr="00BC1ABD">
        <w:rPr>
          <w:sz w:val="24"/>
          <w:szCs w:val="24"/>
          <w:lang w:val="en-GB"/>
        </w:rPr>
        <w:t>significant national coverage</w:t>
      </w:r>
      <w:r w:rsidR="00595FA9" w:rsidRPr="00BC1ABD">
        <w:rPr>
          <w:sz w:val="24"/>
          <w:szCs w:val="24"/>
          <w:lang w:val="en-GB"/>
        </w:rPr>
        <w:t>.</w:t>
      </w:r>
    </w:p>
    <w:p w14:paraId="057758C7" w14:textId="77777777" w:rsidR="002A26C4" w:rsidRDefault="002A26C4" w:rsidP="0014296B">
      <w:pPr>
        <w:spacing w:after="120" w:line="252" w:lineRule="auto"/>
        <w:jc w:val="center"/>
        <w:rPr>
          <w:rFonts w:asciiTheme="minorHAnsi" w:eastAsiaTheme="minorHAnsi" w:hAnsiTheme="minorHAnsi" w:cstheme="minorBidi"/>
          <w:i/>
          <w:iCs/>
          <w:color w:val="44546A" w:themeColor="text2"/>
          <w:sz w:val="20"/>
          <w:szCs w:val="20"/>
          <w:lang w:val="en-GB"/>
        </w:rPr>
      </w:pPr>
    </w:p>
    <w:p w14:paraId="06D4D455" w14:textId="032EEF58" w:rsidR="0014296B" w:rsidRPr="00BC1ABD" w:rsidRDefault="002A26C4" w:rsidP="002A26C4">
      <w:pPr>
        <w:pStyle w:val="Caption"/>
        <w:jc w:val="center"/>
        <w:rPr>
          <w:i w:val="0"/>
          <w:iCs w:val="0"/>
          <w:sz w:val="20"/>
          <w:szCs w:val="20"/>
          <w:lang w:val="en-GB"/>
        </w:rPr>
      </w:pPr>
      <w:bookmarkStart w:id="268" w:name="_Toc152931403"/>
      <w:r>
        <w:t xml:space="preserve">Figure </w:t>
      </w:r>
      <w:r>
        <w:fldChar w:fldCharType="begin"/>
      </w:r>
      <w:r>
        <w:instrText xml:space="preserve"> SEQ Figure \* ARABIC </w:instrText>
      </w:r>
      <w:r>
        <w:fldChar w:fldCharType="separate"/>
      </w:r>
      <w:r w:rsidR="00ED2C35">
        <w:rPr>
          <w:noProof/>
        </w:rPr>
        <w:t>52</w:t>
      </w:r>
      <w:r>
        <w:fldChar w:fldCharType="end"/>
      </w:r>
      <w:r w:rsidR="0014296B" w:rsidRPr="00BC1ABD">
        <w:rPr>
          <w:sz w:val="20"/>
          <w:szCs w:val="20"/>
          <w:lang w:val="en-GB"/>
        </w:rPr>
        <w:t xml:space="preserve">: Coverage of </w:t>
      </w:r>
      <w:r w:rsidR="00F026B4">
        <w:rPr>
          <w:sz w:val="20"/>
          <w:szCs w:val="20"/>
          <w:lang w:val="en-GB"/>
        </w:rPr>
        <w:t>FTTx</w:t>
      </w:r>
      <w:r w:rsidR="0014296B" w:rsidRPr="00BC1ABD">
        <w:rPr>
          <w:sz w:val="20"/>
          <w:szCs w:val="20"/>
          <w:lang w:val="en-GB"/>
        </w:rPr>
        <w:t xml:space="preserve"> access networks by operator (national premises passed 2022)</w:t>
      </w:r>
      <w:r w:rsidR="00BB370E" w:rsidRPr="00BC1ABD">
        <w:rPr>
          <w:rStyle w:val="FootnoteReference"/>
          <w:sz w:val="20"/>
          <w:szCs w:val="20"/>
          <w:lang w:val="en-GB"/>
        </w:rPr>
        <w:footnoteReference w:id="91"/>
      </w:r>
      <w:bookmarkEnd w:id="268"/>
    </w:p>
    <w:tbl>
      <w:tblPr>
        <w:tblStyle w:val="TableGrid"/>
        <w:tblW w:w="559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37"/>
        <w:gridCol w:w="3057"/>
      </w:tblGrid>
      <w:tr w:rsidR="0014296B" w:rsidRPr="00355738" w14:paraId="581A39C8" w14:textId="77777777" w:rsidTr="00A039AC">
        <w:trPr>
          <w:cnfStyle w:val="100000000000" w:firstRow="1" w:lastRow="0" w:firstColumn="0" w:lastColumn="0" w:oddVBand="0" w:evenVBand="0" w:oddHBand="0" w:evenHBand="0" w:firstRowFirstColumn="0" w:firstRowLastColumn="0" w:lastRowFirstColumn="0" w:lastRowLastColumn="0"/>
          <w:jc w:val="center"/>
        </w:trPr>
        <w:tc>
          <w:tcPr>
            <w:tcW w:w="2537" w:type="dxa"/>
            <w:shd w:val="clear" w:color="auto" w:fill="D9D9D9" w:themeFill="background1" w:themeFillShade="D9"/>
            <w:hideMark/>
          </w:tcPr>
          <w:p w14:paraId="2DE27482" w14:textId="77777777" w:rsidR="0014296B" w:rsidRPr="00BC1ABD" w:rsidRDefault="0014296B" w:rsidP="007354E3">
            <w:pPr>
              <w:spacing w:after="120" w:line="252" w:lineRule="auto"/>
              <w:jc w:val="center"/>
              <w:rPr>
                <w:lang w:val="en-GB"/>
              </w:rPr>
            </w:pPr>
            <w:r w:rsidRPr="00BC1ABD">
              <w:rPr>
                <w:lang w:val="en-GB"/>
              </w:rPr>
              <w:t>Operator</w:t>
            </w:r>
          </w:p>
        </w:tc>
        <w:tc>
          <w:tcPr>
            <w:tcW w:w="3057" w:type="dxa"/>
            <w:shd w:val="clear" w:color="auto" w:fill="D9D9D9" w:themeFill="background1" w:themeFillShade="D9"/>
            <w:hideMark/>
          </w:tcPr>
          <w:p w14:paraId="639C5878" w14:textId="1FBA61BF" w:rsidR="0014296B" w:rsidRPr="00BC1ABD" w:rsidRDefault="00F026B4" w:rsidP="007354E3">
            <w:pPr>
              <w:spacing w:after="120" w:line="252" w:lineRule="auto"/>
              <w:jc w:val="center"/>
              <w:rPr>
                <w:b w:val="0"/>
                <w:lang w:val="en-GB"/>
              </w:rPr>
            </w:pPr>
            <w:r>
              <w:rPr>
                <w:lang w:val="en-GB"/>
              </w:rPr>
              <w:t>FTTx</w:t>
            </w:r>
            <w:r w:rsidR="0014296B" w:rsidRPr="00BC1ABD">
              <w:rPr>
                <w:lang w:val="en-GB"/>
              </w:rPr>
              <w:t xml:space="preserve"> network coverage</w:t>
            </w:r>
          </w:p>
          <w:p w14:paraId="7FFAEB1A" w14:textId="77777777" w:rsidR="0014296B" w:rsidRPr="00BC1ABD" w:rsidRDefault="0014296B" w:rsidP="007354E3">
            <w:pPr>
              <w:spacing w:after="120" w:line="252" w:lineRule="auto"/>
              <w:jc w:val="center"/>
              <w:rPr>
                <w:lang w:val="en-GB"/>
              </w:rPr>
            </w:pPr>
            <w:r w:rsidRPr="00BC1ABD">
              <w:rPr>
                <w:lang w:val="en-GB"/>
              </w:rPr>
              <w:t xml:space="preserve"> (% of national premises passed, 2022)</w:t>
            </w:r>
          </w:p>
        </w:tc>
      </w:tr>
      <w:tr w:rsidR="0014296B" w:rsidRPr="00BC1ABD" w14:paraId="6F77A939" w14:textId="77777777" w:rsidTr="00A039AC">
        <w:trPr>
          <w:jc w:val="center"/>
        </w:trPr>
        <w:tc>
          <w:tcPr>
            <w:tcW w:w="2537" w:type="dxa"/>
            <w:hideMark/>
          </w:tcPr>
          <w:p w14:paraId="012798E2" w14:textId="77777777" w:rsidR="0014296B" w:rsidRPr="00BC1ABD" w:rsidRDefault="0014296B" w:rsidP="007354E3">
            <w:pPr>
              <w:spacing w:after="120" w:line="252" w:lineRule="auto"/>
              <w:jc w:val="center"/>
              <w:rPr>
                <w:lang w:val="en-GB"/>
              </w:rPr>
            </w:pPr>
            <w:r w:rsidRPr="00BC1ABD">
              <w:rPr>
                <w:lang w:val="en-GB"/>
              </w:rPr>
              <w:t>Magticom</w:t>
            </w:r>
          </w:p>
        </w:tc>
        <w:tc>
          <w:tcPr>
            <w:tcW w:w="3057" w:type="dxa"/>
            <w:vAlign w:val="center"/>
          </w:tcPr>
          <w:p w14:paraId="6720C6CE" w14:textId="77777777" w:rsidR="0014296B" w:rsidRPr="00BC1ABD" w:rsidRDefault="0014296B" w:rsidP="007354E3">
            <w:pPr>
              <w:spacing w:after="120" w:line="252" w:lineRule="auto"/>
              <w:jc w:val="center"/>
              <w:rPr>
                <w:lang w:val="en-GB"/>
              </w:rPr>
            </w:pPr>
            <w:r w:rsidRPr="00BC1ABD">
              <w:rPr>
                <w:rFonts w:cs="Calibri"/>
                <w:color w:val="000000"/>
                <w:lang w:val="en-GB"/>
              </w:rPr>
              <w:t>88.6%</w:t>
            </w:r>
          </w:p>
        </w:tc>
      </w:tr>
      <w:tr w:rsidR="0014296B" w:rsidRPr="00BC1ABD" w14:paraId="528C7504" w14:textId="77777777" w:rsidTr="00A039AC">
        <w:trPr>
          <w:jc w:val="center"/>
        </w:trPr>
        <w:tc>
          <w:tcPr>
            <w:tcW w:w="2537" w:type="dxa"/>
            <w:hideMark/>
          </w:tcPr>
          <w:p w14:paraId="5CA3D396" w14:textId="77777777" w:rsidR="0014296B" w:rsidRPr="00BC1ABD" w:rsidRDefault="0014296B" w:rsidP="007354E3">
            <w:pPr>
              <w:spacing w:after="120" w:line="252" w:lineRule="auto"/>
              <w:jc w:val="center"/>
              <w:rPr>
                <w:lang w:val="en-GB"/>
              </w:rPr>
            </w:pPr>
            <w:r w:rsidRPr="00BC1ABD">
              <w:rPr>
                <w:lang w:val="en-GB"/>
              </w:rPr>
              <w:t>Silknet</w:t>
            </w:r>
          </w:p>
        </w:tc>
        <w:tc>
          <w:tcPr>
            <w:tcW w:w="3057" w:type="dxa"/>
            <w:vAlign w:val="center"/>
          </w:tcPr>
          <w:p w14:paraId="13F90048" w14:textId="77777777" w:rsidR="0014296B" w:rsidRPr="00BC1ABD" w:rsidRDefault="0014296B" w:rsidP="007354E3">
            <w:pPr>
              <w:spacing w:after="120" w:line="252" w:lineRule="auto"/>
              <w:jc w:val="center"/>
              <w:rPr>
                <w:lang w:val="en-GB"/>
              </w:rPr>
            </w:pPr>
            <w:r w:rsidRPr="00BC1ABD">
              <w:rPr>
                <w:rFonts w:cs="Calibri"/>
                <w:color w:val="000000"/>
                <w:lang w:val="en-GB"/>
              </w:rPr>
              <w:t>57.2%</w:t>
            </w:r>
          </w:p>
        </w:tc>
      </w:tr>
      <w:tr w:rsidR="0014296B" w:rsidRPr="00BC1ABD" w14:paraId="5E503898" w14:textId="77777777" w:rsidTr="00A039AC">
        <w:trPr>
          <w:jc w:val="center"/>
        </w:trPr>
        <w:tc>
          <w:tcPr>
            <w:tcW w:w="2537" w:type="dxa"/>
            <w:hideMark/>
          </w:tcPr>
          <w:p w14:paraId="7171F065" w14:textId="3D3F233B" w:rsidR="0014296B" w:rsidRPr="00BC1ABD" w:rsidRDefault="001A02CA" w:rsidP="007354E3">
            <w:pPr>
              <w:spacing w:after="120" w:line="252" w:lineRule="auto"/>
              <w:jc w:val="center"/>
              <w:rPr>
                <w:lang w:val="en-GB"/>
              </w:rPr>
            </w:pPr>
            <w:r>
              <w:rPr>
                <w:lang w:val="en-GB"/>
              </w:rPr>
              <w:t>Akhali Kselebi</w:t>
            </w:r>
          </w:p>
        </w:tc>
        <w:tc>
          <w:tcPr>
            <w:tcW w:w="3057" w:type="dxa"/>
            <w:vAlign w:val="center"/>
          </w:tcPr>
          <w:p w14:paraId="3B2039A5" w14:textId="77777777" w:rsidR="0014296B" w:rsidRPr="00BC1ABD" w:rsidRDefault="0014296B" w:rsidP="007354E3">
            <w:pPr>
              <w:spacing w:after="120" w:line="252" w:lineRule="auto"/>
              <w:jc w:val="center"/>
              <w:rPr>
                <w:lang w:val="en-GB"/>
              </w:rPr>
            </w:pPr>
            <w:r w:rsidRPr="00BC1ABD">
              <w:rPr>
                <w:rFonts w:cs="Calibri"/>
                <w:color w:val="000000"/>
                <w:lang w:val="en-GB"/>
              </w:rPr>
              <w:t>4.9%</w:t>
            </w:r>
          </w:p>
        </w:tc>
      </w:tr>
      <w:tr w:rsidR="0014296B" w:rsidRPr="00BC1ABD" w14:paraId="7B0F3BB5" w14:textId="77777777" w:rsidTr="00A039AC">
        <w:trPr>
          <w:jc w:val="center"/>
        </w:trPr>
        <w:tc>
          <w:tcPr>
            <w:tcW w:w="2537" w:type="dxa"/>
            <w:hideMark/>
          </w:tcPr>
          <w:p w14:paraId="46980E43" w14:textId="77777777" w:rsidR="0014296B" w:rsidRPr="00BC1ABD" w:rsidRDefault="0014296B" w:rsidP="007354E3">
            <w:pPr>
              <w:spacing w:after="120" w:line="252" w:lineRule="auto"/>
              <w:jc w:val="center"/>
              <w:rPr>
                <w:lang w:val="en-GB"/>
              </w:rPr>
            </w:pPr>
            <w:r w:rsidRPr="00BC1ABD">
              <w:rPr>
                <w:lang w:val="en-GB"/>
              </w:rPr>
              <w:t>SkyTel</w:t>
            </w:r>
          </w:p>
        </w:tc>
        <w:tc>
          <w:tcPr>
            <w:tcW w:w="3057" w:type="dxa"/>
            <w:vAlign w:val="center"/>
          </w:tcPr>
          <w:p w14:paraId="52680185" w14:textId="77777777" w:rsidR="0014296B" w:rsidRPr="00BC1ABD" w:rsidRDefault="0014296B" w:rsidP="007354E3">
            <w:pPr>
              <w:spacing w:after="120" w:line="252" w:lineRule="auto"/>
              <w:jc w:val="center"/>
              <w:rPr>
                <w:lang w:val="en-GB"/>
              </w:rPr>
            </w:pPr>
            <w:r w:rsidRPr="00BC1ABD">
              <w:rPr>
                <w:rFonts w:cs="Calibri"/>
                <w:color w:val="000000"/>
                <w:lang w:val="en-GB"/>
              </w:rPr>
              <w:t>3.5%</w:t>
            </w:r>
          </w:p>
        </w:tc>
      </w:tr>
      <w:tr w:rsidR="0014296B" w:rsidRPr="00BC1ABD" w14:paraId="73356248" w14:textId="77777777" w:rsidTr="00A039AC">
        <w:trPr>
          <w:jc w:val="center"/>
        </w:trPr>
        <w:tc>
          <w:tcPr>
            <w:tcW w:w="2537" w:type="dxa"/>
          </w:tcPr>
          <w:p w14:paraId="12727A47" w14:textId="77777777" w:rsidR="0014296B" w:rsidRPr="00BC1ABD" w:rsidRDefault="0014296B" w:rsidP="007354E3">
            <w:pPr>
              <w:spacing w:after="120" w:line="252" w:lineRule="auto"/>
              <w:jc w:val="center"/>
              <w:rPr>
                <w:lang w:val="en-GB"/>
              </w:rPr>
            </w:pPr>
            <w:r w:rsidRPr="00BC1ABD">
              <w:rPr>
                <w:lang w:val="en-GB"/>
              </w:rPr>
              <w:t>iLink</w:t>
            </w:r>
          </w:p>
        </w:tc>
        <w:tc>
          <w:tcPr>
            <w:tcW w:w="3057" w:type="dxa"/>
            <w:vAlign w:val="center"/>
          </w:tcPr>
          <w:p w14:paraId="4CC9C272" w14:textId="77777777" w:rsidR="0014296B" w:rsidRPr="00BC1ABD" w:rsidRDefault="0014296B" w:rsidP="007354E3">
            <w:pPr>
              <w:spacing w:after="120" w:line="252" w:lineRule="auto"/>
              <w:jc w:val="center"/>
              <w:rPr>
                <w:lang w:val="en-GB"/>
              </w:rPr>
            </w:pPr>
            <w:r w:rsidRPr="00BC1ABD">
              <w:rPr>
                <w:rFonts w:cs="Calibri"/>
                <w:color w:val="000000"/>
                <w:lang w:val="en-GB"/>
              </w:rPr>
              <w:t>0.7%</w:t>
            </w:r>
          </w:p>
        </w:tc>
      </w:tr>
      <w:tr w:rsidR="0014296B" w:rsidRPr="00BC1ABD" w14:paraId="6A4FCEE1" w14:textId="77777777" w:rsidTr="00A039AC">
        <w:trPr>
          <w:jc w:val="center"/>
        </w:trPr>
        <w:tc>
          <w:tcPr>
            <w:tcW w:w="2537" w:type="dxa"/>
            <w:shd w:val="clear" w:color="auto" w:fill="D0CECE" w:themeFill="background2" w:themeFillShade="E6"/>
          </w:tcPr>
          <w:p w14:paraId="62086050" w14:textId="77777777" w:rsidR="0014296B" w:rsidRPr="00BC1ABD" w:rsidRDefault="0014296B" w:rsidP="007354E3">
            <w:pPr>
              <w:spacing w:after="120" w:line="252" w:lineRule="auto"/>
              <w:jc w:val="center"/>
              <w:rPr>
                <w:lang w:val="en-GB"/>
              </w:rPr>
            </w:pPr>
            <w:r w:rsidRPr="00BC1ABD">
              <w:rPr>
                <w:lang w:val="en-GB"/>
              </w:rPr>
              <w:t>Others</w:t>
            </w:r>
          </w:p>
        </w:tc>
        <w:tc>
          <w:tcPr>
            <w:tcW w:w="3057" w:type="dxa"/>
            <w:shd w:val="clear" w:color="auto" w:fill="D0CECE" w:themeFill="background2" w:themeFillShade="E6"/>
            <w:vAlign w:val="center"/>
          </w:tcPr>
          <w:p w14:paraId="7663B626" w14:textId="77777777" w:rsidR="0014296B" w:rsidRPr="00BC1ABD" w:rsidRDefault="0014296B" w:rsidP="007354E3">
            <w:pPr>
              <w:spacing w:after="120" w:line="252" w:lineRule="auto"/>
              <w:jc w:val="center"/>
              <w:rPr>
                <w:lang w:val="en-GB"/>
              </w:rPr>
            </w:pPr>
            <w:r w:rsidRPr="00BC1ABD">
              <w:rPr>
                <w:rFonts w:cs="Calibri"/>
                <w:color w:val="000000"/>
                <w:lang w:val="en-GB"/>
              </w:rPr>
              <w:t>2.2%</w:t>
            </w:r>
          </w:p>
        </w:tc>
      </w:tr>
    </w:tbl>
    <w:p w14:paraId="12C09057" w14:textId="77777777" w:rsidR="0014296B" w:rsidRPr="00BC1ABD" w:rsidRDefault="0014296B" w:rsidP="00272E6E">
      <w:pPr>
        <w:spacing w:after="160" w:line="256"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Derived from ComCom data</w:t>
      </w:r>
    </w:p>
    <w:p w14:paraId="006E2417" w14:textId="77777777" w:rsidR="00595FA9" w:rsidRPr="00BC1ABD" w:rsidRDefault="00595FA9" w:rsidP="00DA7AB8">
      <w:pPr>
        <w:spacing w:after="160" w:line="256" w:lineRule="auto"/>
        <w:jc w:val="both"/>
        <w:rPr>
          <w:sz w:val="24"/>
          <w:szCs w:val="24"/>
          <w:lang w:val="en-GB"/>
        </w:rPr>
      </w:pPr>
      <w:r w:rsidRPr="00BC1ABD">
        <w:rPr>
          <w:sz w:val="24"/>
          <w:szCs w:val="24"/>
          <w:lang w:val="en-GB"/>
        </w:rPr>
        <w:t>It is considered that there is a significant difference in absolute and relative size of Magticom (based on subscriber base and network coverage) compared with the other operators (separately or collectively) that could exist in the wholesale market for local and central access</w:t>
      </w:r>
      <w:r w:rsidR="00DA7AB8" w:rsidRPr="00BC1ABD">
        <w:rPr>
          <w:sz w:val="24"/>
          <w:szCs w:val="24"/>
          <w:lang w:val="en-GB"/>
        </w:rPr>
        <w:t>.</w:t>
      </w:r>
    </w:p>
    <w:p w14:paraId="1C6B289A" w14:textId="5ED0360B" w:rsidR="00595FA9" w:rsidRPr="00BC1ABD" w:rsidRDefault="00595FA9"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69" w:name="_Toc169258956"/>
      <w:r w:rsidRPr="00BC1ABD">
        <w:rPr>
          <w:rFonts w:asciiTheme="minorHAnsi" w:hAnsiTheme="minorHAnsi" w:cstheme="minorHAnsi"/>
          <w:b w:val="0"/>
          <w:bCs w:val="0"/>
          <w:sz w:val="24"/>
          <w:szCs w:val="24"/>
          <w:lang w:val="en-GB"/>
        </w:rPr>
        <w:t>Control of infrastructure not easily duplicated</w:t>
      </w:r>
      <w:bookmarkEnd w:id="269"/>
    </w:p>
    <w:p w14:paraId="56014FCC" w14:textId="5F9DFE78" w:rsidR="00595FA9" w:rsidRPr="00BC1ABD" w:rsidRDefault="00595FA9" w:rsidP="001820AC">
      <w:pPr>
        <w:spacing w:after="160" w:line="256" w:lineRule="auto"/>
        <w:jc w:val="both"/>
        <w:rPr>
          <w:sz w:val="24"/>
          <w:szCs w:val="24"/>
          <w:lang w:val="en-GB"/>
        </w:rPr>
      </w:pPr>
      <w:r w:rsidRPr="005B2F71">
        <w:rPr>
          <w:sz w:val="24"/>
          <w:szCs w:val="24"/>
          <w:highlight w:val="green"/>
          <w:lang w:val="en-GB"/>
        </w:rPr>
        <w:t xml:space="preserve">According to Article </w:t>
      </w:r>
      <w:r w:rsidR="00701D4E" w:rsidRPr="005B2F71">
        <w:rPr>
          <w:sz w:val="24"/>
          <w:szCs w:val="24"/>
          <w:highlight w:val="green"/>
          <w:lang w:val="en-GB"/>
        </w:rPr>
        <w:t>1</w:t>
      </w:r>
      <w:r w:rsidR="00986F61" w:rsidRPr="005B2F71">
        <w:rPr>
          <w:sz w:val="24"/>
          <w:szCs w:val="24"/>
          <w:highlight w:val="green"/>
          <w:lang w:val="en-GB"/>
        </w:rPr>
        <w:t>5</w:t>
      </w:r>
      <w:r w:rsidR="00701D4E" w:rsidRPr="005B2F71">
        <w:rPr>
          <w:sz w:val="24"/>
          <w:szCs w:val="24"/>
          <w:highlight w:val="green"/>
          <w:lang w:val="en-GB"/>
        </w:rPr>
        <w:t>(</w:t>
      </w:r>
      <w:r w:rsidR="007F6CD9" w:rsidRPr="005B2F71">
        <w:rPr>
          <w:sz w:val="24"/>
          <w:szCs w:val="24"/>
          <w:highlight w:val="green"/>
          <w:lang w:val="en-GB"/>
        </w:rPr>
        <w:t>3</w:t>
      </w:r>
      <w:r w:rsidR="00701D4E" w:rsidRPr="005B2F71">
        <w:rPr>
          <w:sz w:val="24"/>
          <w:szCs w:val="24"/>
          <w:highlight w:val="green"/>
          <w:lang w:val="en-GB"/>
        </w:rPr>
        <w:t xml:space="preserve">) a) </w:t>
      </w:r>
      <w:r w:rsidRPr="005B2F71">
        <w:rPr>
          <w:sz w:val="24"/>
          <w:szCs w:val="24"/>
          <w:highlight w:val="green"/>
          <w:lang w:val="en-GB"/>
        </w:rPr>
        <w:t xml:space="preserve">of ComCom’s </w:t>
      </w:r>
      <w:r w:rsidR="00804D47" w:rsidRPr="005B2F71">
        <w:rPr>
          <w:sz w:val="24"/>
          <w:szCs w:val="24"/>
          <w:highlight w:val="green"/>
          <w:lang w:val="en-GB"/>
        </w:rPr>
        <w:t xml:space="preserve">revised </w:t>
      </w:r>
      <w:r w:rsidRPr="005B2F71">
        <w:rPr>
          <w:sz w:val="24"/>
          <w:szCs w:val="24"/>
          <w:highlight w:val="green"/>
          <w:lang w:val="en-GB"/>
        </w:rPr>
        <w:t xml:space="preserve">Methodological Rules, </w:t>
      </w:r>
      <w:r w:rsidR="00CC2A37" w:rsidRPr="005B2F71">
        <w:rPr>
          <w:sz w:val="24"/>
          <w:szCs w:val="24"/>
          <w:highlight w:val="green"/>
          <w:lang w:val="en-GB"/>
        </w:rPr>
        <w:t>ComCom</w:t>
      </w:r>
      <w:r w:rsidR="00701D4E" w:rsidRPr="005B2F71">
        <w:rPr>
          <w:sz w:val="24"/>
          <w:szCs w:val="24"/>
          <w:highlight w:val="green"/>
          <w:lang w:val="en-GB"/>
        </w:rPr>
        <w:t xml:space="preserve"> should use secondary criteria, including infrastructure not easily duplicated</w:t>
      </w:r>
      <w:r w:rsidR="000D3BAB" w:rsidRPr="005B2F71">
        <w:rPr>
          <w:sz w:val="24"/>
          <w:szCs w:val="24"/>
          <w:highlight w:val="green"/>
          <w:lang w:val="en-GB"/>
        </w:rPr>
        <w:t xml:space="preserve"> by competit</w:t>
      </w:r>
      <w:r w:rsidR="009872F3" w:rsidRPr="005B2F71">
        <w:rPr>
          <w:sz w:val="24"/>
          <w:szCs w:val="24"/>
          <w:highlight w:val="green"/>
          <w:lang w:val="en-GB"/>
        </w:rPr>
        <w:t>ors</w:t>
      </w:r>
      <w:r w:rsidR="00701D4E" w:rsidRPr="005B2F71">
        <w:rPr>
          <w:sz w:val="24"/>
          <w:szCs w:val="24"/>
          <w:highlight w:val="green"/>
          <w:lang w:val="en-GB"/>
        </w:rPr>
        <w:t>.</w:t>
      </w:r>
    </w:p>
    <w:p w14:paraId="0B5F1EC4" w14:textId="6150A1FA" w:rsidR="00595FA9" w:rsidRPr="00A039AC" w:rsidRDefault="00595FA9" w:rsidP="00A039AC">
      <w:pPr>
        <w:spacing w:after="160" w:line="256" w:lineRule="auto"/>
        <w:jc w:val="both"/>
        <w:rPr>
          <w:sz w:val="24"/>
          <w:szCs w:val="24"/>
          <w:lang w:val="en-GB"/>
        </w:rPr>
      </w:pPr>
      <w:r w:rsidRPr="00BC1ABD">
        <w:rPr>
          <w:sz w:val="24"/>
          <w:szCs w:val="24"/>
          <w:lang w:val="en-GB"/>
        </w:rPr>
        <w:t xml:space="preserve">Using the coverage data collected from </w:t>
      </w:r>
      <w:r w:rsidR="00F026B4">
        <w:rPr>
          <w:sz w:val="24"/>
          <w:szCs w:val="24"/>
          <w:lang w:val="en-GB"/>
        </w:rPr>
        <w:t>FTTx</w:t>
      </w:r>
      <w:r w:rsidRPr="00BC1ABD">
        <w:rPr>
          <w:sz w:val="24"/>
          <w:szCs w:val="24"/>
          <w:lang w:val="en-GB"/>
        </w:rPr>
        <w:t xml:space="preserve"> operators in Georgia (see Chapter 3</w:t>
      </w:r>
      <w:r w:rsidR="00D84FB5">
        <w:rPr>
          <w:sz w:val="24"/>
          <w:szCs w:val="24"/>
          <w:lang w:val="en-GB"/>
        </w:rPr>
        <w:t>.1</w:t>
      </w:r>
      <w:r w:rsidRPr="00BC1ABD">
        <w:rPr>
          <w:sz w:val="24"/>
          <w:szCs w:val="24"/>
          <w:lang w:val="en-GB"/>
        </w:rPr>
        <w:t xml:space="preserve">) at a national level, Figure </w:t>
      </w:r>
      <w:r w:rsidR="000C6045">
        <w:rPr>
          <w:sz w:val="24"/>
          <w:szCs w:val="24"/>
          <w:lang w:val="en-GB"/>
        </w:rPr>
        <w:t>53</w:t>
      </w:r>
      <w:r w:rsidRPr="00BC1ABD">
        <w:rPr>
          <w:sz w:val="24"/>
          <w:szCs w:val="24"/>
          <w:lang w:val="en-GB"/>
        </w:rPr>
        <w:t xml:space="preserve"> shows</w:t>
      </w:r>
      <w:r w:rsidRPr="00A039AC">
        <w:rPr>
          <w:sz w:val="24"/>
          <w:szCs w:val="24"/>
          <w:lang w:val="en-GB"/>
        </w:rPr>
        <w:t xml:space="preserve"> that </w:t>
      </w:r>
      <w:r w:rsidR="00F026B4">
        <w:rPr>
          <w:sz w:val="24"/>
          <w:szCs w:val="24"/>
          <w:lang w:val="en-GB"/>
        </w:rPr>
        <w:t>FTTx</w:t>
      </w:r>
      <w:r w:rsidRPr="00A039AC">
        <w:rPr>
          <w:sz w:val="24"/>
          <w:szCs w:val="24"/>
          <w:lang w:val="en-GB"/>
        </w:rPr>
        <w:t xml:space="preserve"> network coverage (in terms of premises passed) is significantly greater than the number of retail subscribers. </w:t>
      </w:r>
      <w:r w:rsidR="00F026B4">
        <w:rPr>
          <w:sz w:val="24"/>
          <w:szCs w:val="24"/>
          <w:lang w:val="en-GB"/>
        </w:rPr>
        <w:t>FTTx</w:t>
      </w:r>
      <w:r w:rsidRPr="00A039AC">
        <w:rPr>
          <w:sz w:val="24"/>
          <w:szCs w:val="24"/>
          <w:lang w:val="en-GB"/>
        </w:rPr>
        <w:t xml:space="preserve"> network coverage is considered to be a good indicator of market power between the different operators in the market. This is because network coverage fully reflects the capacity of each operator to be able to offer wholesale local and central access services. The extent of network coverage also reflects the substantial time and the cost of deploying fibre networks in the local access network in order to connect end users.</w:t>
      </w:r>
    </w:p>
    <w:p w14:paraId="24055F7D" w14:textId="77777777" w:rsidR="002A26C4" w:rsidRDefault="002A26C4" w:rsidP="002A26C4">
      <w:pPr>
        <w:pStyle w:val="Caption"/>
        <w:jc w:val="center"/>
      </w:pPr>
    </w:p>
    <w:p w14:paraId="3BEAF2FA" w14:textId="77777777" w:rsidR="002A26C4" w:rsidRDefault="002A26C4" w:rsidP="002A26C4">
      <w:pPr>
        <w:pStyle w:val="Caption"/>
        <w:jc w:val="center"/>
      </w:pPr>
    </w:p>
    <w:p w14:paraId="28B6E64E" w14:textId="77777777" w:rsidR="002A26C4" w:rsidRDefault="002A26C4" w:rsidP="002A26C4">
      <w:pPr>
        <w:pStyle w:val="Caption"/>
        <w:jc w:val="center"/>
      </w:pPr>
    </w:p>
    <w:p w14:paraId="283124E8" w14:textId="77777777" w:rsidR="002A26C4" w:rsidRDefault="002A26C4" w:rsidP="002A26C4">
      <w:pPr>
        <w:pStyle w:val="Caption"/>
        <w:jc w:val="center"/>
      </w:pPr>
    </w:p>
    <w:p w14:paraId="57C0FB01" w14:textId="77777777" w:rsidR="00A039AC" w:rsidRPr="00A039AC" w:rsidRDefault="00A039AC" w:rsidP="00A039AC">
      <w:pPr>
        <w:rPr>
          <w:lang w:val="sl-SI"/>
        </w:rPr>
      </w:pPr>
    </w:p>
    <w:p w14:paraId="0D5C4997" w14:textId="77777777" w:rsidR="002A26C4" w:rsidRDefault="002A26C4" w:rsidP="002A26C4">
      <w:pPr>
        <w:pStyle w:val="Caption"/>
        <w:jc w:val="center"/>
      </w:pPr>
    </w:p>
    <w:p w14:paraId="00F0DAB8" w14:textId="77777777" w:rsidR="002A26C4" w:rsidRDefault="002A26C4" w:rsidP="002A26C4">
      <w:pPr>
        <w:pStyle w:val="Caption"/>
        <w:jc w:val="center"/>
      </w:pPr>
    </w:p>
    <w:p w14:paraId="5B2BF24F" w14:textId="0A0FE924" w:rsidR="00595FA9" w:rsidRPr="00BC1ABD" w:rsidRDefault="002A26C4" w:rsidP="002A26C4">
      <w:pPr>
        <w:pStyle w:val="Caption"/>
        <w:jc w:val="center"/>
        <w:rPr>
          <w:i w:val="0"/>
          <w:iCs w:val="0"/>
          <w:sz w:val="20"/>
          <w:szCs w:val="20"/>
          <w:lang w:val="en-GB"/>
        </w:rPr>
      </w:pPr>
      <w:bookmarkStart w:id="270" w:name="_Toc152931404"/>
      <w:r>
        <w:t xml:space="preserve">Figure </w:t>
      </w:r>
      <w:r>
        <w:fldChar w:fldCharType="begin"/>
      </w:r>
      <w:r>
        <w:instrText xml:space="preserve"> SEQ Figure \* ARABIC </w:instrText>
      </w:r>
      <w:r>
        <w:fldChar w:fldCharType="separate"/>
      </w:r>
      <w:r w:rsidR="00ED2C35">
        <w:rPr>
          <w:noProof/>
        </w:rPr>
        <w:t>53</w:t>
      </w:r>
      <w:r>
        <w:fldChar w:fldCharType="end"/>
      </w:r>
      <w:r w:rsidR="00595FA9" w:rsidRPr="00BC1ABD">
        <w:rPr>
          <w:sz w:val="20"/>
          <w:szCs w:val="20"/>
          <w:lang w:val="en-GB"/>
        </w:rPr>
        <w:t xml:space="preserve">: </w:t>
      </w:r>
      <w:r w:rsidR="00F026B4">
        <w:rPr>
          <w:sz w:val="20"/>
          <w:szCs w:val="20"/>
          <w:lang w:val="en-GB"/>
        </w:rPr>
        <w:t>FTTx</w:t>
      </w:r>
      <w:r w:rsidR="00595FA9" w:rsidRPr="00BC1ABD">
        <w:rPr>
          <w:sz w:val="20"/>
          <w:szCs w:val="20"/>
          <w:lang w:val="en-GB"/>
        </w:rPr>
        <w:t xml:space="preserve"> network coverage and su</w:t>
      </w:r>
      <w:r w:rsidR="00A039AC">
        <w:rPr>
          <w:sz w:val="20"/>
          <w:szCs w:val="20"/>
          <w:lang w:val="en-GB"/>
        </w:rPr>
        <w:t>b</w:t>
      </w:r>
      <w:r w:rsidR="00595FA9" w:rsidRPr="00BC1ABD">
        <w:rPr>
          <w:sz w:val="20"/>
          <w:szCs w:val="20"/>
          <w:lang w:val="en-GB"/>
        </w:rPr>
        <w:t xml:space="preserve">scribers </w:t>
      </w:r>
      <w:r w:rsidR="0046727B" w:rsidRPr="00BC1ABD">
        <w:rPr>
          <w:sz w:val="20"/>
          <w:szCs w:val="20"/>
          <w:lang w:val="en-GB"/>
        </w:rPr>
        <w:t>(</w:t>
      </w:r>
      <w:r w:rsidR="00595FA9" w:rsidRPr="00BC1ABD">
        <w:rPr>
          <w:sz w:val="20"/>
          <w:szCs w:val="20"/>
          <w:lang w:val="en-GB"/>
        </w:rPr>
        <w:t>2022)</w:t>
      </w:r>
      <w:bookmarkEnd w:id="270"/>
    </w:p>
    <w:tbl>
      <w:tblPr>
        <w:tblStyle w:val="TableGrid"/>
        <w:tblW w:w="87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96"/>
        <w:gridCol w:w="2406"/>
        <w:gridCol w:w="2406"/>
        <w:gridCol w:w="1277"/>
      </w:tblGrid>
      <w:tr w:rsidR="003D730E" w:rsidRPr="00355738" w14:paraId="49B3A3DA" w14:textId="77777777" w:rsidTr="007354E3">
        <w:trPr>
          <w:cnfStyle w:val="100000000000" w:firstRow="1" w:lastRow="0" w:firstColumn="0" w:lastColumn="0" w:oddVBand="0" w:evenVBand="0" w:oddHBand="0" w:evenHBand="0" w:firstRowFirstColumn="0" w:firstRowLastColumn="0" w:lastRowFirstColumn="0" w:lastRowLastColumn="0"/>
          <w:jc w:val="center"/>
        </w:trPr>
        <w:tc>
          <w:tcPr>
            <w:tcW w:w="2389" w:type="dxa"/>
            <w:tcBorders>
              <w:bottom w:val="single" w:sz="12" w:space="0" w:color="auto"/>
            </w:tcBorders>
            <w:shd w:val="clear" w:color="auto" w:fill="D9D9D9" w:themeFill="background1" w:themeFillShade="D9"/>
            <w:hideMark/>
          </w:tcPr>
          <w:p w14:paraId="3FFBA7E0" w14:textId="77777777" w:rsidR="003D730E" w:rsidRPr="00BC1ABD" w:rsidRDefault="003D730E" w:rsidP="007354E3">
            <w:pPr>
              <w:spacing w:after="120" w:line="252" w:lineRule="auto"/>
              <w:jc w:val="center"/>
              <w:rPr>
                <w:b w:val="0"/>
                <w:lang w:val="en-GB"/>
              </w:rPr>
            </w:pPr>
          </w:p>
          <w:p w14:paraId="34641AC9" w14:textId="77777777" w:rsidR="003D730E" w:rsidRPr="00BC1ABD" w:rsidRDefault="003D730E" w:rsidP="007354E3">
            <w:pPr>
              <w:spacing w:after="120" w:line="252" w:lineRule="auto"/>
              <w:jc w:val="center"/>
              <w:rPr>
                <w:lang w:val="en-GB"/>
              </w:rPr>
            </w:pPr>
            <w:r w:rsidRPr="00BC1ABD">
              <w:rPr>
                <w:lang w:val="en-GB"/>
              </w:rPr>
              <w:t>Operator</w:t>
            </w:r>
          </w:p>
        </w:tc>
        <w:tc>
          <w:tcPr>
            <w:tcW w:w="2132" w:type="dxa"/>
            <w:tcBorders>
              <w:bottom w:val="single" w:sz="12" w:space="0" w:color="auto"/>
            </w:tcBorders>
            <w:shd w:val="clear" w:color="auto" w:fill="D9D9D9" w:themeFill="background1" w:themeFillShade="D9"/>
            <w:hideMark/>
          </w:tcPr>
          <w:p w14:paraId="7F6465C3" w14:textId="02142D82" w:rsidR="003D730E" w:rsidRPr="00BC1ABD" w:rsidRDefault="00F026B4" w:rsidP="007354E3">
            <w:pPr>
              <w:spacing w:after="120" w:line="252" w:lineRule="auto"/>
              <w:jc w:val="center"/>
              <w:rPr>
                <w:b w:val="0"/>
                <w:lang w:val="en-GB"/>
              </w:rPr>
            </w:pPr>
            <w:r>
              <w:rPr>
                <w:lang w:val="en-GB"/>
              </w:rPr>
              <w:t>FTTx</w:t>
            </w:r>
            <w:r w:rsidR="003D730E" w:rsidRPr="00BC1ABD">
              <w:rPr>
                <w:lang w:val="en-GB"/>
              </w:rPr>
              <w:t xml:space="preserve"> network coverage (premises passed)</w:t>
            </w:r>
          </w:p>
        </w:tc>
        <w:tc>
          <w:tcPr>
            <w:tcW w:w="2132" w:type="dxa"/>
            <w:tcBorders>
              <w:bottom w:val="single" w:sz="12" w:space="0" w:color="auto"/>
            </w:tcBorders>
            <w:shd w:val="clear" w:color="auto" w:fill="D9D9D9" w:themeFill="background1" w:themeFillShade="D9"/>
          </w:tcPr>
          <w:p w14:paraId="49A0D463" w14:textId="77777777" w:rsidR="003D730E" w:rsidRPr="00BC1ABD" w:rsidRDefault="003D730E" w:rsidP="007354E3">
            <w:pPr>
              <w:spacing w:after="120" w:line="252" w:lineRule="auto"/>
              <w:jc w:val="center"/>
              <w:rPr>
                <w:lang w:val="en-GB"/>
              </w:rPr>
            </w:pPr>
            <w:r w:rsidRPr="00BC1ABD">
              <w:rPr>
                <w:lang w:val="en-GB"/>
              </w:rPr>
              <w:t>Number of higher-speed fixed broadband subscribers</w:t>
            </w:r>
          </w:p>
        </w:tc>
        <w:tc>
          <w:tcPr>
            <w:tcW w:w="0" w:type="dxa"/>
            <w:tcBorders>
              <w:bottom w:val="single" w:sz="12" w:space="0" w:color="auto"/>
            </w:tcBorders>
            <w:shd w:val="clear" w:color="auto" w:fill="D9D9D9" w:themeFill="background1" w:themeFillShade="D9"/>
          </w:tcPr>
          <w:p w14:paraId="3A00BF32" w14:textId="77777777" w:rsidR="003D730E" w:rsidRPr="00BC1ABD" w:rsidRDefault="003D730E" w:rsidP="007354E3">
            <w:pPr>
              <w:spacing w:after="120" w:line="252" w:lineRule="auto"/>
              <w:jc w:val="center"/>
              <w:rPr>
                <w:lang w:val="en-GB"/>
              </w:rPr>
            </w:pPr>
            <w:r w:rsidRPr="00BC1ABD">
              <w:rPr>
                <w:lang w:val="en-GB"/>
              </w:rPr>
              <w:t>Subscriber take-up (% of premises passed)</w:t>
            </w:r>
          </w:p>
        </w:tc>
      </w:tr>
      <w:tr w:rsidR="003D730E" w:rsidRPr="00BC1ABD" w14:paraId="0E540ED8" w14:textId="77777777" w:rsidTr="007354E3">
        <w:trPr>
          <w:jc w:val="center"/>
        </w:trPr>
        <w:tc>
          <w:tcPr>
            <w:tcW w:w="2389" w:type="dxa"/>
            <w:tcBorders>
              <w:top w:val="single" w:sz="12" w:space="0" w:color="auto"/>
              <w:bottom w:val="single" w:sz="6" w:space="0" w:color="auto"/>
            </w:tcBorders>
            <w:hideMark/>
          </w:tcPr>
          <w:p w14:paraId="0BA1AF00" w14:textId="77777777" w:rsidR="003D730E" w:rsidRPr="00BC1ABD" w:rsidRDefault="003D730E" w:rsidP="007354E3">
            <w:pPr>
              <w:spacing w:after="120" w:line="252" w:lineRule="auto"/>
              <w:jc w:val="center"/>
              <w:rPr>
                <w:lang w:val="en-GB"/>
              </w:rPr>
            </w:pPr>
            <w:r w:rsidRPr="00BC1ABD">
              <w:rPr>
                <w:lang w:val="en-GB"/>
              </w:rPr>
              <w:t>Magticom</w:t>
            </w:r>
          </w:p>
        </w:tc>
        <w:tc>
          <w:tcPr>
            <w:tcW w:w="2132" w:type="dxa"/>
            <w:tcBorders>
              <w:top w:val="single" w:sz="12" w:space="0" w:color="auto"/>
              <w:bottom w:val="single" w:sz="6" w:space="0" w:color="auto"/>
            </w:tcBorders>
            <w:vAlign w:val="center"/>
          </w:tcPr>
          <w:p w14:paraId="54C34D71" w14:textId="77777777" w:rsidR="003D730E" w:rsidRPr="00BC1ABD" w:rsidRDefault="003D730E" w:rsidP="007354E3">
            <w:pPr>
              <w:spacing w:after="120" w:line="252" w:lineRule="auto"/>
              <w:jc w:val="center"/>
              <w:rPr>
                <w:lang w:val="en-GB"/>
              </w:rPr>
            </w:pPr>
            <w:r w:rsidRPr="00BC1ABD">
              <w:rPr>
                <w:rFonts w:cs="Calibri"/>
                <w:color w:val="000000"/>
                <w:lang w:val="en-GB"/>
              </w:rPr>
              <w:t>1,109,189</w:t>
            </w:r>
          </w:p>
        </w:tc>
        <w:tc>
          <w:tcPr>
            <w:tcW w:w="2132" w:type="dxa"/>
            <w:tcBorders>
              <w:top w:val="single" w:sz="12" w:space="0" w:color="auto"/>
              <w:bottom w:val="single" w:sz="6" w:space="0" w:color="auto"/>
            </w:tcBorders>
          </w:tcPr>
          <w:p w14:paraId="637EDBF7"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479,973</w:t>
            </w:r>
          </w:p>
        </w:tc>
        <w:tc>
          <w:tcPr>
            <w:tcW w:w="0" w:type="dxa"/>
            <w:tcBorders>
              <w:top w:val="single" w:sz="12" w:space="0" w:color="auto"/>
              <w:bottom w:val="single" w:sz="6" w:space="0" w:color="auto"/>
            </w:tcBorders>
          </w:tcPr>
          <w:p w14:paraId="14C96C7F"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43.3%</w:t>
            </w:r>
          </w:p>
        </w:tc>
      </w:tr>
      <w:tr w:rsidR="003D730E" w:rsidRPr="00BC1ABD" w14:paraId="20804218" w14:textId="77777777" w:rsidTr="007354E3">
        <w:trPr>
          <w:jc w:val="center"/>
        </w:trPr>
        <w:tc>
          <w:tcPr>
            <w:tcW w:w="2389" w:type="dxa"/>
            <w:tcBorders>
              <w:top w:val="single" w:sz="6" w:space="0" w:color="auto"/>
              <w:bottom w:val="single" w:sz="6" w:space="0" w:color="auto"/>
            </w:tcBorders>
            <w:hideMark/>
          </w:tcPr>
          <w:p w14:paraId="49CA2B9E" w14:textId="77777777" w:rsidR="003D730E" w:rsidRPr="00BC1ABD" w:rsidRDefault="003D730E" w:rsidP="007354E3">
            <w:pPr>
              <w:spacing w:after="120" w:line="252" w:lineRule="auto"/>
              <w:jc w:val="center"/>
              <w:rPr>
                <w:lang w:val="en-GB"/>
              </w:rPr>
            </w:pPr>
            <w:r w:rsidRPr="00BC1ABD">
              <w:rPr>
                <w:lang w:val="en-GB"/>
              </w:rPr>
              <w:t>Silknet</w:t>
            </w:r>
          </w:p>
        </w:tc>
        <w:tc>
          <w:tcPr>
            <w:tcW w:w="2132" w:type="dxa"/>
            <w:tcBorders>
              <w:top w:val="single" w:sz="6" w:space="0" w:color="auto"/>
              <w:bottom w:val="single" w:sz="6" w:space="0" w:color="auto"/>
            </w:tcBorders>
            <w:vAlign w:val="center"/>
          </w:tcPr>
          <w:p w14:paraId="6BF81A3F" w14:textId="77777777" w:rsidR="003D730E" w:rsidRPr="00BC1ABD" w:rsidRDefault="003D730E" w:rsidP="007354E3">
            <w:pPr>
              <w:spacing w:after="120" w:line="252" w:lineRule="auto"/>
              <w:jc w:val="center"/>
              <w:rPr>
                <w:lang w:val="en-GB"/>
              </w:rPr>
            </w:pPr>
            <w:r w:rsidRPr="00BC1ABD">
              <w:rPr>
                <w:rFonts w:cs="Calibri"/>
                <w:color w:val="000000"/>
                <w:lang w:val="en-GB"/>
              </w:rPr>
              <w:t>716,307</w:t>
            </w:r>
          </w:p>
        </w:tc>
        <w:tc>
          <w:tcPr>
            <w:tcW w:w="2132" w:type="dxa"/>
            <w:tcBorders>
              <w:top w:val="single" w:sz="6" w:space="0" w:color="auto"/>
              <w:bottom w:val="single" w:sz="6" w:space="0" w:color="auto"/>
            </w:tcBorders>
          </w:tcPr>
          <w:p w14:paraId="2813D887"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275,464</w:t>
            </w:r>
          </w:p>
        </w:tc>
        <w:tc>
          <w:tcPr>
            <w:tcW w:w="0" w:type="dxa"/>
            <w:tcBorders>
              <w:top w:val="single" w:sz="6" w:space="0" w:color="auto"/>
              <w:bottom w:val="single" w:sz="6" w:space="0" w:color="auto"/>
            </w:tcBorders>
          </w:tcPr>
          <w:p w14:paraId="1C666D6A"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38.4%</w:t>
            </w:r>
          </w:p>
        </w:tc>
      </w:tr>
      <w:tr w:rsidR="003D730E" w:rsidRPr="00BC1ABD" w14:paraId="1FAD2999" w14:textId="77777777" w:rsidTr="007354E3">
        <w:trPr>
          <w:jc w:val="center"/>
        </w:trPr>
        <w:tc>
          <w:tcPr>
            <w:tcW w:w="2389" w:type="dxa"/>
            <w:tcBorders>
              <w:top w:val="single" w:sz="6" w:space="0" w:color="auto"/>
              <w:bottom w:val="single" w:sz="6" w:space="0" w:color="auto"/>
            </w:tcBorders>
            <w:hideMark/>
          </w:tcPr>
          <w:p w14:paraId="73744A3D" w14:textId="27A3C27B" w:rsidR="003D730E" w:rsidRPr="00BC1ABD" w:rsidRDefault="001A02CA" w:rsidP="007354E3">
            <w:pPr>
              <w:spacing w:after="120" w:line="252" w:lineRule="auto"/>
              <w:jc w:val="center"/>
              <w:rPr>
                <w:lang w:val="en-GB"/>
              </w:rPr>
            </w:pPr>
            <w:r>
              <w:rPr>
                <w:lang w:val="en-GB"/>
              </w:rPr>
              <w:t>Akhali Kselebi</w:t>
            </w:r>
          </w:p>
        </w:tc>
        <w:tc>
          <w:tcPr>
            <w:tcW w:w="2132" w:type="dxa"/>
            <w:tcBorders>
              <w:top w:val="single" w:sz="6" w:space="0" w:color="auto"/>
              <w:bottom w:val="single" w:sz="6" w:space="0" w:color="auto"/>
            </w:tcBorders>
            <w:vAlign w:val="center"/>
          </w:tcPr>
          <w:p w14:paraId="4F50F6DA" w14:textId="77777777" w:rsidR="003D730E" w:rsidRPr="00BC1ABD" w:rsidRDefault="003D730E" w:rsidP="007354E3">
            <w:pPr>
              <w:spacing w:after="120" w:line="252" w:lineRule="auto"/>
              <w:jc w:val="center"/>
              <w:rPr>
                <w:vertAlign w:val="superscript"/>
                <w:lang w:val="en-GB"/>
              </w:rPr>
            </w:pPr>
            <w:r w:rsidRPr="00BC1ABD">
              <w:rPr>
                <w:lang w:val="en-GB"/>
              </w:rPr>
              <w:t>61,251</w:t>
            </w:r>
            <w:r w:rsidRPr="00BC1ABD">
              <w:rPr>
                <w:vertAlign w:val="superscript"/>
                <w:lang w:val="en-GB"/>
              </w:rPr>
              <w:t>1</w:t>
            </w:r>
          </w:p>
        </w:tc>
        <w:tc>
          <w:tcPr>
            <w:tcW w:w="2132" w:type="dxa"/>
            <w:tcBorders>
              <w:top w:val="single" w:sz="6" w:space="0" w:color="auto"/>
              <w:bottom w:val="single" w:sz="6" w:space="0" w:color="auto"/>
            </w:tcBorders>
          </w:tcPr>
          <w:p w14:paraId="701AEA3A"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66,542</w:t>
            </w:r>
          </w:p>
        </w:tc>
        <w:tc>
          <w:tcPr>
            <w:tcW w:w="0" w:type="dxa"/>
            <w:tcBorders>
              <w:top w:val="single" w:sz="6" w:space="0" w:color="auto"/>
              <w:bottom w:val="single" w:sz="6" w:space="0" w:color="auto"/>
            </w:tcBorders>
          </w:tcPr>
          <w:p w14:paraId="53989586"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(note 1)</w:t>
            </w:r>
          </w:p>
        </w:tc>
      </w:tr>
      <w:tr w:rsidR="003D730E" w:rsidRPr="00BC1ABD" w14:paraId="0461F294" w14:textId="77777777" w:rsidTr="007354E3">
        <w:trPr>
          <w:jc w:val="center"/>
        </w:trPr>
        <w:tc>
          <w:tcPr>
            <w:tcW w:w="2389" w:type="dxa"/>
            <w:tcBorders>
              <w:top w:val="single" w:sz="6" w:space="0" w:color="auto"/>
              <w:bottom w:val="single" w:sz="6" w:space="0" w:color="auto"/>
            </w:tcBorders>
            <w:hideMark/>
          </w:tcPr>
          <w:p w14:paraId="512185FB" w14:textId="77777777" w:rsidR="003D730E" w:rsidRPr="00BC1ABD" w:rsidRDefault="003D730E" w:rsidP="007354E3">
            <w:pPr>
              <w:spacing w:after="120" w:line="252" w:lineRule="auto"/>
              <w:jc w:val="center"/>
              <w:rPr>
                <w:lang w:val="en-GB"/>
              </w:rPr>
            </w:pPr>
            <w:r w:rsidRPr="00BC1ABD">
              <w:rPr>
                <w:lang w:val="en-GB"/>
              </w:rPr>
              <w:t>SkyTel</w:t>
            </w:r>
          </w:p>
        </w:tc>
        <w:tc>
          <w:tcPr>
            <w:tcW w:w="2132" w:type="dxa"/>
            <w:tcBorders>
              <w:top w:val="single" w:sz="6" w:space="0" w:color="auto"/>
              <w:bottom w:val="single" w:sz="6" w:space="0" w:color="auto"/>
            </w:tcBorders>
            <w:vAlign w:val="center"/>
          </w:tcPr>
          <w:p w14:paraId="0E1DDF41" w14:textId="77777777" w:rsidR="003D730E" w:rsidRPr="00BC1ABD" w:rsidRDefault="003D730E" w:rsidP="007354E3">
            <w:pPr>
              <w:spacing w:after="120" w:line="252" w:lineRule="auto"/>
              <w:jc w:val="center"/>
              <w:rPr>
                <w:lang w:val="en-GB"/>
              </w:rPr>
            </w:pPr>
            <w:r w:rsidRPr="00BC1ABD">
              <w:rPr>
                <w:lang w:val="en-GB"/>
              </w:rPr>
              <w:t>44,093</w:t>
            </w:r>
          </w:p>
        </w:tc>
        <w:tc>
          <w:tcPr>
            <w:tcW w:w="2132" w:type="dxa"/>
            <w:tcBorders>
              <w:top w:val="single" w:sz="6" w:space="0" w:color="auto"/>
              <w:bottom w:val="single" w:sz="6" w:space="0" w:color="auto"/>
            </w:tcBorders>
          </w:tcPr>
          <w:p w14:paraId="2B0A77C3"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13,136</w:t>
            </w:r>
          </w:p>
        </w:tc>
        <w:tc>
          <w:tcPr>
            <w:tcW w:w="0" w:type="dxa"/>
            <w:tcBorders>
              <w:top w:val="single" w:sz="6" w:space="0" w:color="auto"/>
              <w:bottom w:val="single" w:sz="6" w:space="0" w:color="auto"/>
            </w:tcBorders>
          </w:tcPr>
          <w:p w14:paraId="4BA141B1"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29.8%</w:t>
            </w:r>
          </w:p>
        </w:tc>
      </w:tr>
      <w:tr w:rsidR="003D730E" w:rsidRPr="00BC1ABD" w14:paraId="3421C579" w14:textId="77777777" w:rsidTr="007354E3">
        <w:trPr>
          <w:jc w:val="center"/>
        </w:trPr>
        <w:tc>
          <w:tcPr>
            <w:tcW w:w="2389" w:type="dxa"/>
            <w:tcBorders>
              <w:top w:val="single" w:sz="6" w:space="0" w:color="auto"/>
              <w:bottom w:val="single" w:sz="6" w:space="0" w:color="auto"/>
            </w:tcBorders>
          </w:tcPr>
          <w:p w14:paraId="3CA3D1FC" w14:textId="77777777" w:rsidR="003D730E" w:rsidRPr="00BC1ABD" w:rsidRDefault="003D730E" w:rsidP="007354E3">
            <w:pPr>
              <w:spacing w:after="120" w:line="252" w:lineRule="auto"/>
              <w:jc w:val="center"/>
              <w:rPr>
                <w:lang w:val="en-GB"/>
              </w:rPr>
            </w:pPr>
            <w:r w:rsidRPr="00BC1ABD">
              <w:rPr>
                <w:lang w:val="en-GB"/>
              </w:rPr>
              <w:t>iLink</w:t>
            </w:r>
          </w:p>
        </w:tc>
        <w:tc>
          <w:tcPr>
            <w:tcW w:w="2132" w:type="dxa"/>
            <w:tcBorders>
              <w:top w:val="single" w:sz="6" w:space="0" w:color="auto"/>
              <w:bottom w:val="single" w:sz="6" w:space="0" w:color="auto"/>
            </w:tcBorders>
            <w:vAlign w:val="center"/>
          </w:tcPr>
          <w:p w14:paraId="73BB8F8E" w14:textId="77777777" w:rsidR="003D730E" w:rsidRPr="00BC1ABD" w:rsidRDefault="003D730E" w:rsidP="007354E3">
            <w:pPr>
              <w:spacing w:after="120" w:line="252" w:lineRule="auto"/>
              <w:jc w:val="center"/>
              <w:rPr>
                <w:vertAlign w:val="superscript"/>
                <w:lang w:val="en-GB"/>
              </w:rPr>
            </w:pPr>
            <w:r w:rsidRPr="00BC1ABD">
              <w:rPr>
                <w:lang w:val="en-GB"/>
              </w:rPr>
              <w:t>8,182</w:t>
            </w:r>
            <w:r w:rsidRPr="00BC1ABD">
              <w:rPr>
                <w:vertAlign w:val="superscript"/>
                <w:lang w:val="en-GB"/>
              </w:rPr>
              <w:t>1</w:t>
            </w:r>
          </w:p>
        </w:tc>
        <w:tc>
          <w:tcPr>
            <w:tcW w:w="2132" w:type="dxa"/>
            <w:tcBorders>
              <w:top w:val="single" w:sz="6" w:space="0" w:color="auto"/>
              <w:bottom w:val="single" w:sz="6" w:space="0" w:color="auto"/>
            </w:tcBorders>
          </w:tcPr>
          <w:p w14:paraId="7D7F20B6"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8,186</w:t>
            </w:r>
          </w:p>
        </w:tc>
        <w:tc>
          <w:tcPr>
            <w:tcW w:w="0" w:type="dxa"/>
            <w:tcBorders>
              <w:top w:val="single" w:sz="6" w:space="0" w:color="auto"/>
              <w:bottom w:val="single" w:sz="6" w:space="0" w:color="auto"/>
            </w:tcBorders>
          </w:tcPr>
          <w:p w14:paraId="1116D623"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(note 1)</w:t>
            </w:r>
          </w:p>
        </w:tc>
      </w:tr>
      <w:tr w:rsidR="003D730E" w:rsidRPr="00BC1ABD" w14:paraId="61B047CC" w14:textId="77777777" w:rsidTr="007354E3">
        <w:trPr>
          <w:jc w:val="center"/>
        </w:trPr>
        <w:tc>
          <w:tcPr>
            <w:tcW w:w="2389" w:type="dxa"/>
            <w:tcBorders>
              <w:top w:val="single" w:sz="6" w:space="0" w:color="auto"/>
              <w:bottom w:val="single" w:sz="12" w:space="0" w:color="auto"/>
            </w:tcBorders>
            <w:shd w:val="clear" w:color="auto" w:fill="FFFFFF" w:themeFill="background1"/>
          </w:tcPr>
          <w:p w14:paraId="0EA174BF" w14:textId="77777777" w:rsidR="003D730E" w:rsidRPr="00BC1ABD" w:rsidRDefault="003D730E" w:rsidP="007354E3">
            <w:pPr>
              <w:spacing w:after="120" w:line="252" w:lineRule="auto"/>
              <w:jc w:val="center"/>
              <w:rPr>
                <w:lang w:val="en-GB"/>
              </w:rPr>
            </w:pPr>
            <w:r w:rsidRPr="00BC1ABD">
              <w:rPr>
                <w:lang w:val="en-GB"/>
              </w:rPr>
              <w:t>Others</w:t>
            </w:r>
          </w:p>
        </w:tc>
        <w:tc>
          <w:tcPr>
            <w:tcW w:w="2132" w:type="dxa"/>
            <w:tcBorders>
              <w:top w:val="single" w:sz="6" w:space="0" w:color="auto"/>
              <w:bottom w:val="single" w:sz="12" w:space="0" w:color="auto"/>
            </w:tcBorders>
            <w:shd w:val="clear" w:color="auto" w:fill="FFFFFF" w:themeFill="background1"/>
            <w:vAlign w:val="center"/>
          </w:tcPr>
          <w:p w14:paraId="6308894B" w14:textId="77777777" w:rsidR="003D730E" w:rsidRPr="00BC1ABD" w:rsidRDefault="003D730E" w:rsidP="007354E3">
            <w:pPr>
              <w:spacing w:after="120" w:line="252" w:lineRule="auto"/>
              <w:jc w:val="center"/>
              <w:rPr>
                <w:lang w:val="en-GB"/>
              </w:rPr>
            </w:pPr>
            <w:r w:rsidRPr="00BC1ABD">
              <w:rPr>
                <w:lang w:val="en-GB"/>
              </w:rPr>
              <w:t>27,4731</w:t>
            </w:r>
          </w:p>
        </w:tc>
        <w:tc>
          <w:tcPr>
            <w:tcW w:w="2132" w:type="dxa"/>
            <w:tcBorders>
              <w:top w:val="single" w:sz="6" w:space="0" w:color="auto"/>
              <w:bottom w:val="single" w:sz="12" w:space="0" w:color="auto"/>
            </w:tcBorders>
            <w:shd w:val="clear" w:color="auto" w:fill="FFFFFF" w:themeFill="background1"/>
          </w:tcPr>
          <w:p w14:paraId="5987EE24" w14:textId="77777777" w:rsidR="003D730E" w:rsidRPr="00BC1ABD" w:rsidRDefault="003D730E" w:rsidP="007354E3">
            <w:pPr>
              <w:spacing w:after="120" w:line="252" w:lineRule="auto"/>
              <w:jc w:val="center"/>
              <w:rPr>
                <w:lang w:val="en-GB"/>
              </w:rPr>
            </w:pPr>
            <w:r w:rsidRPr="00BC1ABD">
              <w:rPr>
                <w:lang w:val="en-GB"/>
              </w:rPr>
              <w:t>32,364</w:t>
            </w:r>
          </w:p>
        </w:tc>
        <w:tc>
          <w:tcPr>
            <w:tcW w:w="0" w:type="dxa"/>
            <w:tcBorders>
              <w:top w:val="single" w:sz="6" w:space="0" w:color="auto"/>
              <w:bottom w:val="single" w:sz="12" w:space="0" w:color="auto"/>
            </w:tcBorders>
            <w:shd w:val="clear" w:color="auto" w:fill="FFFFFF" w:themeFill="background1"/>
          </w:tcPr>
          <w:p w14:paraId="4EC7CA7F" w14:textId="77777777" w:rsidR="003D730E" w:rsidRPr="00BC1ABD" w:rsidRDefault="003D730E" w:rsidP="007354E3">
            <w:pPr>
              <w:spacing w:after="120" w:line="252" w:lineRule="auto"/>
              <w:jc w:val="center"/>
              <w:rPr>
                <w:lang w:val="en-GB"/>
              </w:rPr>
            </w:pPr>
            <w:r w:rsidRPr="00BC1ABD">
              <w:rPr>
                <w:lang w:val="en-GB"/>
              </w:rPr>
              <w:t>(note 1)</w:t>
            </w:r>
          </w:p>
        </w:tc>
      </w:tr>
      <w:tr w:rsidR="003D730E" w:rsidRPr="00BC1ABD" w14:paraId="3D7F59FE" w14:textId="77777777" w:rsidTr="007354E3">
        <w:trPr>
          <w:jc w:val="center"/>
        </w:trPr>
        <w:tc>
          <w:tcPr>
            <w:tcW w:w="0" w:type="dxa"/>
            <w:tcBorders>
              <w:top w:val="single" w:sz="12" w:space="0" w:color="auto"/>
            </w:tcBorders>
            <w:shd w:val="clear" w:color="auto" w:fill="D0CECE" w:themeFill="background2" w:themeFillShade="E6"/>
          </w:tcPr>
          <w:p w14:paraId="42BF38E6" w14:textId="77777777" w:rsidR="003D730E" w:rsidRPr="00BC1ABD" w:rsidRDefault="003D730E" w:rsidP="007354E3">
            <w:pPr>
              <w:spacing w:after="120" w:line="252" w:lineRule="auto"/>
              <w:jc w:val="center"/>
              <w:rPr>
                <w:lang w:val="en-GB"/>
              </w:rPr>
            </w:pPr>
            <w:r w:rsidRPr="00BC1ABD">
              <w:rPr>
                <w:lang w:val="en-GB"/>
              </w:rPr>
              <w:t>National coverage</w:t>
            </w:r>
          </w:p>
          <w:p w14:paraId="3CF69696" w14:textId="77777777" w:rsidR="003D730E" w:rsidRPr="00BC1ABD" w:rsidRDefault="003D730E" w:rsidP="007354E3">
            <w:pPr>
              <w:spacing w:after="120" w:line="252" w:lineRule="auto"/>
              <w:jc w:val="center"/>
              <w:rPr>
                <w:lang w:val="en-GB"/>
              </w:rPr>
            </w:pPr>
            <w:r w:rsidRPr="00BC1ABD">
              <w:rPr>
                <w:lang w:val="en-GB"/>
              </w:rPr>
              <w:t>(note 2)</w:t>
            </w:r>
          </w:p>
        </w:tc>
        <w:tc>
          <w:tcPr>
            <w:tcW w:w="0" w:type="dxa"/>
            <w:tcBorders>
              <w:top w:val="single" w:sz="12" w:space="0" w:color="auto"/>
            </w:tcBorders>
            <w:shd w:val="clear" w:color="auto" w:fill="D0CECE" w:themeFill="background2" w:themeFillShade="E6"/>
            <w:vAlign w:val="center"/>
          </w:tcPr>
          <w:p w14:paraId="5AFBD9D3" w14:textId="77777777" w:rsidR="003D730E" w:rsidRPr="00BC1ABD" w:rsidRDefault="003D730E" w:rsidP="007354E3">
            <w:pPr>
              <w:spacing w:after="120" w:line="252" w:lineRule="auto"/>
              <w:jc w:val="center"/>
              <w:rPr>
                <w:lang w:val="en-GB"/>
              </w:rPr>
            </w:pPr>
            <w:r w:rsidRPr="00BC1ABD">
              <w:rPr>
                <w:lang w:val="en-GB"/>
              </w:rPr>
              <w:t>1,251,875</w:t>
            </w:r>
          </w:p>
        </w:tc>
        <w:tc>
          <w:tcPr>
            <w:tcW w:w="0" w:type="dxa"/>
            <w:tcBorders>
              <w:top w:val="single" w:sz="12" w:space="0" w:color="auto"/>
            </w:tcBorders>
            <w:shd w:val="clear" w:color="auto" w:fill="D0CECE" w:themeFill="background2" w:themeFillShade="E6"/>
          </w:tcPr>
          <w:p w14:paraId="0AE04B9F"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875,665</w:t>
            </w:r>
          </w:p>
        </w:tc>
        <w:tc>
          <w:tcPr>
            <w:tcW w:w="0" w:type="dxa"/>
            <w:tcBorders>
              <w:top w:val="single" w:sz="12" w:space="0" w:color="auto"/>
            </w:tcBorders>
            <w:shd w:val="clear" w:color="auto" w:fill="D0CECE" w:themeFill="background2" w:themeFillShade="E6"/>
          </w:tcPr>
          <w:p w14:paraId="59C1CFAD"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70.0%</w:t>
            </w:r>
          </w:p>
          <w:p w14:paraId="7B491389" w14:textId="77777777" w:rsidR="003D730E" w:rsidRPr="00BC1ABD" w:rsidRDefault="003D730E" w:rsidP="007354E3">
            <w:pPr>
              <w:spacing w:after="120" w:line="252" w:lineRule="auto"/>
              <w:jc w:val="center"/>
              <w:rPr>
                <w:rFonts w:cs="Calibri"/>
                <w:color w:val="000000"/>
                <w:lang w:val="en-GB"/>
              </w:rPr>
            </w:pPr>
            <w:r w:rsidRPr="00BC1ABD">
              <w:rPr>
                <w:rFonts w:cs="Calibri"/>
                <w:color w:val="000000"/>
                <w:lang w:val="en-GB"/>
              </w:rPr>
              <w:t>(note 2)</w:t>
            </w:r>
          </w:p>
        </w:tc>
      </w:tr>
    </w:tbl>
    <w:p w14:paraId="59AC3C6A" w14:textId="77777777" w:rsidR="003D730E" w:rsidRPr="00BC1ABD" w:rsidRDefault="003D730E" w:rsidP="00595FA9">
      <w:pPr>
        <w:spacing w:after="120" w:line="252" w:lineRule="auto"/>
        <w:jc w:val="center"/>
        <w:rPr>
          <w:rFonts w:asciiTheme="minorHAnsi" w:eastAsiaTheme="minorHAnsi" w:hAnsiTheme="minorHAnsi" w:cstheme="minorBidi"/>
          <w:i/>
          <w:iCs/>
          <w:color w:val="44546A" w:themeColor="text2"/>
          <w:sz w:val="20"/>
          <w:szCs w:val="20"/>
          <w:lang w:val="en-GB"/>
        </w:rPr>
      </w:pPr>
    </w:p>
    <w:p w14:paraId="3F9691DD" w14:textId="77777777" w:rsidR="00595FA9" w:rsidRPr="00BC1ABD" w:rsidRDefault="00595FA9" w:rsidP="00595FA9">
      <w:pPr>
        <w:shd w:val="clear" w:color="auto" w:fill="FFFFFF"/>
        <w:spacing w:after="0" w:line="240"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Derived from ComCom data</w:t>
      </w:r>
    </w:p>
    <w:p w14:paraId="0E669F95" w14:textId="77777777" w:rsidR="00595FA9" w:rsidRPr="00BC1ABD" w:rsidRDefault="00595FA9" w:rsidP="00595FA9">
      <w:pPr>
        <w:shd w:val="clear" w:color="auto" w:fill="FFFFFF"/>
        <w:spacing w:after="0" w:line="240" w:lineRule="auto"/>
        <w:ind w:left="720"/>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Note 1: Reliable data is not available – estimates only</w:t>
      </w:r>
    </w:p>
    <w:p w14:paraId="1204D7DF" w14:textId="027CCC7C" w:rsidR="00595FA9" w:rsidRPr="00BC1ABD" w:rsidRDefault="00595FA9" w:rsidP="00595FA9">
      <w:pPr>
        <w:shd w:val="clear" w:color="auto" w:fill="FFFFFF"/>
        <w:spacing w:after="0" w:line="240" w:lineRule="auto"/>
        <w:ind w:left="1440" w:hanging="720"/>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 xml:space="preserve">Note 2: The national figure is not the arithmetic sum of the individual coverage figures because </w:t>
      </w:r>
    </w:p>
    <w:p w14:paraId="5EDA3717" w14:textId="77777777" w:rsidR="00595FA9" w:rsidRPr="00BC1ABD" w:rsidRDefault="00595FA9" w:rsidP="00595FA9">
      <w:pPr>
        <w:shd w:val="clear" w:color="auto" w:fill="FFFFFF"/>
        <w:spacing w:after="0" w:line="240" w:lineRule="auto"/>
        <w:ind w:left="2160" w:hanging="720"/>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many premises are passed by more than one operator</w:t>
      </w:r>
    </w:p>
    <w:p w14:paraId="74804638" w14:textId="77777777" w:rsidR="00595FA9" w:rsidRPr="00BC1ABD" w:rsidRDefault="00595FA9" w:rsidP="00595FA9">
      <w:pPr>
        <w:shd w:val="clear" w:color="auto" w:fill="FFFFFF"/>
        <w:spacing w:after="0" w:line="240" w:lineRule="auto"/>
        <w:ind w:left="720"/>
        <w:rPr>
          <w:rFonts w:eastAsia="Times New Roman" w:cs="Calibri"/>
          <w:color w:val="000000"/>
          <w:sz w:val="24"/>
          <w:szCs w:val="24"/>
          <w:lang w:val="en-GB" w:eastAsia="en-GB"/>
        </w:rPr>
      </w:pPr>
    </w:p>
    <w:p w14:paraId="7812BC84" w14:textId="3514EF19" w:rsidR="00595FA9" w:rsidRPr="00BC1ABD" w:rsidRDefault="00595FA9" w:rsidP="00595FA9">
      <w:pPr>
        <w:jc w:val="both"/>
        <w:rPr>
          <w:sz w:val="24"/>
          <w:szCs w:val="24"/>
          <w:lang w:val="en-GB"/>
        </w:rPr>
      </w:pPr>
      <w:r w:rsidRPr="00BC1ABD">
        <w:rPr>
          <w:sz w:val="24"/>
          <w:szCs w:val="24"/>
          <w:lang w:val="en-GB"/>
        </w:rPr>
        <w:t xml:space="preserve">Figure </w:t>
      </w:r>
      <w:r w:rsidR="000C6045">
        <w:rPr>
          <w:sz w:val="24"/>
          <w:szCs w:val="24"/>
          <w:lang w:val="en-GB"/>
        </w:rPr>
        <w:t>53</w:t>
      </w:r>
      <w:r w:rsidRPr="00BC1ABD">
        <w:rPr>
          <w:sz w:val="24"/>
          <w:szCs w:val="24"/>
          <w:lang w:val="en-GB"/>
        </w:rPr>
        <w:t xml:space="preserve"> clearly shows that Magticom controls an </w:t>
      </w:r>
      <w:r w:rsidR="00F026B4">
        <w:rPr>
          <w:sz w:val="24"/>
          <w:szCs w:val="24"/>
          <w:lang w:val="en-GB"/>
        </w:rPr>
        <w:t>FTTx</w:t>
      </w:r>
      <w:r w:rsidRPr="00BC1ABD">
        <w:rPr>
          <w:sz w:val="24"/>
          <w:szCs w:val="24"/>
          <w:lang w:val="en-GB"/>
        </w:rPr>
        <w:t xml:space="preserve"> infrastructure with significantly greater geographical coverage than other Georgian operators. </w:t>
      </w:r>
      <w:r w:rsidR="00EB711F" w:rsidRPr="00BC1ABD">
        <w:rPr>
          <w:sz w:val="24"/>
          <w:szCs w:val="24"/>
          <w:lang w:val="en-GB"/>
        </w:rPr>
        <w:t>No published information suggests that any other operator</w:t>
      </w:r>
      <w:r w:rsidRPr="00BC1ABD">
        <w:rPr>
          <w:sz w:val="24"/>
          <w:szCs w:val="24"/>
          <w:lang w:val="en-GB"/>
        </w:rPr>
        <w:t xml:space="preserve"> is expected to match </w:t>
      </w:r>
      <w:r w:rsidR="00EB711F" w:rsidRPr="00BC1ABD">
        <w:rPr>
          <w:sz w:val="24"/>
          <w:szCs w:val="24"/>
          <w:lang w:val="en-GB"/>
        </w:rPr>
        <w:t xml:space="preserve">Magticom’s </w:t>
      </w:r>
      <w:r w:rsidR="00F026B4">
        <w:rPr>
          <w:sz w:val="24"/>
          <w:szCs w:val="24"/>
          <w:lang w:val="en-GB"/>
        </w:rPr>
        <w:t>FTTx</w:t>
      </w:r>
      <w:r w:rsidR="00EB711F" w:rsidRPr="00BC1ABD">
        <w:rPr>
          <w:sz w:val="24"/>
          <w:szCs w:val="24"/>
          <w:lang w:val="en-GB"/>
        </w:rPr>
        <w:t xml:space="preserve"> national</w:t>
      </w:r>
      <w:r w:rsidRPr="00BC1ABD">
        <w:rPr>
          <w:sz w:val="24"/>
          <w:szCs w:val="24"/>
          <w:lang w:val="en-GB"/>
        </w:rPr>
        <w:t xml:space="preserve"> coverage during the forward-looking time horizon of this market analysis.</w:t>
      </w:r>
    </w:p>
    <w:p w14:paraId="01D6FCA2" w14:textId="77777777" w:rsidR="00595FA9" w:rsidRPr="00BC1ABD" w:rsidRDefault="00595FA9" w:rsidP="00595FA9">
      <w:pPr>
        <w:jc w:val="both"/>
        <w:rPr>
          <w:rFonts w:cs="Calibri"/>
          <w:color w:val="000000"/>
          <w:sz w:val="24"/>
          <w:szCs w:val="24"/>
          <w:shd w:val="clear" w:color="auto" w:fill="FFFFFF"/>
          <w:lang w:val="en-GB"/>
        </w:rPr>
      </w:pPr>
      <w:r w:rsidRPr="00BC1ABD">
        <w:rPr>
          <w:rFonts w:cs="Calibri"/>
          <w:color w:val="000000"/>
          <w:sz w:val="24"/>
          <w:szCs w:val="24"/>
          <w:shd w:val="clear" w:color="auto" w:fill="FFFFFF"/>
          <w:lang w:val="en-GB"/>
        </w:rPr>
        <w:t xml:space="preserve">With this asymmetry of network deployment, an access-seeker wishing to expand its geographical market coverage would tend to choose a wholesale access operator with the largest </w:t>
      </w:r>
      <w:r w:rsidR="00872CFD" w:rsidRPr="00BC1ABD">
        <w:rPr>
          <w:rFonts w:cs="Calibri"/>
          <w:color w:val="000000"/>
          <w:sz w:val="24"/>
          <w:szCs w:val="24"/>
          <w:shd w:val="clear" w:color="auto" w:fill="FFFFFF"/>
          <w:lang w:val="en-GB"/>
        </w:rPr>
        <w:t xml:space="preserve">national </w:t>
      </w:r>
      <w:r w:rsidRPr="00BC1ABD">
        <w:rPr>
          <w:rFonts w:cs="Calibri"/>
          <w:color w:val="000000"/>
          <w:sz w:val="24"/>
          <w:szCs w:val="24"/>
          <w:shd w:val="clear" w:color="auto" w:fill="FFFFFF"/>
          <w:lang w:val="en-GB"/>
        </w:rPr>
        <w:t>coverage (Magticom</w:t>
      </w:r>
      <w:r w:rsidR="00872CFD" w:rsidRPr="00BC1ABD">
        <w:rPr>
          <w:rFonts w:cs="Calibri"/>
          <w:color w:val="000000"/>
          <w:sz w:val="24"/>
          <w:szCs w:val="24"/>
          <w:shd w:val="clear" w:color="auto" w:fill="FFFFFF"/>
          <w:lang w:val="en-GB"/>
        </w:rPr>
        <w:t>).</w:t>
      </w:r>
    </w:p>
    <w:p w14:paraId="2FA67CE3" w14:textId="7475ADF4" w:rsidR="00595FA9" w:rsidRPr="00BC1ABD" w:rsidRDefault="00595FA9" w:rsidP="00595FA9">
      <w:pPr>
        <w:jc w:val="both"/>
        <w:rPr>
          <w:sz w:val="24"/>
          <w:szCs w:val="24"/>
          <w:lang w:val="en-GB"/>
        </w:rPr>
      </w:pPr>
      <w:r w:rsidRPr="00BC1ABD">
        <w:rPr>
          <w:sz w:val="24"/>
          <w:szCs w:val="24"/>
          <w:lang w:val="en-GB"/>
        </w:rPr>
        <w:t>Magticom has invested in a fibre-based infrastructure that has a</w:t>
      </w:r>
      <w:r w:rsidR="00912618" w:rsidRPr="00BC1ABD">
        <w:rPr>
          <w:sz w:val="24"/>
          <w:szCs w:val="24"/>
          <w:lang w:val="en-GB"/>
        </w:rPr>
        <w:t xml:space="preserve">n estimated </w:t>
      </w:r>
      <w:r w:rsidRPr="00BC1ABD">
        <w:rPr>
          <w:sz w:val="24"/>
          <w:szCs w:val="24"/>
          <w:lang w:val="en-GB"/>
        </w:rPr>
        <w:t xml:space="preserve">coverage of 88.6% of Georgian premises passed (see Figure </w:t>
      </w:r>
      <w:r w:rsidR="000C6045">
        <w:rPr>
          <w:sz w:val="24"/>
          <w:szCs w:val="24"/>
          <w:lang w:val="en-GB"/>
        </w:rPr>
        <w:t>52</w:t>
      </w:r>
      <w:r w:rsidRPr="00BC1ABD">
        <w:rPr>
          <w:sz w:val="24"/>
          <w:szCs w:val="24"/>
          <w:lang w:val="en-GB"/>
        </w:rPr>
        <w:t>) giving Magticom a national coverage potential. This coverage potential is greater than the fibre-based coverage of Silknet (that has still to replace a significant portion of its copper-based local access infrastructure</w:t>
      </w:r>
      <w:r w:rsidR="00912618" w:rsidRPr="00BC1ABD">
        <w:rPr>
          <w:rStyle w:val="FootnoteReference"/>
          <w:sz w:val="24"/>
          <w:szCs w:val="24"/>
          <w:lang w:val="en-GB"/>
        </w:rPr>
        <w:footnoteReference w:id="92"/>
      </w:r>
      <w:r w:rsidRPr="00BC1ABD">
        <w:rPr>
          <w:sz w:val="24"/>
          <w:szCs w:val="24"/>
          <w:lang w:val="en-GB"/>
        </w:rPr>
        <w:t>) and very significantly greater than the fibre-based infrastructure and coverage of the newer market entrants. Magticom, like all the other higher-speed broadband access providers, has full control of its own infrastructure. The other operators in the market</w:t>
      </w:r>
      <w:r w:rsidR="00912618" w:rsidRPr="00BC1ABD">
        <w:rPr>
          <w:sz w:val="24"/>
          <w:szCs w:val="24"/>
          <w:lang w:val="en-GB"/>
        </w:rPr>
        <w:t xml:space="preserve"> </w:t>
      </w:r>
      <w:r w:rsidRPr="00BC1ABD">
        <w:rPr>
          <w:sz w:val="24"/>
          <w:szCs w:val="24"/>
          <w:lang w:val="en-GB"/>
        </w:rPr>
        <w:t xml:space="preserve">cannot easily duplicate Magticom’s infrastructure and control. This is largely because the investment needed to duplicate an infrastructure with national coverage potential would require significant investments over an extended time period and with high sunk costs. At a national level, the wholesale market for local and central access at a fixed location is therefore clearly dominated by Magticom because it controls a not easily duplicable </w:t>
      </w:r>
      <w:r w:rsidR="00F026B4">
        <w:rPr>
          <w:sz w:val="24"/>
          <w:szCs w:val="24"/>
          <w:lang w:val="en-GB"/>
        </w:rPr>
        <w:t>FTTx</w:t>
      </w:r>
      <w:r w:rsidRPr="00BC1ABD">
        <w:rPr>
          <w:sz w:val="24"/>
          <w:szCs w:val="24"/>
          <w:lang w:val="en-GB"/>
        </w:rPr>
        <w:t xml:space="preserve"> network infrastructure in areas not covered by any other operator in terms of </w:t>
      </w:r>
      <w:r w:rsidR="000C1410">
        <w:rPr>
          <w:sz w:val="24"/>
          <w:szCs w:val="24"/>
          <w:lang w:val="en-GB"/>
        </w:rPr>
        <w:t>premises</w:t>
      </w:r>
      <w:r w:rsidR="000C1410" w:rsidRPr="00BC1ABD">
        <w:rPr>
          <w:sz w:val="24"/>
          <w:szCs w:val="24"/>
          <w:lang w:val="en-GB"/>
        </w:rPr>
        <w:t xml:space="preserve"> </w:t>
      </w:r>
      <w:r w:rsidRPr="00BC1ABD">
        <w:rPr>
          <w:sz w:val="24"/>
          <w:szCs w:val="24"/>
          <w:lang w:val="en-GB"/>
        </w:rPr>
        <w:t xml:space="preserve">passed. Magticom's coverage of 88.6% in terms of premises passed nationally by its </w:t>
      </w:r>
      <w:r w:rsidR="00F026B4">
        <w:rPr>
          <w:sz w:val="24"/>
          <w:szCs w:val="24"/>
          <w:lang w:val="en-GB"/>
        </w:rPr>
        <w:t>FTTx</w:t>
      </w:r>
      <w:r w:rsidRPr="00BC1ABD">
        <w:rPr>
          <w:sz w:val="24"/>
          <w:szCs w:val="24"/>
          <w:lang w:val="en-GB"/>
        </w:rPr>
        <w:t xml:space="preserve"> network expresses directly the capacity available for Magticom's competitors</w:t>
      </w:r>
      <w:r w:rsidR="00A3653C" w:rsidRPr="00BC1ABD">
        <w:rPr>
          <w:sz w:val="24"/>
          <w:szCs w:val="24"/>
          <w:lang w:val="en-GB"/>
        </w:rPr>
        <w:t>,</w:t>
      </w:r>
      <w:r w:rsidRPr="00BC1ABD">
        <w:rPr>
          <w:sz w:val="24"/>
          <w:szCs w:val="24"/>
          <w:lang w:val="en-GB"/>
        </w:rPr>
        <w:t xml:space="preserve"> should they</w:t>
      </w:r>
      <w:r w:rsidR="00A3653C" w:rsidRPr="00BC1ABD">
        <w:rPr>
          <w:sz w:val="24"/>
          <w:szCs w:val="24"/>
          <w:lang w:val="en-GB"/>
        </w:rPr>
        <w:t xml:space="preserve"> choose</w:t>
      </w:r>
      <w:r w:rsidRPr="00BC1ABD">
        <w:rPr>
          <w:sz w:val="24"/>
          <w:szCs w:val="24"/>
          <w:lang w:val="en-GB"/>
        </w:rPr>
        <w:t xml:space="preserve"> to seek access to that capacity rather than expand their own infrastructures at least in the short to medium-term. </w:t>
      </w:r>
    </w:p>
    <w:p w14:paraId="2111E67D" w14:textId="2EF59FA8" w:rsidR="00595FA9" w:rsidRPr="00BC1ABD" w:rsidRDefault="00595FA9" w:rsidP="00595FA9">
      <w:pPr>
        <w:jc w:val="both"/>
        <w:rPr>
          <w:sz w:val="24"/>
          <w:szCs w:val="24"/>
          <w:lang w:val="en-GB"/>
        </w:rPr>
      </w:pPr>
      <w:r w:rsidRPr="00BC1ABD">
        <w:rPr>
          <w:sz w:val="24"/>
          <w:szCs w:val="24"/>
          <w:lang w:val="en-GB"/>
        </w:rPr>
        <w:t xml:space="preserve">If Magticom's SMP is confirmed at the national level, then the market share as measured by retail higher-speed broadband subscribers and </w:t>
      </w:r>
      <w:r w:rsidR="00F026B4">
        <w:rPr>
          <w:sz w:val="24"/>
          <w:szCs w:val="24"/>
          <w:lang w:val="en-GB"/>
        </w:rPr>
        <w:t>FTTx</w:t>
      </w:r>
      <w:r w:rsidRPr="00BC1ABD">
        <w:rPr>
          <w:sz w:val="24"/>
          <w:szCs w:val="24"/>
          <w:lang w:val="en-GB"/>
        </w:rPr>
        <w:t xml:space="preserve"> network coverage need to be further considered at a settlement level. This will be important when </w:t>
      </w:r>
      <w:r w:rsidR="00A3653C" w:rsidRPr="00BC1ABD">
        <w:rPr>
          <w:sz w:val="24"/>
          <w:szCs w:val="24"/>
          <w:lang w:val="en-GB"/>
        </w:rPr>
        <w:t>choosing</w:t>
      </w:r>
      <w:r w:rsidRPr="00BC1ABD">
        <w:rPr>
          <w:sz w:val="24"/>
          <w:szCs w:val="24"/>
          <w:lang w:val="en-GB"/>
        </w:rPr>
        <w:t xml:space="preserve"> which </w:t>
      </w:r>
      <w:r w:rsidRPr="00BC1ABD">
        <w:rPr>
          <w:i/>
          <w:iCs/>
          <w:sz w:val="24"/>
          <w:szCs w:val="24"/>
          <w:lang w:val="en-GB"/>
        </w:rPr>
        <w:t>ex-ante</w:t>
      </w:r>
      <w:r w:rsidRPr="00BC1ABD">
        <w:rPr>
          <w:sz w:val="24"/>
          <w:szCs w:val="24"/>
          <w:lang w:val="en-GB"/>
        </w:rPr>
        <w:t xml:space="preserve"> regulatory measures need to be applied at the settlement level to ensure that the chosen set of remedies are proportional to the competitive conditions at the settlement level.</w:t>
      </w:r>
    </w:p>
    <w:p w14:paraId="46C4019B" w14:textId="4B614DC8" w:rsidR="00595FA9" w:rsidRPr="00BC1ABD" w:rsidRDefault="000B71EE"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71" w:name="_Toc169258957"/>
      <w:r w:rsidRPr="00BC1ABD">
        <w:rPr>
          <w:rFonts w:asciiTheme="minorHAnsi" w:hAnsiTheme="minorHAnsi" w:cstheme="minorHAnsi"/>
          <w:b w:val="0"/>
          <w:bCs w:val="0"/>
          <w:sz w:val="24"/>
          <w:szCs w:val="24"/>
          <w:lang w:val="en-GB"/>
        </w:rPr>
        <w:t>A</w:t>
      </w:r>
      <w:r w:rsidR="00595FA9" w:rsidRPr="00BC1ABD">
        <w:rPr>
          <w:rFonts w:asciiTheme="minorHAnsi" w:hAnsiTheme="minorHAnsi" w:cstheme="minorHAnsi"/>
          <w:b w:val="0"/>
          <w:bCs w:val="0"/>
          <w:sz w:val="24"/>
          <w:szCs w:val="24"/>
          <w:lang w:val="en-GB"/>
        </w:rPr>
        <w:t>bsence of potential competition</w:t>
      </w:r>
      <w:bookmarkEnd w:id="271"/>
    </w:p>
    <w:p w14:paraId="687E79FD" w14:textId="5E0F5478" w:rsidR="00AC7AC5" w:rsidRPr="00BC1ABD" w:rsidRDefault="00AC7AC5" w:rsidP="00AC7AC5">
      <w:pPr>
        <w:spacing w:after="160" w:line="256" w:lineRule="auto"/>
        <w:jc w:val="both"/>
        <w:rPr>
          <w:sz w:val="24"/>
          <w:szCs w:val="24"/>
          <w:lang w:val="en-GB"/>
        </w:rPr>
      </w:pPr>
      <w:r w:rsidRPr="005B2F71">
        <w:rPr>
          <w:sz w:val="24"/>
          <w:szCs w:val="24"/>
          <w:highlight w:val="green"/>
          <w:lang w:val="en-GB"/>
        </w:rPr>
        <w:t xml:space="preserve">The assessment of market power under Article </w:t>
      </w:r>
      <w:r w:rsidR="00701D4E" w:rsidRPr="005B2F71">
        <w:rPr>
          <w:sz w:val="24"/>
          <w:szCs w:val="24"/>
          <w:highlight w:val="green"/>
          <w:lang w:val="en-GB"/>
        </w:rPr>
        <w:t>1</w:t>
      </w:r>
      <w:r w:rsidR="00986F61" w:rsidRPr="005B2F71">
        <w:rPr>
          <w:sz w:val="24"/>
          <w:szCs w:val="24"/>
          <w:highlight w:val="green"/>
          <w:lang w:val="en-GB"/>
        </w:rPr>
        <w:t>5</w:t>
      </w:r>
      <w:r w:rsidR="00701D4E" w:rsidRPr="005B2F71">
        <w:rPr>
          <w:sz w:val="24"/>
          <w:szCs w:val="24"/>
          <w:highlight w:val="green"/>
          <w:lang w:val="en-GB"/>
        </w:rPr>
        <w:t>(</w:t>
      </w:r>
      <w:r w:rsidR="007F6CD9" w:rsidRPr="005B2F71">
        <w:rPr>
          <w:sz w:val="24"/>
          <w:szCs w:val="24"/>
          <w:highlight w:val="green"/>
          <w:lang w:val="en-GB"/>
        </w:rPr>
        <w:t>3</w:t>
      </w:r>
      <w:r w:rsidR="00701D4E" w:rsidRPr="005B2F71">
        <w:rPr>
          <w:sz w:val="24"/>
          <w:szCs w:val="24"/>
          <w:highlight w:val="green"/>
          <w:lang w:val="en-GB"/>
        </w:rPr>
        <w:t xml:space="preserve">) </w:t>
      </w:r>
      <w:r w:rsidR="00770A9C" w:rsidRPr="005B2F71">
        <w:rPr>
          <w:sz w:val="24"/>
          <w:szCs w:val="24"/>
          <w:highlight w:val="green"/>
          <w:lang w:val="en-GB"/>
        </w:rPr>
        <w:t>k</w:t>
      </w:r>
      <w:r w:rsidR="00701D4E" w:rsidRPr="005B2F71">
        <w:rPr>
          <w:sz w:val="24"/>
          <w:szCs w:val="24"/>
          <w:highlight w:val="green"/>
          <w:lang w:val="en-GB"/>
        </w:rPr>
        <w:t xml:space="preserve">) </w:t>
      </w:r>
      <w:r w:rsidRPr="005B2F71">
        <w:rPr>
          <w:sz w:val="24"/>
          <w:szCs w:val="24"/>
          <w:highlight w:val="green"/>
          <w:lang w:val="en-GB"/>
        </w:rPr>
        <w:t xml:space="preserve">of ComCom’s </w:t>
      </w:r>
      <w:r w:rsidR="00804D47" w:rsidRPr="005B2F71">
        <w:rPr>
          <w:sz w:val="24"/>
          <w:szCs w:val="24"/>
          <w:highlight w:val="green"/>
          <w:lang w:val="en-GB"/>
        </w:rPr>
        <w:t xml:space="preserve">revised </w:t>
      </w:r>
      <w:r w:rsidRPr="005B2F71">
        <w:rPr>
          <w:sz w:val="24"/>
          <w:szCs w:val="24"/>
          <w:highlight w:val="green"/>
          <w:lang w:val="en-GB"/>
        </w:rPr>
        <w:t>Methodological Rules must also consider the ease of market entry of new operators which could modify their existing products or extend their product portfolio.</w:t>
      </w:r>
      <w:r w:rsidRPr="00BC1ABD">
        <w:rPr>
          <w:sz w:val="24"/>
          <w:szCs w:val="24"/>
          <w:lang w:val="en-GB"/>
        </w:rPr>
        <w:t xml:space="preserve"> The analysis should consider if a new entrant would be attracted to enter the market in the hypothetical case of an operator with SMP made a small but significant increase in the price of wholesale local and central access.</w:t>
      </w:r>
    </w:p>
    <w:p w14:paraId="571AC137" w14:textId="77777777" w:rsidR="00AC7AC5" w:rsidRPr="00BC1ABD" w:rsidRDefault="00AC7AC5" w:rsidP="00AC7AC5">
      <w:pPr>
        <w:spacing w:after="160" w:line="256" w:lineRule="auto"/>
        <w:jc w:val="both"/>
        <w:rPr>
          <w:sz w:val="24"/>
          <w:szCs w:val="24"/>
          <w:lang w:val="en-GB"/>
        </w:rPr>
      </w:pPr>
      <w:r w:rsidRPr="00BC1ABD">
        <w:rPr>
          <w:sz w:val="24"/>
          <w:szCs w:val="24"/>
          <w:lang w:val="en-GB"/>
        </w:rPr>
        <w:t>In assessing the wholesale market for local and central access, we need to examine the possibility of a new entrant could become established in the wholesale market and provide effective competition to an existing operator. Effective competition could arise from new fibre-based infrastructure investment or from an existing network infrastructure adapting its existing capacity towards offering wholesale capacity for access by retail operators in the fixed broadband access market. The potential competition could arise from the creation of a ‘wholesale only’ network provider, or from a vertically-integrated retail and wholesale operator that wishes to diversify into the wholesale local and central access market.</w:t>
      </w:r>
    </w:p>
    <w:p w14:paraId="387340CF" w14:textId="1D25A843" w:rsidR="00AC7AC5" w:rsidRPr="00BC1ABD" w:rsidRDefault="00AC7AC5" w:rsidP="00AC7AC5">
      <w:pPr>
        <w:spacing w:after="160" w:line="256" w:lineRule="auto"/>
        <w:jc w:val="both"/>
        <w:rPr>
          <w:sz w:val="24"/>
          <w:szCs w:val="24"/>
          <w:lang w:val="en-GB"/>
        </w:rPr>
      </w:pPr>
      <w:r w:rsidRPr="00BC1ABD">
        <w:rPr>
          <w:sz w:val="24"/>
          <w:szCs w:val="24"/>
          <w:lang w:val="en-GB"/>
        </w:rPr>
        <w:t xml:space="preserve">In certain markets, high barriers to entry could become less relevant in the face of ongoing technological progress, in particular due to the emergence of new technologies permitting new entrants to provide qualitatively different services that can challenge an SMP operator. In the case of Georgia’s fixed electronic communications markets, significant technological progress has already been made such that existing core and access networks are largely fibre-based. Magticom’s closest rival is Silknet, which has its own </w:t>
      </w:r>
      <w:r w:rsidR="00F026B4">
        <w:rPr>
          <w:sz w:val="24"/>
          <w:szCs w:val="24"/>
          <w:lang w:val="en-GB"/>
        </w:rPr>
        <w:t>FTTx</w:t>
      </w:r>
      <w:r w:rsidRPr="00BC1ABD">
        <w:rPr>
          <w:sz w:val="24"/>
          <w:szCs w:val="24"/>
          <w:lang w:val="en-GB"/>
        </w:rPr>
        <w:t xml:space="preserve"> local access and fibre-based core network. Silknet’s geographical coverage of its fibre-based network capacity (estimated at 57.2% of premises passed – see Figure </w:t>
      </w:r>
      <w:r w:rsidR="000C6045">
        <w:rPr>
          <w:sz w:val="24"/>
          <w:szCs w:val="24"/>
          <w:lang w:val="en-GB"/>
        </w:rPr>
        <w:t>52</w:t>
      </w:r>
      <w:r w:rsidRPr="00BC1ABD">
        <w:rPr>
          <w:sz w:val="24"/>
          <w:szCs w:val="24"/>
          <w:lang w:val="en-GB"/>
        </w:rPr>
        <w:t>) is significantly lower than Magticom</w:t>
      </w:r>
      <w:r w:rsidR="00B134C3">
        <w:rPr>
          <w:sz w:val="24"/>
          <w:szCs w:val="24"/>
          <w:lang w:val="en-GB"/>
        </w:rPr>
        <w:t>’</w:t>
      </w:r>
      <w:r w:rsidRPr="00BC1ABD">
        <w:rPr>
          <w:sz w:val="24"/>
          <w:szCs w:val="24"/>
          <w:lang w:val="en-GB"/>
        </w:rPr>
        <w:t xml:space="preserve">s (at 88.6%). In terms of the relative subscriber take-up of their </w:t>
      </w:r>
      <w:r w:rsidR="00F026B4">
        <w:rPr>
          <w:sz w:val="24"/>
          <w:szCs w:val="24"/>
          <w:lang w:val="en-GB"/>
        </w:rPr>
        <w:t>FTTx</w:t>
      </w:r>
      <w:r w:rsidRPr="00BC1ABD">
        <w:rPr>
          <w:sz w:val="24"/>
          <w:szCs w:val="24"/>
          <w:lang w:val="en-GB"/>
        </w:rPr>
        <w:t xml:space="preserve"> network capacity, Magticom achieves 43.3% take-up and Silknet achieves 38.4%. It is considered that Silknet could start to offer wholesale local and central access to the many smaller operators, using its existing network capacity. But in the context of assessing the absence of potential competition, it is considered that, at a national level Silknet is already a notional competitor, not a new entrant.</w:t>
      </w:r>
    </w:p>
    <w:p w14:paraId="388A1945" w14:textId="5068A30D" w:rsidR="00AC7AC5" w:rsidRPr="00BC1ABD" w:rsidRDefault="00AC7AC5" w:rsidP="00AC7AC5">
      <w:pPr>
        <w:spacing w:after="160" w:line="256" w:lineRule="auto"/>
        <w:jc w:val="both"/>
        <w:rPr>
          <w:sz w:val="24"/>
          <w:szCs w:val="24"/>
          <w:lang w:val="en-GB"/>
        </w:rPr>
      </w:pPr>
      <w:r w:rsidRPr="00BC1ABD">
        <w:rPr>
          <w:sz w:val="24"/>
          <w:szCs w:val="24"/>
          <w:lang w:val="en-GB"/>
        </w:rPr>
        <w:t xml:space="preserve">There are also around 60 smaller players with </w:t>
      </w:r>
      <w:r w:rsidR="00F026B4">
        <w:rPr>
          <w:sz w:val="24"/>
          <w:szCs w:val="24"/>
          <w:lang w:val="en-GB"/>
        </w:rPr>
        <w:t>FTTx</w:t>
      </w:r>
      <w:r w:rsidRPr="00BC1ABD">
        <w:rPr>
          <w:sz w:val="24"/>
          <w:szCs w:val="24"/>
          <w:lang w:val="en-GB"/>
        </w:rPr>
        <w:t>-based retail broadband offerings using their own fibre-based central core network infrastructures.</w:t>
      </w:r>
      <w:r w:rsidR="00195B2F">
        <w:rPr>
          <w:sz w:val="24"/>
          <w:szCs w:val="24"/>
          <w:lang w:val="en-GB"/>
        </w:rPr>
        <w:t xml:space="preserve"> </w:t>
      </w:r>
      <w:r w:rsidRPr="00BC1ABD">
        <w:rPr>
          <w:sz w:val="24"/>
          <w:szCs w:val="24"/>
          <w:lang w:val="en-GB"/>
        </w:rPr>
        <w:t xml:space="preserve">These smaller players have only limited geographical scope. Their current total retail market share of the many smaller operators is only 7.1% (see Figures </w:t>
      </w:r>
      <w:r w:rsidR="00116CFD">
        <w:rPr>
          <w:sz w:val="24"/>
          <w:szCs w:val="24"/>
          <w:lang w:val="en-GB"/>
        </w:rPr>
        <w:t>50</w:t>
      </w:r>
      <w:r w:rsidRPr="00BC1ABD">
        <w:rPr>
          <w:sz w:val="24"/>
          <w:szCs w:val="24"/>
          <w:lang w:val="en-GB"/>
        </w:rPr>
        <w:t xml:space="preserve"> and </w:t>
      </w:r>
      <w:r w:rsidR="000C6045">
        <w:rPr>
          <w:sz w:val="24"/>
          <w:szCs w:val="24"/>
          <w:lang w:val="en-GB"/>
        </w:rPr>
        <w:t>52</w:t>
      </w:r>
      <w:r w:rsidRPr="00BC1ABD">
        <w:rPr>
          <w:sz w:val="24"/>
          <w:szCs w:val="24"/>
          <w:lang w:val="en-GB"/>
        </w:rPr>
        <w:t>). These smaller players, if acting as a collective (for example as a new consolidated entity) could be treated as a potential new market entrant. It is considered unlikely that (even collectively) they would be able to establish a wholesale local and central access offering on a national scale within the forward-looking time horizon of this market analysis.</w:t>
      </w:r>
    </w:p>
    <w:p w14:paraId="24F83E44" w14:textId="594416AB" w:rsidR="00AC7AC5" w:rsidRPr="00BC1ABD" w:rsidRDefault="00AC7AC5" w:rsidP="00AC7AC5">
      <w:pPr>
        <w:spacing w:after="160" w:line="256" w:lineRule="auto"/>
        <w:jc w:val="both"/>
        <w:rPr>
          <w:sz w:val="24"/>
          <w:szCs w:val="24"/>
          <w:lang w:val="en-GB"/>
        </w:rPr>
      </w:pPr>
      <w:r w:rsidRPr="00BC1ABD">
        <w:rPr>
          <w:sz w:val="24"/>
          <w:szCs w:val="24"/>
          <w:lang w:val="en-GB"/>
        </w:rPr>
        <w:t>The impact from the entry into the wholesale local and central access market from another established operator in a closely associated market should also be considered. Market entry is more likely when if a potential new entrant is already present in neighbouring markets or have the network capacity to supply or contest a relevant wholesale access service. For example, the third largest Georgian mobile network operator (</w:t>
      </w:r>
      <w:r w:rsidR="00CC3E4F">
        <w:rPr>
          <w:sz w:val="24"/>
          <w:szCs w:val="24"/>
          <w:lang w:val="en-GB"/>
        </w:rPr>
        <w:t>Cellfie</w:t>
      </w:r>
      <w:r w:rsidRPr="00BC1ABD">
        <w:rPr>
          <w:sz w:val="24"/>
          <w:szCs w:val="24"/>
          <w:lang w:val="en-GB"/>
        </w:rPr>
        <w:t>) could choose to become a converged mobile/ fixed broadband business to rival its main competitors Magticom and Silknet)</w:t>
      </w:r>
      <w:r w:rsidR="001377A1">
        <w:rPr>
          <w:sz w:val="24"/>
          <w:szCs w:val="24"/>
          <w:lang w:val="en-GB"/>
        </w:rPr>
        <w:t xml:space="preserve">. </w:t>
      </w:r>
      <w:r w:rsidRPr="00BC1ABD">
        <w:rPr>
          <w:sz w:val="24"/>
          <w:szCs w:val="24"/>
          <w:lang w:val="en-GB"/>
        </w:rPr>
        <w:t xml:space="preserve">By entering the fixed retail higher-speed broadband market, </w:t>
      </w:r>
      <w:r w:rsidR="00CC3E4F">
        <w:rPr>
          <w:sz w:val="24"/>
          <w:szCs w:val="24"/>
          <w:lang w:val="en-GB"/>
        </w:rPr>
        <w:t>Cellfie</w:t>
      </w:r>
      <w:r w:rsidRPr="00BC1ABD">
        <w:rPr>
          <w:sz w:val="24"/>
          <w:szCs w:val="24"/>
          <w:lang w:val="en-GB"/>
        </w:rPr>
        <w:t xml:space="preserve"> could also be exploited as a local and central access offer. To achieve this, </w:t>
      </w:r>
      <w:r w:rsidR="00CC3E4F">
        <w:rPr>
          <w:sz w:val="24"/>
          <w:szCs w:val="24"/>
          <w:lang w:val="en-GB"/>
        </w:rPr>
        <w:t>Cellfie</w:t>
      </w:r>
      <w:r w:rsidRPr="00BC1ABD">
        <w:rPr>
          <w:sz w:val="24"/>
          <w:szCs w:val="24"/>
          <w:lang w:val="en-GB"/>
        </w:rPr>
        <w:t xml:space="preserve"> would have to invest heavily in </w:t>
      </w:r>
      <w:r w:rsidR="00F026B4">
        <w:rPr>
          <w:sz w:val="24"/>
          <w:szCs w:val="24"/>
          <w:lang w:val="en-GB"/>
        </w:rPr>
        <w:t>FTTx</w:t>
      </w:r>
      <w:r w:rsidRPr="00BC1ABD">
        <w:rPr>
          <w:sz w:val="24"/>
          <w:szCs w:val="24"/>
          <w:lang w:val="en-GB"/>
        </w:rPr>
        <w:t xml:space="preserve"> local access networks. Some of </w:t>
      </w:r>
      <w:r w:rsidR="00CC3E4F">
        <w:rPr>
          <w:sz w:val="24"/>
          <w:szCs w:val="24"/>
          <w:lang w:val="en-GB"/>
        </w:rPr>
        <w:t>Cellfie</w:t>
      </w:r>
      <w:r w:rsidRPr="00BC1ABD">
        <w:rPr>
          <w:sz w:val="24"/>
          <w:szCs w:val="24"/>
          <w:lang w:val="en-GB"/>
        </w:rPr>
        <w:t xml:space="preserve">’s mobile backhaul and central network capacity could be exploited, but the main part of any necessary infrastructure expenditure would still be required in an </w:t>
      </w:r>
      <w:r w:rsidR="00F026B4">
        <w:rPr>
          <w:sz w:val="24"/>
          <w:szCs w:val="24"/>
          <w:lang w:val="en-GB"/>
        </w:rPr>
        <w:t>FTTx</w:t>
      </w:r>
      <w:r w:rsidRPr="00BC1ABD">
        <w:rPr>
          <w:sz w:val="24"/>
          <w:szCs w:val="24"/>
          <w:lang w:val="en-GB"/>
        </w:rPr>
        <w:t xml:space="preserve"> local access network.</w:t>
      </w:r>
      <w:r w:rsidR="00195B2F">
        <w:rPr>
          <w:sz w:val="24"/>
          <w:szCs w:val="24"/>
          <w:lang w:val="en-GB"/>
        </w:rPr>
        <w:t xml:space="preserve"> </w:t>
      </w:r>
      <w:r w:rsidRPr="00BC1ABD">
        <w:rPr>
          <w:sz w:val="24"/>
          <w:szCs w:val="24"/>
          <w:lang w:val="en-GB"/>
        </w:rPr>
        <w:t xml:space="preserve">It is considered unlikely that </w:t>
      </w:r>
      <w:r w:rsidR="00CC3E4F">
        <w:rPr>
          <w:sz w:val="24"/>
          <w:szCs w:val="24"/>
          <w:lang w:val="en-GB"/>
        </w:rPr>
        <w:t>Cellfie</w:t>
      </w:r>
      <w:r w:rsidRPr="00BC1ABD">
        <w:rPr>
          <w:sz w:val="24"/>
          <w:szCs w:val="24"/>
          <w:lang w:val="en-GB"/>
        </w:rPr>
        <w:t xml:space="preserve"> would be able to enter the higher-speed fixed broadband retail market and therefore have the capacity to offer wholesale local and central access in the forward-looking time horizon of this market analysis.</w:t>
      </w:r>
    </w:p>
    <w:p w14:paraId="62797424" w14:textId="6DF0E8E3" w:rsidR="00AC7AC5" w:rsidRPr="00BC1ABD" w:rsidRDefault="00AC7AC5" w:rsidP="00AC7AC5">
      <w:pPr>
        <w:spacing w:after="160" w:line="256" w:lineRule="auto"/>
        <w:jc w:val="both"/>
        <w:rPr>
          <w:sz w:val="24"/>
          <w:szCs w:val="24"/>
          <w:lang w:val="en-GB"/>
        </w:rPr>
      </w:pPr>
      <w:r w:rsidRPr="00BC1ABD">
        <w:rPr>
          <w:sz w:val="24"/>
          <w:szCs w:val="24"/>
          <w:lang w:val="en-GB"/>
        </w:rPr>
        <w:t>There is also a need to consider the case of the entrance of Open</w:t>
      </w:r>
      <w:r w:rsidR="001A02CA">
        <w:rPr>
          <w:sz w:val="24"/>
          <w:szCs w:val="24"/>
          <w:lang w:val="en-GB"/>
        </w:rPr>
        <w:t xml:space="preserve"> </w:t>
      </w:r>
      <w:r w:rsidRPr="00BC1ABD">
        <w:rPr>
          <w:sz w:val="24"/>
          <w:szCs w:val="24"/>
          <w:lang w:val="en-GB"/>
        </w:rPr>
        <w:t>Net into the market, in providing fibre points of presence in Georgian settlements which are currently unconnected to any digital networks. The number of unserved premises in these settlements is estimated 15.6% of total Georgian premises. Under the terms of their state-funded contract, Open</w:t>
      </w:r>
      <w:r w:rsidR="001A02CA">
        <w:rPr>
          <w:sz w:val="24"/>
          <w:szCs w:val="24"/>
          <w:lang w:val="en-GB"/>
        </w:rPr>
        <w:t xml:space="preserve"> </w:t>
      </w:r>
      <w:r w:rsidRPr="00BC1ABD">
        <w:rPr>
          <w:sz w:val="24"/>
          <w:szCs w:val="24"/>
          <w:lang w:val="en-GB"/>
        </w:rPr>
        <w:t>Net is not providing retail broadband access in these settlements. A full wholesale local and central access service could only be provided to an access seeker if Open</w:t>
      </w:r>
      <w:r w:rsidR="001A02CA">
        <w:rPr>
          <w:sz w:val="24"/>
          <w:szCs w:val="24"/>
          <w:lang w:val="en-GB"/>
        </w:rPr>
        <w:t xml:space="preserve"> </w:t>
      </w:r>
      <w:r w:rsidRPr="00BC1ABD">
        <w:rPr>
          <w:sz w:val="24"/>
          <w:szCs w:val="24"/>
          <w:lang w:val="en-GB"/>
        </w:rPr>
        <w:t>Net and a retail provider together provided wholesale access. It is considered that, even if Open</w:t>
      </w:r>
      <w:r w:rsidR="001A02CA">
        <w:rPr>
          <w:sz w:val="24"/>
          <w:szCs w:val="24"/>
          <w:lang w:val="en-GB"/>
        </w:rPr>
        <w:t xml:space="preserve"> </w:t>
      </w:r>
      <w:r w:rsidRPr="00BC1ABD">
        <w:rPr>
          <w:sz w:val="24"/>
          <w:szCs w:val="24"/>
          <w:lang w:val="en-GB"/>
        </w:rPr>
        <w:t>Net as a new market entrant was able to offer a wholesale local and central access service, the competitive impact would be small. This is because Open</w:t>
      </w:r>
      <w:r w:rsidR="001A02CA">
        <w:rPr>
          <w:sz w:val="24"/>
          <w:szCs w:val="24"/>
          <w:lang w:val="en-GB"/>
        </w:rPr>
        <w:t xml:space="preserve"> </w:t>
      </w:r>
      <w:r w:rsidRPr="00BC1ABD">
        <w:rPr>
          <w:sz w:val="24"/>
          <w:szCs w:val="24"/>
          <w:lang w:val="en-GB"/>
        </w:rPr>
        <w:t>Net would have to make wholesale arrangements in all its settlements (this is likely to be with multiple local operators across all the different settlements) and also because there would be no resulting competitive pressure on the majority of the national market for wholesale local and central access.</w:t>
      </w:r>
    </w:p>
    <w:p w14:paraId="6869872E" w14:textId="77777777" w:rsidR="00595FA9" w:rsidRPr="00BC1ABD" w:rsidRDefault="00AC7AC5" w:rsidP="00AC7AC5">
      <w:pPr>
        <w:spacing w:after="160" w:line="256" w:lineRule="auto"/>
        <w:jc w:val="both"/>
        <w:rPr>
          <w:sz w:val="24"/>
          <w:szCs w:val="24"/>
          <w:lang w:val="en-GB"/>
        </w:rPr>
      </w:pPr>
      <w:r w:rsidRPr="00BC1ABD">
        <w:rPr>
          <w:sz w:val="24"/>
          <w:szCs w:val="24"/>
          <w:lang w:val="en-GB"/>
        </w:rPr>
        <w:t>It is therefore concluded that there is a lack of potential competition in the wholesale local and central access market.</w:t>
      </w:r>
      <w:r w:rsidR="00595FA9" w:rsidRPr="00BC1ABD">
        <w:rPr>
          <w:sz w:val="24"/>
          <w:szCs w:val="24"/>
          <w:lang w:val="en-GB"/>
        </w:rPr>
        <w:t xml:space="preserve"> </w:t>
      </w:r>
    </w:p>
    <w:p w14:paraId="3373E473" w14:textId="7313E5AE" w:rsidR="003D14CD" w:rsidRPr="00BC1ABD" w:rsidRDefault="003D14CD"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72" w:name="_Toc169258958"/>
      <w:r w:rsidRPr="00BC1ABD">
        <w:rPr>
          <w:rFonts w:asciiTheme="minorHAnsi" w:hAnsiTheme="minorHAnsi" w:cstheme="minorHAnsi"/>
          <w:b w:val="0"/>
          <w:bCs w:val="0"/>
          <w:sz w:val="24"/>
          <w:szCs w:val="24"/>
          <w:lang w:val="en-GB"/>
        </w:rPr>
        <w:t>Barriers to market entry and expansion</w:t>
      </w:r>
      <w:bookmarkEnd w:id="272"/>
    </w:p>
    <w:p w14:paraId="000FE979" w14:textId="77777777" w:rsidR="003D14CD" w:rsidRPr="00BC1ABD" w:rsidRDefault="003D14CD" w:rsidP="003D14CD">
      <w:pPr>
        <w:spacing w:after="160" w:line="256" w:lineRule="auto"/>
        <w:jc w:val="both"/>
        <w:rPr>
          <w:sz w:val="24"/>
          <w:szCs w:val="24"/>
          <w:lang w:val="en-GB"/>
        </w:rPr>
      </w:pPr>
      <w:r w:rsidRPr="00BC1ABD">
        <w:rPr>
          <w:sz w:val="24"/>
          <w:szCs w:val="24"/>
          <w:lang w:val="en-GB"/>
        </w:rPr>
        <w:t>Barriers to expansion can exist in saturated markets that do not provide room for growth because there are only a limited number of new customers and revenues. This has a dissuasive effect on potential competitors such that there is no increase in the number of market players or might even lead to a market consolidation and a deteriorating number of operators.</w:t>
      </w:r>
    </w:p>
    <w:p w14:paraId="7D7C6453" w14:textId="2382D402" w:rsidR="003D14CD" w:rsidRPr="00BC1ABD" w:rsidRDefault="003D14CD" w:rsidP="003D14CD">
      <w:pPr>
        <w:spacing w:after="160" w:line="256" w:lineRule="auto"/>
        <w:jc w:val="both"/>
        <w:rPr>
          <w:sz w:val="24"/>
          <w:szCs w:val="24"/>
          <w:lang w:val="en-GB"/>
        </w:rPr>
      </w:pPr>
      <w:r w:rsidRPr="00BC1ABD">
        <w:rPr>
          <w:sz w:val="24"/>
          <w:szCs w:val="24"/>
          <w:lang w:val="en-GB"/>
        </w:rPr>
        <w:t xml:space="preserve">Barriers to market entry and expansion can also exist in a market as a result of an existing operator with SMP acting in a way that discourages or actively prevents a new or expanding operator from winning new customers in the same market. All the existing operators that have the potential to enter the wholesale local and central access market are vertically integrated retail and network operators with their own </w:t>
      </w:r>
      <w:r w:rsidR="00F026B4">
        <w:rPr>
          <w:sz w:val="24"/>
          <w:szCs w:val="24"/>
          <w:lang w:val="en-GB"/>
        </w:rPr>
        <w:t>FTTx</w:t>
      </w:r>
      <w:r w:rsidRPr="00BC1ABD">
        <w:rPr>
          <w:sz w:val="24"/>
          <w:szCs w:val="24"/>
          <w:lang w:val="en-GB"/>
        </w:rPr>
        <w:t xml:space="preserve"> access and fibre-based backhaul infrastructures. To enter the wholesale market for local and central access a new entrant would have to build its own new fibre-based infrastructure. An existing fibre-based network operator with only limited geographical coverage would also have to construct new infrastructure in other areas in order to have a significant competitive impact on an existing operator with national coverage.</w:t>
      </w:r>
    </w:p>
    <w:p w14:paraId="2821CC26" w14:textId="05E99870" w:rsidR="003D14CD" w:rsidRPr="00BC1ABD" w:rsidRDefault="003D14CD" w:rsidP="003D14CD">
      <w:pPr>
        <w:spacing w:after="160" w:line="256" w:lineRule="auto"/>
        <w:jc w:val="both"/>
        <w:rPr>
          <w:sz w:val="24"/>
          <w:szCs w:val="24"/>
          <w:lang w:val="en-GB"/>
        </w:rPr>
      </w:pPr>
      <w:r w:rsidRPr="00BC1ABD">
        <w:rPr>
          <w:sz w:val="24"/>
          <w:szCs w:val="24"/>
          <w:lang w:val="en-GB"/>
        </w:rPr>
        <w:t xml:space="preserve">There are currently no wholesale local and central access offers available in the Georgian market and the two operators with the largest </w:t>
      </w:r>
      <w:r w:rsidR="00F026B4">
        <w:rPr>
          <w:sz w:val="24"/>
          <w:szCs w:val="24"/>
          <w:lang w:val="en-GB"/>
        </w:rPr>
        <w:t>FTTx</w:t>
      </w:r>
      <w:r w:rsidRPr="00BC1ABD">
        <w:rPr>
          <w:sz w:val="24"/>
          <w:szCs w:val="24"/>
          <w:lang w:val="en-GB"/>
        </w:rPr>
        <w:t xml:space="preserve"> coverage do not appear to have a sufficient incentive to enter into commercial agreements with access-seekers because by doing so they would risk a faster erosion of their existing market shares.</w:t>
      </w:r>
    </w:p>
    <w:p w14:paraId="33A1A8FE" w14:textId="3280AE6E" w:rsidR="003D14CD" w:rsidRPr="00BC1ABD" w:rsidRDefault="003D14CD" w:rsidP="003D14CD">
      <w:pPr>
        <w:spacing w:after="160" w:line="256" w:lineRule="auto"/>
        <w:jc w:val="both"/>
        <w:rPr>
          <w:sz w:val="24"/>
          <w:szCs w:val="24"/>
          <w:lang w:val="en-GB"/>
        </w:rPr>
      </w:pPr>
      <w:r w:rsidRPr="00BC1ABD">
        <w:rPr>
          <w:sz w:val="24"/>
          <w:szCs w:val="24"/>
          <w:lang w:val="en-GB"/>
        </w:rPr>
        <w:t xml:space="preserve">It is therefore considered that any new operator wishing to enter the market or any existing operator that wishes to expand their market share faces significant barriers. One of the smaller operators </w:t>
      </w:r>
      <w:r w:rsidR="001A02CA">
        <w:rPr>
          <w:rFonts w:eastAsia="Times New Roman" w:cs="Arial"/>
          <w:sz w:val="24"/>
          <w:szCs w:val="24"/>
          <w:lang w:val="en-GB"/>
        </w:rPr>
        <w:t>Akhali Kselebi</w:t>
      </w:r>
      <w:r w:rsidRPr="00BC1ABD">
        <w:rPr>
          <w:sz w:val="24"/>
          <w:szCs w:val="24"/>
          <w:lang w:val="en-GB"/>
        </w:rPr>
        <w:t xml:space="preserve">, currently the third largest in the retail higher-speed fixed broadband access market) has actually suffered a decline in its market share over the last 5 years from 9.4% to 6.3% (see Figure </w:t>
      </w:r>
      <w:r w:rsidR="00D9464A">
        <w:rPr>
          <w:sz w:val="24"/>
          <w:szCs w:val="24"/>
          <w:lang w:val="en-GB"/>
        </w:rPr>
        <w:t>50</w:t>
      </w:r>
      <w:r w:rsidRPr="00BC1ABD">
        <w:rPr>
          <w:sz w:val="24"/>
          <w:szCs w:val="24"/>
          <w:lang w:val="en-GB"/>
        </w:rPr>
        <w:t>). The many new entrants (numbering around 60 operators) to the market since 2017 have only managed to achieve a total market share of 6.9%.</w:t>
      </w:r>
      <w:r w:rsidR="00195B2F">
        <w:rPr>
          <w:sz w:val="24"/>
          <w:szCs w:val="24"/>
          <w:lang w:val="en-GB"/>
        </w:rPr>
        <w:t xml:space="preserve"> </w:t>
      </w:r>
      <w:r w:rsidRPr="00BC1ABD">
        <w:rPr>
          <w:sz w:val="24"/>
          <w:szCs w:val="24"/>
          <w:lang w:val="en-GB"/>
        </w:rPr>
        <w:t xml:space="preserve"> This illustrates that there are real barriers to expansion already in place. Silknet (with it’s the advantage of its existing network of ducts) has already invested in its fibre-based local access and core network still only has limited national coverage. Silknet faces a barrier to expansion because in the areas of the required new investments it does not have significant local duct assets.</w:t>
      </w:r>
    </w:p>
    <w:p w14:paraId="5BDCF449" w14:textId="77777777" w:rsidR="003D14CD" w:rsidRPr="00BC1ABD" w:rsidRDefault="003D14CD" w:rsidP="003D14CD">
      <w:pPr>
        <w:spacing w:after="160" w:line="256" w:lineRule="auto"/>
        <w:jc w:val="both"/>
        <w:rPr>
          <w:sz w:val="24"/>
          <w:szCs w:val="24"/>
          <w:lang w:val="en-GB"/>
        </w:rPr>
      </w:pPr>
      <w:r w:rsidRPr="00BC1ABD">
        <w:rPr>
          <w:sz w:val="24"/>
          <w:szCs w:val="24"/>
          <w:lang w:val="en-GB"/>
        </w:rPr>
        <w:t>It is considered that there are currently significant barriers to entry and expansion into the wholesale market for local and central access.</w:t>
      </w:r>
    </w:p>
    <w:p w14:paraId="46947075" w14:textId="3B144F69" w:rsidR="00595FA9" w:rsidRPr="00BC1ABD" w:rsidRDefault="00595FA9"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73" w:name="_Toc169258959"/>
      <w:r w:rsidRPr="00BC1ABD">
        <w:rPr>
          <w:rFonts w:asciiTheme="minorHAnsi" w:hAnsiTheme="minorHAnsi" w:cstheme="minorHAnsi"/>
          <w:b w:val="0"/>
          <w:bCs w:val="0"/>
          <w:sz w:val="24"/>
          <w:szCs w:val="24"/>
          <w:lang w:val="en-GB"/>
        </w:rPr>
        <w:t>Absence of or low countervailing buying power, conclusion of long-term and sustainable access agreements</w:t>
      </w:r>
      <w:bookmarkEnd w:id="273"/>
    </w:p>
    <w:p w14:paraId="47AB0D79" w14:textId="5562F195" w:rsidR="00595FA9" w:rsidRPr="00BC1ABD" w:rsidRDefault="00595FA9" w:rsidP="00595FA9">
      <w:pPr>
        <w:spacing w:after="0" w:line="240" w:lineRule="auto"/>
        <w:jc w:val="both"/>
        <w:rPr>
          <w:sz w:val="24"/>
          <w:szCs w:val="24"/>
          <w:lang w:val="en-GB"/>
        </w:rPr>
      </w:pPr>
      <w:r w:rsidRPr="00BC1ABD">
        <w:rPr>
          <w:sz w:val="24"/>
          <w:szCs w:val="24"/>
          <w:lang w:val="en-GB"/>
        </w:rPr>
        <w:t xml:space="preserve">Article </w:t>
      </w:r>
      <w:r w:rsidR="00701D4E">
        <w:rPr>
          <w:sz w:val="24"/>
          <w:szCs w:val="24"/>
          <w:lang w:val="en-GB"/>
        </w:rPr>
        <w:t>1</w:t>
      </w:r>
      <w:r w:rsidR="00986F61">
        <w:rPr>
          <w:sz w:val="24"/>
          <w:szCs w:val="24"/>
          <w:lang w:val="en-GB"/>
        </w:rPr>
        <w:t>5</w:t>
      </w:r>
      <w:r w:rsidR="00701D4E">
        <w:rPr>
          <w:sz w:val="24"/>
          <w:szCs w:val="24"/>
          <w:lang w:val="en-GB"/>
        </w:rPr>
        <w:t>(</w:t>
      </w:r>
      <w:r w:rsidR="00770A9C">
        <w:rPr>
          <w:sz w:val="24"/>
          <w:szCs w:val="24"/>
          <w:lang w:val="en-GB"/>
        </w:rPr>
        <w:t>3</w:t>
      </w:r>
      <w:r w:rsidR="00701D4E">
        <w:rPr>
          <w:sz w:val="24"/>
          <w:szCs w:val="24"/>
          <w:lang w:val="en-GB"/>
        </w:rPr>
        <w:t>) c)</w:t>
      </w:r>
      <w:r w:rsidR="00701D4E" w:rsidRPr="00BC1ABD">
        <w:rPr>
          <w:sz w:val="24"/>
          <w:szCs w:val="24"/>
          <w:lang w:val="en-GB"/>
        </w:rPr>
        <w:t xml:space="preserve"> of ComCom’s </w:t>
      </w:r>
      <w:r w:rsidR="00804D47">
        <w:rPr>
          <w:sz w:val="24"/>
          <w:szCs w:val="24"/>
          <w:lang w:val="en-GB"/>
        </w:rPr>
        <w:t xml:space="preserve">revised </w:t>
      </w:r>
      <w:r w:rsidRPr="00BC1ABD">
        <w:rPr>
          <w:sz w:val="24"/>
          <w:szCs w:val="24"/>
          <w:lang w:val="en-GB"/>
        </w:rPr>
        <w:t xml:space="preserve">Methodological Rules </w:t>
      </w:r>
      <w:r w:rsidR="00701D4E">
        <w:rPr>
          <w:sz w:val="24"/>
          <w:szCs w:val="24"/>
          <w:lang w:val="en-GB"/>
        </w:rPr>
        <w:t>requires ComCom to take into account purchasing power of the potential users of the service</w:t>
      </w:r>
      <w:r w:rsidRPr="00BC1ABD">
        <w:rPr>
          <w:sz w:val="24"/>
          <w:szCs w:val="24"/>
          <w:lang w:val="en-GB"/>
        </w:rPr>
        <w:t>.</w:t>
      </w:r>
    </w:p>
    <w:p w14:paraId="0830B40D" w14:textId="77777777" w:rsidR="00595FA9" w:rsidRPr="00BC1ABD" w:rsidRDefault="00595FA9" w:rsidP="00595FA9">
      <w:pPr>
        <w:spacing w:after="0" w:line="240" w:lineRule="auto"/>
        <w:jc w:val="both"/>
        <w:rPr>
          <w:rFonts w:asciiTheme="minorHAnsi" w:hAnsiTheme="minorHAnsi" w:cstheme="minorHAnsi"/>
          <w:sz w:val="24"/>
          <w:szCs w:val="24"/>
          <w:lang w:val="en-GB"/>
        </w:rPr>
      </w:pPr>
    </w:p>
    <w:p w14:paraId="4B00FA24" w14:textId="714D3647" w:rsidR="00595FA9" w:rsidRPr="00C32486" w:rsidRDefault="00595FA9" w:rsidP="00C32486">
      <w:pPr>
        <w:spacing w:after="160" w:line="256" w:lineRule="auto"/>
        <w:jc w:val="both"/>
        <w:rPr>
          <w:sz w:val="24"/>
          <w:szCs w:val="24"/>
          <w:lang w:val="en-GB"/>
        </w:rPr>
      </w:pPr>
      <w:r w:rsidRPr="00BC1ABD">
        <w:rPr>
          <w:sz w:val="24"/>
          <w:szCs w:val="24"/>
          <w:lang w:val="en-GB"/>
        </w:rPr>
        <w:t xml:space="preserve">The overall higher-speed fixed broadband access market structure consist of two large, vertically integrated network operators competing against a large number of smaller </w:t>
      </w:r>
      <w:r w:rsidR="00F026B4">
        <w:rPr>
          <w:sz w:val="24"/>
          <w:szCs w:val="24"/>
          <w:lang w:val="en-GB"/>
        </w:rPr>
        <w:t>FTTx</w:t>
      </w:r>
      <w:r w:rsidRPr="00BC1ABD">
        <w:rPr>
          <w:sz w:val="24"/>
          <w:szCs w:val="24"/>
          <w:lang w:val="en-GB"/>
        </w:rPr>
        <w:t xml:space="preserve"> operators all with limited geographical coverage (see Figure </w:t>
      </w:r>
      <w:r w:rsidR="00767472">
        <w:rPr>
          <w:sz w:val="24"/>
          <w:szCs w:val="24"/>
          <w:lang w:val="en-GB"/>
        </w:rPr>
        <w:t>52</w:t>
      </w:r>
      <w:r w:rsidRPr="00BC1ABD">
        <w:rPr>
          <w:sz w:val="24"/>
          <w:szCs w:val="24"/>
          <w:lang w:val="en-GB"/>
        </w:rPr>
        <w:t xml:space="preserve">). In general, access-seekers could have a degree of buying power if they purchase large volumes and have a credible threat to switch supplier or to meet their own requirements through self-supply. In Georgia’s case there are no alternative wholesale providers </w:t>
      </w:r>
      <w:r w:rsidR="00A11A28" w:rsidRPr="00BC1ABD">
        <w:rPr>
          <w:sz w:val="24"/>
          <w:szCs w:val="24"/>
          <w:lang w:val="en-GB"/>
        </w:rPr>
        <w:t xml:space="preserve">with potential national coverage similar to Magticom’s </w:t>
      </w:r>
      <w:r w:rsidR="00F026B4">
        <w:rPr>
          <w:sz w:val="24"/>
          <w:szCs w:val="24"/>
          <w:lang w:val="en-GB"/>
        </w:rPr>
        <w:t>FTTx</w:t>
      </w:r>
      <w:r w:rsidR="00A11A28" w:rsidRPr="00BC1ABD">
        <w:rPr>
          <w:sz w:val="24"/>
          <w:szCs w:val="24"/>
          <w:lang w:val="en-GB"/>
        </w:rPr>
        <w:t xml:space="preserve"> network</w:t>
      </w:r>
      <w:r w:rsidRPr="00BC1ABD">
        <w:rPr>
          <w:sz w:val="24"/>
          <w:szCs w:val="24"/>
          <w:lang w:val="en-GB"/>
        </w:rPr>
        <w:t>. In order for a competitive threat to be effective for an access-seeker to gain buying power, the volumes that are or can credibly be met from another source of supply need to have a material impact on the wholesale supplier’s profitability. Practically, this requires volumes to be significant and to represent a material proportion of a wholesale supplier’s total volumes.</w:t>
      </w:r>
    </w:p>
    <w:p w14:paraId="460D938E" w14:textId="1FB84888" w:rsidR="00595FA9" w:rsidRPr="00C32486" w:rsidRDefault="00595FA9" w:rsidP="00C32486">
      <w:pPr>
        <w:spacing w:after="160" w:line="256" w:lineRule="auto"/>
        <w:jc w:val="both"/>
        <w:rPr>
          <w:sz w:val="24"/>
          <w:szCs w:val="24"/>
          <w:lang w:val="en-GB"/>
        </w:rPr>
      </w:pPr>
      <w:r w:rsidRPr="00A039AC">
        <w:rPr>
          <w:sz w:val="24"/>
          <w:szCs w:val="24"/>
          <w:lang w:val="en-GB"/>
        </w:rPr>
        <w:t xml:space="preserve">If a smaller operator were to approach a larger operator for local and central access, it is considered highly unlikely that </w:t>
      </w:r>
      <w:r w:rsidR="001D28D8" w:rsidRPr="00A039AC">
        <w:rPr>
          <w:sz w:val="24"/>
          <w:szCs w:val="24"/>
          <w:lang w:val="en-GB"/>
        </w:rPr>
        <w:t>Magticom</w:t>
      </w:r>
      <w:r w:rsidRPr="00A039AC">
        <w:rPr>
          <w:sz w:val="24"/>
          <w:szCs w:val="24"/>
          <w:lang w:val="en-GB"/>
        </w:rPr>
        <w:t xml:space="preserve"> would enter into a commercial agreement (in the absence of regulatory intervention). </w:t>
      </w:r>
    </w:p>
    <w:p w14:paraId="40FB0828" w14:textId="0D861339" w:rsidR="00C32486" w:rsidRPr="00C32486" w:rsidRDefault="00595FA9" w:rsidP="00C32486">
      <w:pPr>
        <w:spacing w:after="160" w:line="256" w:lineRule="auto"/>
        <w:jc w:val="both"/>
        <w:rPr>
          <w:sz w:val="24"/>
          <w:szCs w:val="24"/>
          <w:lang w:val="en-GB"/>
        </w:rPr>
      </w:pPr>
      <w:r w:rsidRPr="00C32486">
        <w:rPr>
          <w:sz w:val="24"/>
          <w:szCs w:val="24"/>
          <w:lang w:val="en-GB"/>
        </w:rPr>
        <w:t>In the present case of an ex-ante regulatory requirement for wholesale access to unbundled copper pairs already being in place, there have been no known contracts between access-seekers and copper pair providers. In that case, and in the forward-looking case of wholesale local and central access, any access-seekers could only exert buying power if they could credibly threaten to switch to an alternative provider of the relevant wholesale service. This is not the case in Georgia for wholesale access to unbundled copper pairs and it is unlikely also to be that case in the future for wholesale local and central access.</w:t>
      </w:r>
    </w:p>
    <w:p w14:paraId="1F639ECD" w14:textId="77777777" w:rsidR="00595FA9" w:rsidRPr="00BC1ABD" w:rsidRDefault="00595FA9" w:rsidP="009A0273">
      <w:pPr>
        <w:spacing w:after="160" w:line="256"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The absence of wholesale offers by the larger operators indicates that it is not subject to effective countervailing buying power from potential access seekers wishing to use their local and central network infrastructures so that the smaller operators concerned could expand their market coverage. It is therefore considered that the smaller operators in the Georgian higher-speed fixed retail market have very low countervailing buying power </w:t>
      </w:r>
      <w:r w:rsidR="009A0273" w:rsidRPr="00BC1ABD">
        <w:rPr>
          <w:rFonts w:asciiTheme="minorHAnsi" w:hAnsiTheme="minorHAnsi" w:cstheme="minorHAnsi"/>
          <w:sz w:val="24"/>
          <w:szCs w:val="24"/>
          <w:lang w:val="en-GB"/>
        </w:rPr>
        <w:t xml:space="preserve">which could impact pricing in the wholesale market of local and central access market. </w:t>
      </w:r>
      <w:r w:rsidRPr="00BC1ABD">
        <w:rPr>
          <w:rFonts w:asciiTheme="minorHAnsi" w:hAnsiTheme="minorHAnsi" w:cstheme="minorHAnsi"/>
          <w:sz w:val="24"/>
          <w:szCs w:val="24"/>
          <w:lang w:val="en-GB"/>
        </w:rPr>
        <w:t xml:space="preserve">In the absence of </w:t>
      </w:r>
      <w:r w:rsidRPr="00BC1ABD">
        <w:rPr>
          <w:rFonts w:asciiTheme="minorHAnsi" w:hAnsiTheme="minorHAnsi" w:cstheme="minorHAnsi"/>
          <w:i/>
          <w:iCs/>
          <w:sz w:val="24"/>
          <w:szCs w:val="24"/>
          <w:lang w:val="en-GB"/>
        </w:rPr>
        <w:t>ex-ante</w:t>
      </w:r>
      <w:r w:rsidRPr="00BC1ABD">
        <w:rPr>
          <w:rFonts w:asciiTheme="minorHAnsi" w:hAnsiTheme="minorHAnsi" w:cstheme="minorHAnsi"/>
          <w:sz w:val="24"/>
          <w:szCs w:val="24"/>
          <w:lang w:val="en-GB"/>
        </w:rPr>
        <w:t xml:space="preserve"> regulation, it is highly unlikely, with their low bargaining power, that smaller operators in Georgia would be able to conclude long-term and sustainable wholesale local and central access agreements with larger operators. </w:t>
      </w:r>
    </w:p>
    <w:p w14:paraId="4BCFEEF2" w14:textId="16120C55" w:rsidR="00595FA9" w:rsidRPr="00BC1ABD" w:rsidRDefault="00595FA9" w:rsidP="00DD796F">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74" w:name="_Toc169258960"/>
      <w:r w:rsidRPr="00BC1ABD">
        <w:rPr>
          <w:rFonts w:asciiTheme="minorHAnsi" w:hAnsiTheme="minorHAnsi" w:cstheme="minorHAnsi"/>
          <w:b w:val="0"/>
          <w:bCs w:val="0"/>
          <w:sz w:val="24"/>
          <w:szCs w:val="24"/>
          <w:lang w:val="en-GB"/>
        </w:rPr>
        <w:t>Easy or privileged access to capital markets/financial resources</w:t>
      </w:r>
      <w:bookmarkEnd w:id="274"/>
    </w:p>
    <w:p w14:paraId="030E96E7" w14:textId="5F74AF13" w:rsidR="00264F26" w:rsidRPr="00770A9C" w:rsidRDefault="00701D4E" w:rsidP="00264F26">
      <w:pPr>
        <w:spacing w:after="0" w:line="240" w:lineRule="auto"/>
        <w:jc w:val="both"/>
        <w:rPr>
          <w:rFonts w:asciiTheme="minorHAnsi" w:hAnsiTheme="minorHAnsi" w:cstheme="minorHAnsi"/>
          <w:i/>
          <w:iCs/>
          <w:sz w:val="24"/>
          <w:szCs w:val="24"/>
          <w:lang w:val="en-GB"/>
        </w:rPr>
      </w:pPr>
      <w:r w:rsidRPr="005B2F71">
        <w:rPr>
          <w:rFonts w:asciiTheme="minorHAnsi" w:hAnsiTheme="minorHAnsi" w:cstheme="minorHAnsi"/>
          <w:sz w:val="24"/>
          <w:szCs w:val="24"/>
          <w:highlight w:val="green"/>
          <w:lang w:val="en-GB"/>
        </w:rPr>
        <w:t xml:space="preserve">According to </w:t>
      </w:r>
      <w:r w:rsidR="00264F26" w:rsidRPr="005B2F71">
        <w:rPr>
          <w:rFonts w:asciiTheme="minorHAnsi" w:hAnsiTheme="minorHAnsi" w:cstheme="minorHAnsi"/>
          <w:sz w:val="24"/>
          <w:szCs w:val="24"/>
          <w:highlight w:val="green"/>
          <w:lang w:val="en-GB"/>
        </w:rPr>
        <w:t xml:space="preserve">Article </w:t>
      </w:r>
      <w:r w:rsidRPr="005B2F71">
        <w:rPr>
          <w:sz w:val="24"/>
          <w:szCs w:val="24"/>
          <w:highlight w:val="green"/>
          <w:lang w:val="en-GB"/>
        </w:rPr>
        <w:t>1</w:t>
      </w:r>
      <w:r w:rsidR="00986F61" w:rsidRPr="005B2F71">
        <w:rPr>
          <w:sz w:val="24"/>
          <w:szCs w:val="24"/>
          <w:highlight w:val="green"/>
          <w:lang w:val="en-GB"/>
        </w:rPr>
        <w:t>5</w:t>
      </w:r>
      <w:r w:rsidRPr="005B2F71">
        <w:rPr>
          <w:sz w:val="24"/>
          <w:szCs w:val="24"/>
          <w:highlight w:val="green"/>
          <w:lang w:val="en-GB"/>
        </w:rPr>
        <w:t>(</w:t>
      </w:r>
      <w:r w:rsidR="00770A9C" w:rsidRPr="005B2F71">
        <w:rPr>
          <w:sz w:val="24"/>
          <w:szCs w:val="24"/>
          <w:highlight w:val="green"/>
          <w:lang w:val="en-GB"/>
        </w:rPr>
        <w:t>3</w:t>
      </w:r>
      <w:r w:rsidRPr="005B2F71">
        <w:rPr>
          <w:sz w:val="24"/>
          <w:szCs w:val="24"/>
          <w:highlight w:val="green"/>
          <w:lang w:val="en-GB"/>
        </w:rPr>
        <w:t xml:space="preserve">) </w:t>
      </w:r>
      <w:r w:rsidR="00297EB5" w:rsidRPr="005B2F71">
        <w:rPr>
          <w:sz w:val="24"/>
          <w:szCs w:val="24"/>
          <w:highlight w:val="green"/>
          <w:lang w:val="en-GB"/>
        </w:rPr>
        <w:t>(</w:t>
      </w:r>
      <w:r w:rsidRPr="005B2F71">
        <w:rPr>
          <w:sz w:val="24"/>
          <w:szCs w:val="24"/>
          <w:highlight w:val="green"/>
          <w:lang w:val="en-GB"/>
        </w:rPr>
        <w:t xml:space="preserve">d) of ComCom’s revised </w:t>
      </w:r>
      <w:r w:rsidR="00264F26" w:rsidRPr="005B2F71">
        <w:rPr>
          <w:rFonts w:asciiTheme="minorHAnsi" w:hAnsiTheme="minorHAnsi" w:cstheme="minorHAnsi"/>
          <w:sz w:val="24"/>
          <w:szCs w:val="24"/>
          <w:highlight w:val="green"/>
          <w:lang w:val="en-GB"/>
        </w:rPr>
        <w:t xml:space="preserve">Methodological Rules </w:t>
      </w:r>
      <w:r w:rsidRPr="005B2F71">
        <w:rPr>
          <w:rFonts w:asciiTheme="minorHAnsi" w:hAnsiTheme="minorHAnsi" w:cstheme="minorHAnsi"/>
          <w:sz w:val="24"/>
          <w:szCs w:val="24"/>
          <w:highlight w:val="green"/>
          <w:lang w:val="en-GB"/>
        </w:rPr>
        <w:t>“</w:t>
      </w:r>
      <w:r w:rsidR="002E7EAF" w:rsidRPr="005B2F71">
        <w:rPr>
          <w:rFonts w:asciiTheme="minorHAnsi" w:hAnsiTheme="minorHAnsi" w:cstheme="minorHAnsi"/>
          <w:sz w:val="24"/>
          <w:szCs w:val="24"/>
          <w:highlight w:val="green"/>
          <w:lang w:val="en-GB"/>
        </w:rPr>
        <w:t>…</w:t>
      </w:r>
      <w:r w:rsidR="00770A9C" w:rsidRPr="005B2F71">
        <w:rPr>
          <w:rFonts w:asciiTheme="minorHAnsi" w:hAnsiTheme="minorHAnsi" w:cstheme="minorHAnsi"/>
          <w:i/>
          <w:iCs/>
          <w:sz w:val="24"/>
          <w:szCs w:val="24"/>
          <w:highlight w:val="green"/>
          <w:lang w:val="en-GB"/>
        </w:rPr>
        <w:t>this is a situation for some authori</w:t>
      </w:r>
      <w:r w:rsidR="00A337E7">
        <w:rPr>
          <w:rFonts w:asciiTheme="minorHAnsi" w:hAnsiTheme="minorHAnsi" w:cstheme="minorHAnsi"/>
          <w:i/>
          <w:iCs/>
          <w:sz w:val="24"/>
          <w:szCs w:val="24"/>
          <w:highlight w:val="green"/>
          <w:lang w:val="en-GB"/>
        </w:rPr>
        <w:t>s</w:t>
      </w:r>
      <w:r w:rsidR="00770A9C" w:rsidRPr="005B2F71">
        <w:rPr>
          <w:rFonts w:asciiTheme="minorHAnsi" w:hAnsiTheme="minorHAnsi" w:cstheme="minorHAnsi"/>
          <w:i/>
          <w:iCs/>
          <w:sz w:val="24"/>
          <w:szCs w:val="24"/>
          <w:highlight w:val="green"/>
          <w:lang w:val="en-GB"/>
        </w:rPr>
        <w:t xml:space="preserve">ed persons, when, based on </w:t>
      </w:r>
      <w:r w:rsidR="002F32D1" w:rsidRPr="005B2F71">
        <w:rPr>
          <w:rFonts w:asciiTheme="minorHAnsi" w:hAnsiTheme="minorHAnsi" w:cstheme="minorHAnsi"/>
          <w:i/>
          <w:iCs/>
          <w:sz w:val="24"/>
          <w:szCs w:val="24"/>
          <w:highlight w:val="green"/>
          <w:lang w:val="en-GB"/>
        </w:rPr>
        <w:t>their</w:t>
      </w:r>
      <w:r w:rsidR="00770A9C" w:rsidRPr="005B2F71">
        <w:rPr>
          <w:rFonts w:asciiTheme="minorHAnsi" w:hAnsiTheme="minorHAnsi" w:cstheme="minorHAnsi"/>
          <w:i/>
          <w:iCs/>
          <w:sz w:val="24"/>
          <w:szCs w:val="24"/>
          <w:highlight w:val="green"/>
          <w:lang w:val="en-GB"/>
        </w:rPr>
        <w:t xml:space="preserve"> volume, type of ownership, or affiliation with a local and international group, it </w:t>
      </w:r>
      <w:r w:rsidR="002F32D1" w:rsidRPr="005B2F71">
        <w:rPr>
          <w:rFonts w:asciiTheme="minorHAnsi" w:hAnsiTheme="minorHAnsi" w:cstheme="minorHAnsi"/>
          <w:i/>
          <w:iCs/>
          <w:sz w:val="24"/>
          <w:szCs w:val="24"/>
          <w:highlight w:val="green"/>
          <w:lang w:val="en-GB"/>
        </w:rPr>
        <w:t>is</w:t>
      </w:r>
      <w:r w:rsidR="00770A9C" w:rsidRPr="005B2F71">
        <w:rPr>
          <w:rFonts w:asciiTheme="minorHAnsi" w:hAnsiTheme="minorHAnsi" w:cstheme="minorHAnsi"/>
          <w:i/>
          <w:iCs/>
          <w:sz w:val="24"/>
          <w:szCs w:val="24"/>
          <w:highlight w:val="green"/>
          <w:lang w:val="en-GB"/>
        </w:rPr>
        <w:t xml:space="preserve"> possible for this authori</w:t>
      </w:r>
      <w:r w:rsidR="00A337E7">
        <w:rPr>
          <w:rFonts w:asciiTheme="minorHAnsi" w:hAnsiTheme="minorHAnsi" w:cstheme="minorHAnsi"/>
          <w:i/>
          <w:iCs/>
          <w:sz w:val="24"/>
          <w:szCs w:val="24"/>
          <w:highlight w:val="green"/>
          <w:lang w:val="en-GB"/>
        </w:rPr>
        <w:t>s</w:t>
      </w:r>
      <w:r w:rsidR="00770A9C" w:rsidRPr="005B2F71">
        <w:rPr>
          <w:rFonts w:asciiTheme="minorHAnsi" w:hAnsiTheme="minorHAnsi" w:cstheme="minorHAnsi"/>
          <w:i/>
          <w:iCs/>
          <w:sz w:val="24"/>
          <w:szCs w:val="24"/>
          <w:highlight w:val="green"/>
          <w:lang w:val="en-GB"/>
        </w:rPr>
        <w:t xml:space="preserve">ed person, </w:t>
      </w:r>
      <w:r w:rsidR="002F32D1" w:rsidRPr="005B2F71">
        <w:rPr>
          <w:rFonts w:asciiTheme="minorHAnsi" w:hAnsiTheme="minorHAnsi" w:cstheme="minorHAnsi"/>
          <w:i/>
          <w:iCs/>
          <w:sz w:val="24"/>
          <w:szCs w:val="24"/>
          <w:highlight w:val="green"/>
          <w:lang w:val="en-GB"/>
        </w:rPr>
        <w:t>to have easier access to capital and financial resources (both internal and external) in order to</w:t>
      </w:r>
      <w:r w:rsidR="00770A9C" w:rsidRPr="005B2F71">
        <w:rPr>
          <w:rFonts w:asciiTheme="minorHAnsi" w:hAnsiTheme="minorHAnsi" w:cstheme="minorHAnsi"/>
          <w:i/>
          <w:iCs/>
          <w:sz w:val="24"/>
          <w:szCs w:val="24"/>
          <w:highlight w:val="green"/>
          <w:lang w:val="en-GB"/>
        </w:rPr>
        <w:t xml:space="preserve">  make investments, renew the network and/or expand the network, and”</w:t>
      </w:r>
    </w:p>
    <w:p w14:paraId="61BFDF5A" w14:textId="77777777" w:rsidR="00264F26" w:rsidRPr="00BC1ABD" w:rsidRDefault="00264F26" w:rsidP="00264F26">
      <w:pPr>
        <w:spacing w:after="0" w:line="240" w:lineRule="auto"/>
        <w:jc w:val="both"/>
        <w:rPr>
          <w:rFonts w:asciiTheme="minorHAnsi" w:hAnsiTheme="minorHAnsi" w:cstheme="minorHAnsi"/>
          <w:i/>
          <w:iCs/>
          <w:sz w:val="24"/>
          <w:szCs w:val="24"/>
          <w:lang w:val="en-GB"/>
        </w:rPr>
      </w:pPr>
    </w:p>
    <w:p w14:paraId="18E86BD2" w14:textId="0730AB87" w:rsidR="00264F26" w:rsidRPr="00BC1ABD" w:rsidRDefault="002A26C4" w:rsidP="002A26C4">
      <w:pPr>
        <w:pStyle w:val="Caption"/>
        <w:jc w:val="center"/>
        <w:rPr>
          <w:rFonts w:cstheme="minorHAnsi"/>
          <w:i w:val="0"/>
          <w:iCs w:val="0"/>
          <w:sz w:val="24"/>
          <w:szCs w:val="24"/>
          <w:lang w:val="en-GB"/>
        </w:rPr>
      </w:pPr>
      <w:bookmarkStart w:id="275" w:name="_Toc152931405"/>
      <w:r>
        <w:t xml:space="preserve">Figure </w:t>
      </w:r>
      <w:r>
        <w:fldChar w:fldCharType="begin"/>
      </w:r>
      <w:r>
        <w:instrText xml:space="preserve"> SEQ Figure \* ARABIC </w:instrText>
      </w:r>
      <w:r>
        <w:fldChar w:fldCharType="separate"/>
      </w:r>
      <w:r w:rsidR="00ED2C35">
        <w:rPr>
          <w:noProof/>
        </w:rPr>
        <w:t>54</w:t>
      </w:r>
      <w:r>
        <w:fldChar w:fldCharType="end"/>
      </w:r>
      <w:r w:rsidR="00264F26" w:rsidRPr="00BC1ABD">
        <w:rPr>
          <w:sz w:val="20"/>
          <w:szCs w:val="20"/>
          <w:lang w:val="en-GB"/>
        </w:rPr>
        <w:t>: Key financial resource indicators 20</w:t>
      </w:r>
      <w:r w:rsidR="007064B4">
        <w:rPr>
          <w:sz w:val="20"/>
          <w:szCs w:val="20"/>
          <w:lang w:val="en-GB"/>
        </w:rPr>
        <w:t>19</w:t>
      </w:r>
      <w:r w:rsidR="00264F26" w:rsidRPr="00BC1ABD">
        <w:rPr>
          <w:sz w:val="20"/>
          <w:szCs w:val="20"/>
          <w:lang w:val="en-GB"/>
        </w:rPr>
        <w:t>-202</w:t>
      </w:r>
      <w:r w:rsidR="00C839B0">
        <w:rPr>
          <w:sz w:val="20"/>
          <w:szCs w:val="20"/>
          <w:lang w:val="en-GB"/>
        </w:rPr>
        <w:t>2</w:t>
      </w:r>
      <w:r w:rsidR="00264F26" w:rsidRPr="00BC1ABD">
        <w:rPr>
          <w:sz w:val="20"/>
          <w:szCs w:val="20"/>
          <w:lang w:val="en-GB"/>
        </w:rPr>
        <w:t xml:space="preserve"> (GEL millions)</w:t>
      </w:r>
      <w:bookmarkEnd w:id="275"/>
    </w:p>
    <w:tbl>
      <w:tblPr>
        <w:tblStyle w:val="Reetkatablice4"/>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15"/>
        <w:gridCol w:w="703"/>
        <w:gridCol w:w="703"/>
        <w:gridCol w:w="703"/>
        <w:gridCol w:w="703"/>
      </w:tblGrid>
      <w:tr w:rsidR="00200010" w:rsidRPr="005114E3" w14:paraId="5904934E" w14:textId="2680D09D" w:rsidTr="00355738">
        <w:trPr>
          <w:cnfStyle w:val="100000000000" w:firstRow="1" w:lastRow="0" w:firstColumn="0" w:lastColumn="0" w:oddVBand="0" w:evenVBand="0" w:oddHBand="0" w:evenHBand="0" w:firstRowFirstColumn="0" w:firstRowLastColumn="0" w:lastRowFirstColumn="0" w:lastRowLastColumn="0"/>
          <w:jc w:val="center"/>
        </w:trPr>
        <w:tc>
          <w:tcPr>
            <w:tcW w:w="2915" w:type="dxa"/>
            <w:tcBorders>
              <w:top w:val="single" w:sz="12" w:space="0" w:color="auto"/>
              <w:bottom w:val="single" w:sz="12" w:space="0" w:color="auto"/>
            </w:tcBorders>
            <w:shd w:val="clear" w:color="auto" w:fill="ACB9CA"/>
          </w:tcPr>
          <w:p w14:paraId="67EF3CF6" w14:textId="77777777" w:rsidR="00200010" w:rsidRPr="005114E3" w:rsidRDefault="00200010" w:rsidP="00200010">
            <w:pPr>
              <w:spacing w:after="0" w:line="240" w:lineRule="auto"/>
              <w:rPr>
                <w:rFonts w:eastAsia="Times New Roman" w:cs="Calibri"/>
                <w:sz w:val="24"/>
                <w:szCs w:val="24"/>
                <w:lang w:val="en-GB"/>
              </w:rPr>
            </w:pPr>
          </w:p>
        </w:tc>
        <w:tc>
          <w:tcPr>
            <w:tcW w:w="703" w:type="dxa"/>
            <w:tcBorders>
              <w:top w:val="single" w:sz="12" w:space="0" w:color="auto"/>
              <w:bottom w:val="single" w:sz="12" w:space="0" w:color="auto"/>
            </w:tcBorders>
            <w:shd w:val="clear" w:color="auto" w:fill="ACB9CA"/>
          </w:tcPr>
          <w:p w14:paraId="60029ABB" w14:textId="77777777"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2019</w:t>
            </w:r>
          </w:p>
        </w:tc>
        <w:tc>
          <w:tcPr>
            <w:tcW w:w="703" w:type="dxa"/>
            <w:tcBorders>
              <w:top w:val="single" w:sz="12" w:space="0" w:color="auto"/>
              <w:bottom w:val="single" w:sz="12" w:space="0" w:color="auto"/>
            </w:tcBorders>
            <w:shd w:val="clear" w:color="auto" w:fill="ACB9CA"/>
          </w:tcPr>
          <w:p w14:paraId="5EF6F151" w14:textId="77777777"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2020</w:t>
            </w:r>
          </w:p>
        </w:tc>
        <w:tc>
          <w:tcPr>
            <w:tcW w:w="703" w:type="dxa"/>
            <w:tcBorders>
              <w:top w:val="single" w:sz="12" w:space="0" w:color="auto"/>
              <w:bottom w:val="single" w:sz="12" w:space="0" w:color="auto"/>
            </w:tcBorders>
            <w:shd w:val="clear" w:color="auto" w:fill="ACB9CA"/>
          </w:tcPr>
          <w:p w14:paraId="42949428" w14:textId="77777777"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2021</w:t>
            </w:r>
          </w:p>
        </w:tc>
        <w:tc>
          <w:tcPr>
            <w:tcW w:w="703" w:type="dxa"/>
            <w:tcBorders>
              <w:top w:val="single" w:sz="12" w:space="0" w:color="auto"/>
              <w:bottom w:val="single" w:sz="12" w:space="0" w:color="auto"/>
            </w:tcBorders>
            <w:shd w:val="clear" w:color="auto" w:fill="ACB9CA"/>
          </w:tcPr>
          <w:p w14:paraId="36CFCFC2" w14:textId="205122D7"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2022</w:t>
            </w:r>
          </w:p>
        </w:tc>
      </w:tr>
      <w:tr w:rsidR="00200010" w:rsidRPr="005114E3" w14:paraId="761CD80B" w14:textId="5D620C35" w:rsidTr="00355738">
        <w:trPr>
          <w:jc w:val="center"/>
        </w:trPr>
        <w:tc>
          <w:tcPr>
            <w:tcW w:w="2915" w:type="dxa"/>
            <w:tcBorders>
              <w:top w:val="single" w:sz="12" w:space="0" w:color="auto"/>
            </w:tcBorders>
          </w:tcPr>
          <w:p w14:paraId="1F93E9D6" w14:textId="410AA14F" w:rsidR="00200010" w:rsidRPr="005114E3" w:rsidRDefault="00200010" w:rsidP="00200010">
            <w:pPr>
              <w:spacing w:after="0" w:line="240" w:lineRule="auto"/>
              <w:contextualSpacing/>
              <w:rPr>
                <w:rFonts w:eastAsia="Times New Roman" w:cs="Calibri"/>
                <w:sz w:val="24"/>
                <w:szCs w:val="24"/>
                <w:lang w:val="en-GB"/>
              </w:rPr>
            </w:pPr>
            <w:r w:rsidRPr="005114E3">
              <w:rPr>
                <w:rFonts w:eastAsia="Times New Roman" w:cs="Calibri"/>
                <w:sz w:val="24"/>
                <w:szCs w:val="24"/>
                <w:lang w:val="en-GB"/>
              </w:rPr>
              <w:t>EBITDA-</w:t>
            </w:r>
          </w:p>
          <w:p w14:paraId="087E69B2" w14:textId="77777777" w:rsidR="00200010" w:rsidRPr="005114E3" w:rsidRDefault="00200010" w:rsidP="00200010">
            <w:pPr>
              <w:numPr>
                <w:ilvl w:val="0"/>
                <w:numId w:val="36"/>
              </w:numPr>
              <w:spacing w:after="0" w:line="240" w:lineRule="auto"/>
              <w:contextualSpacing/>
              <w:rPr>
                <w:rFonts w:eastAsia="Times New Roman" w:cs="Calibri"/>
                <w:sz w:val="24"/>
                <w:szCs w:val="24"/>
                <w:lang w:val="en-GB"/>
              </w:rPr>
            </w:pPr>
            <w:r w:rsidRPr="005114E3">
              <w:rPr>
                <w:rFonts w:eastAsia="Times New Roman" w:cs="Calibri"/>
                <w:sz w:val="24"/>
                <w:szCs w:val="24"/>
                <w:lang w:val="en-GB"/>
              </w:rPr>
              <w:t>Magticom</w:t>
            </w:r>
          </w:p>
          <w:p w14:paraId="74A998EB" w14:textId="77777777" w:rsidR="00200010" w:rsidRPr="005114E3" w:rsidRDefault="00200010" w:rsidP="00200010">
            <w:pPr>
              <w:numPr>
                <w:ilvl w:val="0"/>
                <w:numId w:val="36"/>
              </w:numPr>
              <w:spacing w:after="0" w:line="240" w:lineRule="auto"/>
              <w:contextualSpacing/>
              <w:rPr>
                <w:rFonts w:eastAsia="Times New Roman" w:cs="Calibri"/>
                <w:sz w:val="24"/>
                <w:szCs w:val="24"/>
                <w:lang w:val="en-GB"/>
              </w:rPr>
            </w:pPr>
            <w:r w:rsidRPr="005114E3">
              <w:rPr>
                <w:rFonts w:eastAsia="Times New Roman" w:cs="Calibri"/>
                <w:sz w:val="24"/>
                <w:szCs w:val="24"/>
                <w:lang w:val="en-GB"/>
              </w:rPr>
              <w:t>Silknet</w:t>
            </w:r>
          </w:p>
          <w:p w14:paraId="295C659C" w14:textId="2DD01FF6" w:rsidR="00200010" w:rsidRPr="005114E3" w:rsidRDefault="00200010" w:rsidP="00200010">
            <w:pPr>
              <w:numPr>
                <w:ilvl w:val="0"/>
                <w:numId w:val="36"/>
              </w:numPr>
              <w:spacing w:after="0" w:line="240" w:lineRule="auto"/>
              <w:contextualSpacing/>
              <w:rPr>
                <w:rFonts w:eastAsia="Times New Roman" w:cs="Calibri"/>
                <w:sz w:val="24"/>
                <w:szCs w:val="24"/>
                <w:lang w:val="en-GB"/>
              </w:rPr>
            </w:pPr>
            <w:r>
              <w:rPr>
                <w:rFonts w:eastAsia="Times New Roman" w:cs="Calibri"/>
                <w:sz w:val="24"/>
                <w:szCs w:val="24"/>
                <w:lang w:val="en-GB"/>
              </w:rPr>
              <w:t>Cellfie</w:t>
            </w:r>
          </w:p>
        </w:tc>
        <w:tc>
          <w:tcPr>
            <w:tcW w:w="703" w:type="dxa"/>
            <w:tcBorders>
              <w:top w:val="single" w:sz="12" w:space="0" w:color="auto"/>
            </w:tcBorders>
          </w:tcPr>
          <w:p w14:paraId="036919B8" w14:textId="77777777" w:rsidR="00631EFE" w:rsidRPr="005B2F71" w:rsidRDefault="00631EFE" w:rsidP="00200010">
            <w:pPr>
              <w:spacing w:after="0" w:line="240" w:lineRule="auto"/>
              <w:jc w:val="center"/>
              <w:rPr>
                <w:rFonts w:eastAsia="Times New Roman" w:cs="Calibri"/>
                <w:sz w:val="24"/>
                <w:szCs w:val="24"/>
                <w:highlight w:val="yellow"/>
                <w:lang w:val="en-GB"/>
              </w:rPr>
            </w:pPr>
          </w:p>
          <w:p w14:paraId="1FCA53A8" w14:textId="48224210" w:rsidR="00631EFE" w:rsidRPr="005B2F71" w:rsidRDefault="00631EFE"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306</w:t>
            </w:r>
          </w:p>
          <w:p w14:paraId="3D10E2AE" w14:textId="24753437" w:rsidR="00631EFE" w:rsidRPr="005B2F71" w:rsidRDefault="00631EFE"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216</w:t>
            </w:r>
          </w:p>
          <w:p w14:paraId="3D8D1B51" w14:textId="544238E9" w:rsidR="00631EFE" w:rsidRPr="005B2F71" w:rsidRDefault="00631EFE"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45</w:t>
            </w:r>
          </w:p>
          <w:p w14:paraId="2E98470A" w14:textId="168EF576" w:rsidR="00200010" w:rsidRPr="005B2F71" w:rsidRDefault="00200010" w:rsidP="005B2F71">
            <w:pPr>
              <w:spacing w:after="0" w:line="240" w:lineRule="auto"/>
              <w:jc w:val="left"/>
              <w:rPr>
                <w:rFonts w:eastAsia="Times New Roman" w:cs="Calibri"/>
                <w:sz w:val="24"/>
                <w:szCs w:val="24"/>
                <w:highlight w:val="yellow"/>
                <w:lang w:val="en-GB"/>
              </w:rPr>
            </w:pPr>
          </w:p>
        </w:tc>
        <w:tc>
          <w:tcPr>
            <w:tcW w:w="703" w:type="dxa"/>
            <w:tcBorders>
              <w:top w:val="single" w:sz="12" w:space="0" w:color="auto"/>
            </w:tcBorders>
          </w:tcPr>
          <w:p w14:paraId="06048D6E" w14:textId="77777777" w:rsidR="00631EFE" w:rsidRPr="005B2F71" w:rsidRDefault="00631EFE" w:rsidP="00200010">
            <w:pPr>
              <w:spacing w:after="0" w:line="240" w:lineRule="auto"/>
              <w:jc w:val="center"/>
              <w:rPr>
                <w:rFonts w:eastAsia="Times New Roman" w:cs="Calibri"/>
                <w:sz w:val="24"/>
                <w:szCs w:val="24"/>
                <w:highlight w:val="yellow"/>
                <w:lang w:val="en-GB"/>
              </w:rPr>
            </w:pPr>
          </w:p>
          <w:p w14:paraId="67C1275C" w14:textId="1FFAC138" w:rsidR="00631EFE"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295</w:t>
            </w:r>
          </w:p>
          <w:p w14:paraId="651011D8" w14:textId="6E9C6FB8" w:rsidR="00AA11D1"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214</w:t>
            </w:r>
          </w:p>
          <w:p w14:paraId="7447EE9B" w14:textId="1D89A4ED" w:rsidR="00200010"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45</w:t>
            </w:r>
          </w:p>
        </w:tc>
        <w:tc>
          <w:tcPr>
            <w:tcW w:w="703" w:type="dxa"/>
            <w:tcBorders>
              <w:top w:val="single" w:sz="12" w:space="0" w:color="auto"/>
            </w:tcBorders>
          </w:tcPr>
          <w:p w14:paraId="0699A7D3" w14:textId="77777777" w:rsidR="00200010" w:rsidRPr="005B2F71" w:rsidRDefault="00200010" w:rsidP="00200010">
            <w:pPr>
              <w:spacing w:after="0" w:line="240" w:lineRule="auto"/>
              <w:jc w:val="center"/>
              <w:rPr>
                <w:rFonts w:eastAsia="Times New Roman" w:cs="Calibri"/>
                <w:sz w:val="24"/>
                <w:szCs w:val="24"/>
                <w:highlight w:val="yellow"/>
                <w:lang w:val="en-GB"/>
              </w:rPr>
            </w:pPr>
          </w:p>
          <w:p w14:paraId="145BCEC8" w14:textId="4E5E3EEE" w:rsidR="00AA11D1"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353</w:t>
            </w:r>
          </w:p>
          <w:p w14:paraId="63FDBD43" w14:textId="09ED56B1" w:rsidR="00AA11D1"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231</w:t>
            </w:r>
          </w:p>
          <w:p w14:paraId="4A4E265C" w14:textId="1B84A894" w:rsidR="00AA11D1"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54</w:t>
            </w:r>
          </w:p>
          <w:p w14:paraId="18BF1888" w14:textId="0B4072BA" w:rsidR="00200010" w:rsidRPr="005B2F71" w:rsidRDefault="00200010" w:rsidP="00200010">
            <w:pPr>
              <w:spacing w:after="0" w:line="240" w:lineRule="auto"/>
              <w:jc w:val="center"/>
              <w:rPr>
                <w:rFonts w:eastAsia="Times New Roman" w:cs="Calibri"/>
                <w:sz w:val="24"/>
                <w:szCs w:val="24"/>
                <w:highlight w:val="yellow"/>
                <w:lang w:val="en-GB"/>
              </w:rPr>
            </w:pPr>
          </w:p>
        </w:tc>
        <w:tc>
          <w:tcPr>
            <w:tcW w:w="703" w:type="dxa"/>
            <w:tcBorders>
              <w:top w:val="single" w:sz="12" w:space="0" w:color="auto"/>
            </w:tcBorders>
          </w:tcPr>
          <w:p w14:paraId="5A24FDF6" w14:textId="77777777" w:rsidR="00200010" w:rsidRPr="005B2F71" w:rsidRDefault="00200010" w:rsidP="00200010">
            <w:pPr>
              <w:spacing w:after="0" w:line="240" w:lineRule="auto"/>
              <w:jc w:val="center"/>
              <w:rPr>
                <w:rFonts w:eastAsia="Times New Roman" w:cs="Calibri"/>
                <w:sz w:val="24"/>
                <w:szCs w:val="24"/>
                <w:highlight w:val="yellow"/>
                <w:lang w:val="en-GB"/>
              </w:rPr>
            </w:pPr>
          </w:p>
          <w:p w14:paraId="4D07AC33" w14:textId="77777777" w:rsidR="00200010"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466</w:t>
            </w:r>
          </w:p>
          <w:p w14:paraId="2FFDBC40" w14:textId="77777777" w:rsidR="00AA11D1" w:rsidRPr="005B2F71" w:rsidRDefault="00AA11D1"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289</w:t>
            </w:r>
          </w:p>
          <w:p w14:paraId="157B3914" w14:textId="3182BEF7" w:rsidR="00AA11D1" w:rsidRPr="005B2F71" w:rsidRDefault="00894CFF"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63</w:t>
            </w:r>
          </w:p>
        </w:tc>
      </w:tr>
      <w:tr w:rsidR="00200010" w:rsidRPr="005114E3" w14:paraId="1B832AB1" w14:textId="3349765A" w:rsidTr="00355738">
        <w:trPr>
          <w:jc w:val="center"/>
        </w:trPr>
        <w:tc>
          <w:tcPr>
            <w:tcW w:w="2915" w:type="dxa"/>
          </w:tcPr>
          <w:p w14:paraId="4B991881" w14:textId="77777777" w:rsidR="00200010" w:rsidRPr="005114E3" w:rsidRDefault="00200010" w:rsidP="00200010">
            <w:pPr>
              <w:spacing w:after="0" w:line="240" w:lineRule="auto"/>
              <w:rPr>
                <w:rFonts w:eastAsia="Times New Roman" w:cs="Calibri"/>
                <w:sz w:val="24"/>
                <w:szCs w:val="24"/>
                <w:lang w:val="en-GB"/>
              </w:rPr>
            </w:pPr>
            <w:r w:rsidRPr="005114E3">
              <w:rPr>
                <w:rFonts w:eastAsia="Times New Roman" w:cs="Calibri"/>
                <w:sz w:val="24"/>
                <w:szCs w:val="24"/>
                <w:lang w:val="en-GB"/>
              </w:rPr>
              <w:t xml:space="preserve">Capex </w:t>
            </w:r>
          </w:p>
          <w:p w14:paraId="4B4DE61A" w14:textId="77777777" w:rsidR="00200010" w:rsidRPr="005114E3" w:rsidRDefault="00200010" w:rsidP="00200010">
            <w:pPr>
              <w:numPr>
                <w:ilvl w:val="0"/>
                <w:numId w:val="36"/>
              </w:numPr>
              <w:spacing w:after="0" w:line="240" w:lineRule="auto"/>
              <w:contextualSpacing/>
              <w:rPr>
                <w:rFonts w:eastAsia="Times New Roman" w:cs="Calibri"/>
                <w:sz w:val="24"/>
                <w:szCs w:val="24"/>
                <w:lang w:val="en-GB"/>
              </w:rPr>
            </w:pPr>
            <w:r w:rsidRPr="005114E3">
              <w:rPr>
                <w:rFonts w:eastAsia="Times New Roman" w:cs="Calibri"/>
                <w:sz w:val="24"/>
                <w:szCs w:val="24"/>
                <w:lang w:val="en-GB"/>
              </w:rPr>
              <w:t>Magticom</w:t>
            </w:r>
          </w:p>
          <w:p w14:paraId="06815A1A" w14:textId="77777777" w:rsidR="00200010" w:rsidRPr="005114E3" w:rsidRDefault="00200010" w:rsidP="00200010">
            <w:pPr>
              <w:numPr>
                <w:ilvl w:val="0"/>
                <w:numId w:val="36"/>
              </w:numPr>
              <w:spacing w:after="0" w:line="240" w:lineRule="auto"/>
              <w:contextualSpacing/>
              <w:rPr>
                <w:rFonts w:eastAsia="Times New Roman" w:cs="Calibri"/>
                <w:sz w:val="24"/>
                <w:szCs w:val="24"/>
                <w:lang w:val="en-GB"/>
              </w:rPr>
            </w:pPr>
            <w:r w:rsidRPr="005114E3">
              <w:rPr>
                <w:rFonts w:eastAsia="Times New Roman" w:cs="Calibri"/>
                <w:sz w:val="24"/>
                <w:szCs w:val="24"/>
                <w:lang w:val="en-GB"/>
              </w:rPr>
              <w:t>Silknet</w:t>
            </w:r>
          </w:p>
          <w:p w14:paraId="2B6A4514" w14:textId="7F8B60D2" w:rsidR="00200010" w:rsidRPr="005114E3" w:rsidRDefault="00200010" w:rsidP="00200010">
            <w:pPr>
              <w:numPr>
                <w:ilvl w:val="0"/>
                <w:numId w:val="36"/>
              </w:numPr>
              <w:spacing w:after="0" w:line="240" w:lineRule="auto"/>
              <w:contextualSpacing/>
              <w:rPr>
                <w:rFonts w:eastAsia="Times New Roman" w:cs="Calibri"/>
                <w:sz w:val="24"/>
                <w:szCs w:val="24"/>
                <w:lang w:val="en-GB"/>
              </w:rPr>
            </w:pPr>
            <w:r>
              <w:rPr>
                <w:rFonts w:eastAsia="Times New Roman" w:cs="Calibri"/>
                <w:sz w:val="24"/>
                <w:szCs w:val="24"/>
                <w:lang w:val="en-GB"/>
              </w:rPr>
              <w:t>Cellfie</w:t>
            </w:r>
          </w:p>
        </w:tc>
        <w:tc>
          <w:tcPr>
            <w:tcW w:w="703" w:type="dxa"/>
          </w:tcPr>
          <w:p w14:paraId="6196A02D" w14:textId="77777777" w:rsidR="00894CFF" w:rsidRPr="005B2F71" w:rsidRDefault="00894CFF" w:rsidP="00200010">
            <w:pPr>
              <w:spacing w:after="0" w:line="240" w:lineRule="auto"/>
              <w:jc w:val="center"/>
              <w:rPr>
                <w:rFonts w:eastAsia="Times New Roman" w:cs="Calibri"/>
                <w:sz w:val="24"/>
                <w:szCs w:val="24"/>
                <w:highlight w:val="yellow"/>
                <w:lang w:val="en-GB"/>
              </w:rPr>
            </w:pPr>
          </w:p>
          <w:p w14:paraId="37744A98" w14:textId="5E7CA698" w:rsidR="00894CFF" w:rsidRPr="005B2F71" w:rsidRDefault="00303398"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115</w:t>
            </w:r>
          </w:p>
          <w:p w14:paraId="6B7FC2F3" w14:textId="2AAB4107" w:rsidR="00303398" w:rsidRPr="005B2F71" w:rsidRDefault="00303398"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99</w:t>
            </w:r>
          </w:p>
          <w:p w14:paraId="10FE4408" w14:textId="0AE27C83" w:rsidR="00303398" w:rsidRPr="005B2F71" w:rsidRDefault="00303398"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22</w:t>
            </w:r>
          </w:p>
          <w:p w14:paraId="44BECE97" w14:textId="6EA9916A" w:rsidR="00200010" w:rsidRPr="005B2F71" w:rsidRDefault="00200010" w:rsidP="005B2F71">
            <w:pPr>
              <w:spacing w:after="0" w:line="240" w:lineRule="auto"/>
              <w:jc w:val="left"/>
              <w:rPr>
                <w:rFonts w:eastAsia="Times New Roman" w:cs="Calibri"/>
                <w:sz w:val="24"/>
                <w:szCs w:val="24"/>
                <w:highlight w:val="yellow"/>
                <w:lang w:val="en-GB"/>
              </w:rPr>
            </w:pPr>
          </w:p>
        </w:tc>
        <w:tc>
          <w:tcPr>
            <w:tcW w:w="703" w:type="dxa"/>
          </w:tcPr>
          <w:p w14:paraId="582FD40B" w14:textId="77777777" w:rsidR="00303398" w:rsidRPr="005B2F71" w:rsidRDefault="00303398" w:rsidP="00200010">
            <w:pPr>
              <w:spacing w:after="0" w:line="240" w:lineRule="auto"/>
              <w:jc w:val="center"/>
              <w:rPr>
                <w:rFonts w:eastAsia="Times New Roman" w:cs="Calibri"/>
                <w:sz w:val="24"/>
                <w:szCs w:val="24"/>
                <w:highlight w:val="yellow"/>
                <w:lang w:val="en-GB"/>
              </w:rPr>
            </w:pPr>
          </w:p>
          <w:p w14:paraId="7F1B2E7E" w14:textId="41E6930A" w:rsidR="00303398" w:rsidRPr="005B2F71" w:rsidRDefault="00303398"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31</w:t>
            </w:r>
          </w:p>
          <w:p w14:paraId="291F1318" w14:textId="47F26FE9" w:rsidR="00303398" w:rsidRPr="005B2F71" w:rsidRDefault="00303398"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105</w:t>
            </w:r>
          </w:p>
          <w:p w14:paraId="5E22931A" w14:textId="37AFDDFD" w:rsidR="00303398" w:rsidRPr="005B2F71" w:rsidRDefault="00303398"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46</w:t>
            </w:r>
          </w:p>
          <w:p w14:paraId="1ED8FE9E" w14:textId="19DB8E34" w:rsidR="00200010" w:rsidRPr="005B2F71" w:rsidRDefault="00200010" w:rsidP="005B2F71">
            <w:pPr>
              <w:spacing w:after="0" w:line="240" w:lineRule="auto"/>
              <w:jc w:val="left"/>
              <w:rPr>
                <w:rFonts w:eastAsia="Times New Roman" w:cs="Calibri"/>
                <w:sz w:val="24"/>
                <w:szCs w:val="24"/>
                <w:highlight w:val="yellow"/>
                <w:lang w:val="en-GB"/>
              </w:rPr>
            </w:pPr>
          </w:p>
        </w:tc>
        <w:tc>
          <w:tcPr>
            <w:tcW w:w="703" w:type="dxa"/>
          </w:tcPr>
          <w:p w14:paraId="085A4E07" w14:textId="77777777" w:rsidR="00303398" w:rsidRPr="005B2F71" w:rsidRDefault="00303398" w:rsidP="00200010">
            <w:pPr>
              <w:spacing w:after="0" w:line="240" w:lineRule="auto"/>
              <w:jc w:val="center"/>
              <w:rPr>
                <w:rFonts w:eastAsia="Times New Roman" w:cs="Calibri"/>
                <w:sz w:val="24"/>
                <w:szCs w:val="24"/>
                <w:highlight w:val="yellow"/>
                <w:lang w:val="en-GB"/>
              </w:rPr>
            </w:pPr>
          </w:p>
          <w:p w14:paraId="0195B0D1" w14:textId="401D7BCC" w:rsidR="00303398" w:rsidRPr="005B2F71" w:rsidRDefault="00303398" w:rsidP="00303398">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138</w:t>
            </w:r>
          </w:p>
          <w:p w14:paraId="2842D176" w14:textId="503D164F" w:rsidR="00303398" w:rsidRPr="005B2F71" w:rsidRDefault="00303398" w:rsidP="00303398">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71</w:t>
            </w:r>
          </w:p>
          <w:p w14:paraId="3C48B886" w14:textId="6CD14836" w:rsidR="00303398" w:rsidRPr="005B2F71" w:rsidRDefault="00303398" w:rsidP="00303398">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39</w:t>
            </w:r>
          </w:p>
          <w:p w14:paraId="25E34963" w14:textId="36B180E1" w:rsidR="00200010" w:rsidRPr="005B2F71" w:rsidRDefault="00200010" w:rsidP="005B2F71">
            <w:pPr>
              <w:spacing w:after="0" w:line="240" w:lineRule="auto"/>
              <w:jc w:val="left"/>
              <w:rPr>
                <w:rFonts w:eastAsia="Times New Roman" w:cs="Calibri"/>
                <w:sz w:val="24"/>
                <w:szCs w:val="24"/>
                <w:highlight w:val="yellow"/>
                <w:lang w:val="en-GB"/>
              </w:rPr>
            </w:pPr>
          </w:p>
        </w:tc>
        <w:tc>
          <w:tcPr>
            <w:tcW w:w="703" w:type="dxa"/>
          </w:tcPr>
          <w:p w14:paraId="313AD1B0" w14:textId="77777777" w:rsidR="00200010" w:rsidRPr="005B2F71" w:rsidRDefault="00200010" w:rsidP="00200010">
            <w:pPr>
              <w:spacing w:after="0" w:line="240" w:lineRule="auto"/>
              <w:jc w:val="center"/>
              <w:rPr>
                <w:rFonts w:eastAsia="Times New Roman" w:cs="Calibri"/>
                <w:sz w:val="24"/>
                <w:szCs w:val="24"/>
                <w:highlight w:val="yellow"/>
                <w:lang w:val="en-GB"/>
              </w:rPr>
            </w:pPr>
          </w:p>
          <w:p w14:paraId="19B53D12" w14:textId="77777777" w:rsidR="00200010" w:rsidRPr="005B2F71" w:rsidRDefault="00303398" w:rsidP="00200010">
            <w:pPr>
              <w:spacing w:after="0" w:line="240" w:lineRule="auto"/>
              <w:jc w:val="left"/>
              <w:rPr>
                <w:rFonts w:eastAsia="Times New Roman" w:cs="Calibri"/>
                <w:sz w:val="24"/>
                <w:szCs w:val="24"/>
                <w:highlight w:val="yellow"/>
                <w:lang w:val="en-GB"/>
              </w:rPr>
            </w:pPr>
            <w:r w:rsidRPr="005B2F71">
              <w:rPr>
                <w:rFonts w:eastAsia="Times New Roman" w:cs="Calibri"/>
                <w:sz w:val="24"/>
                <w:szCs w:val="24"/>
                <w:highlight w:val="yellow"/>
                <w:lang w:val="en-GB"/>
              </w:rPr>
              <w:t>105</w:t>
            </w:r>
          </w:p>
          <w:p w14:paraId="370CD654" w14:textId="77777777" w:rsidR="00303398" w:rsidRPr="005B2F71" w:rsidRDefault="00303398" w:rsidP="00200010">
            <w:pPr>
              <w:spacing w:after="0" w:line="240" w:lineRule="auto"/>
              <w:jc w:val="left"/>
              <w:rPr>
                <w:rFonts w:eastAsia="Times New Roman" w:cs="Calibri"/>
                <w:sz w:val="24"/>
                <w:szCs w:val="24"/>
                <w:highlight w:val="yellow"/>
                <w:lang w:val="en-GB"/>
              </w:rPr>
            </w:pPr>
            <w:r w:rsidRPr="005B2F71">
              <w:rPr>
                <w:rFonts w:eastAsia="Times New Roman" w:cs="Calibri"/>
                <w:sz w:val="24"/>
                <w:szCs w:val="24"/>
                <w:highlight w:val="yellow"/>
                <w:lang w:val="en-GB"/>
              </w:rPr>
              <w:t>73</w:t>
            </w:r>
          </w:p>
          <w:p w14:paraId="244E3C7B" w14:textId="3C3CE04C" w:rsidR="00303398" w:rsidRPr="005B2F71" w:rsidRDefault="00303398" w:rsidP="005B2F71">
            <w:pPr>
              <w:spacing w:after="0" w:line="240" w:lineRule="auto"/>
              <w:jc w:val="left"/>
              <w:rPr>
                <w:rFonts w:eastAsia="Times New Roman" w:cs="Calibri"/>
                <w:sz w:val="24"/>
                <w:szCs w:val="24"/>
                <w:highlight w:val="yellow"/>
                <w:lang w:val="en-GB"/>
              </w:rPr>
            </w:pPr>
            <w:r w:rsidRPr="005B2F71">
              <w:rPr>
                <w:rFonts w:eastAsia="Times New Roman" w:cs="Calibri"/>
                <w:sz w:val="24"/>
                <w:szCs w:val="24"/>
                <w:highlight w:val="yellow"/>
                <w:lang w:val="en-GB"/>
              </w:rPr>
              <w:t>25</w:t>
            </w:r>
          </w:p>
        </w:tc>
      </w:tr>
      <w:tr w:rsidR="00200010" w:rsidRPr="005114E3" w14:paraId="111A8F5A" w14:textId="6872EFBB" w:rsidTr="00355738">
        <w:trPr>
          <w:jc w:val="center"/>
        </w:trPr>
        <w:tc>
          <w:tcPr>
            <w:tcW w:w="2915" w:type="dxa"/>
            <w:tcBorders>
              <w:bottom w:val="single" w:sz="12" w:space="0" w:color="auto"/>
            </w:tcBorders>
          </w:tcPr>
          <w:p w14:paraId="120985F8" w14:textId="77777777" w:rsidR="00200010" w:rsidRPr="005114E3" w:rsidRDefault="00200010" w:rsidP="00200010">
            <w:pPr>
              <w:spacing w:after="0" w:line="240" w:lineRule="auto"/>
              <w:rPr>
                <w:rFonts w:eastAsia="Times New Roman" w:cs="Calibri"/>
                <w:sz w:val="24"/>
                <w:szCs w:val="24"/>
                <w:lang w:val="en-GB"/>
              </w:rPr>
            </w:pPr>
            <w:r w:rsidRPr="005114E3">
              <w:rPr>
                <w:rFonts w:eastAsia="Times New Roman" w:cs="Calibri"/>
                <w:sz w:val="24"/>
                <w:szCs w:val="24"/>
                <w:lang w:val="en-GB"/>
              </w:rPr>
              <w:t>Outstanding loans</w:t>
            </w:r>
          </w:p>
          <w:p w14:paraId="12654161" w14:textId="77777777" w:rsidR="00200010" w:rsidRPr="005114E3" w:rsidRDefault="00200010" w:rsidP="00200010">
            <w:pPr>
              <w:numPr>
                <w:ilvl w:val="0"/>
                <w:numId w:val="36"/>
              </w:numPr>
              <w:spacing w:after="0" w:line="240" w:lineRule="auto"/>
              <w:contextualSpacing/>
              <w:rPr>
                <w:rFonts w:eastAsia="Times New Roman" w:cs="Calibri"/>
                <w:sz w:val="24"/>
                <w:szCs w:val="24"/>
                <w:lang w:val="en-GB"/>
              </w:rPr>
            </w:pPr>
            <w:r w:rsidRPr="005114E3">
              <w:rPr>
                <w:rFonts w:eastAsia="Times New Roman" w:cs="Calibri"/>
                <w:sz w:val="24"/>
                <w:szCs w:val="24"/>
                <w:lang w:val="en-GB"/>
              </w:rPr>
              <w:t>Magticom</w:t>
            </w:r>
          </w:p>
          <w:p w14:paraId="5189E840" w14:textId="77777777" w:rsidR="00200010" w:rsidRPr="005114E3" w:rsidRDefault="00200010" w:rsidP="00200010">
            <w:pPr>
              <w:numPr>
                <w:ilvl w:val="0"/>
                <w:numId w:val="36"/>
              </w:numPr>
              <w:spacing w:after="0" w:line="240" w:lineRule="auto"/>
              <w:contextualSpacing/>
              <w:rPr>
                <w:rFonts w:eastAsia="Times New Roman" w:cs="Calibri"/>
                <w:sz w:val="24"/>
                <w:szCs w:val="24"/>
                <w:lang w:val="en-GB"/>
              </w:rPr>
            </w:pPr>
            <w:r w:rsidRPr="005114E3">
              <w:rPr>
                <w:rFonts w:eastAsia="Times New Roman" w:cs="Calibri"/>
                <w:sz w:val="24"/>
                <w:szCs w:val="24"/>
                <w:lang w:val="en-GB"/>
              </w:rPr>
              <w:t>Silknet</w:t>
            </w:r>
          </w:p>
          <w:p w14:paraId="329FBA10" w14:textId="648B565B" w:rsidR="00200010" w:rsidRPr="005114E3" w:rsidRDefault="00200010" w:rsidP="00200010">
            <w:pPr>
              <w:numPr>
                <w:ilvl w:val="0"/>
                <w:numId w:val="36"/>
              </w:numPr>
              <w:spacing w:after="0" w:line="240" w:lineRule="auto"/>
              <w:contextualSpacing/>
              <w:rPr>
                <w:rFonts w:eastAsia="Times New Roman" w:cs="Calibri"/>
                <w:sz w:val="24"/>
                <w:szCs w:val="24"/>
                <w:lang w:val="en-GB"/>
              </w:rPr>
            </w:pPr>
            <w:r>
              <w:rPr>
                <w:rFonts w:eastAsia="Times New Roman" w:cs="Calibri"/>
                <w:sz w:val="24"/>
                <w:szCs w:val="24"/>
                <w:lang w:val="en-GB"/>
              </w:rPr>
              <w:t>Cellfie</w:t>
            </w:r>
          </w:p>
        </w:tc>
        <w:tc>
          <w:tcPr>
            <w:tcW w:w="703" w:type="dxa"/>
            <w:tcBorders>
              <w:bottom w:val="single" w:sz="12" w:space="0" w:color="auto"/>
            </w:tcBorders>
          </w:tcPr>
          <w:p w14:paraId="34B1D759" w14:textId="77777777" w:rsidR="00200010" w:rsidRPr="005B2F71" w:rsidRDefault="00200010" w:rsidP="00200010">
            <w:pPr>
              <w:spacing w:after="0" w:line="240" w:lineRule="auto"/>
              <w:jc w:val="center"/>
              <w:rPr>
                <w:rFonts w:eastAsia="Times New Roman" w:cs="Calibri"/>
                <w:sz w:val="24"/>
                <w:szCs w:val="24"/>
                <w:highlight w:val="yellow"/>
                <w:lang w:val="en-GB"/>
              </w:rPr>
            </w:pPr>
          </w:p>
        </w:tc>
        <w:tc>
          <w:tcPr>
            <w:tcW w:w="703" w:type="dxa"/>
            <w:tcBorders>
              <w:bottom w:val="single" w:sz="12" w:space="0" w:color="auto"/>
            </w:tcBorders>
          </w:tcPr>
          <w:p w14:paraId="259F3B83" w14:textId="77777777" w:rsidR="00200010" w:rsidRPr="005B2F71" w:rsidRDefault="00200010" w:rsidP="00200010">
            <w:pPr>
              <w:spacing w:after="0" w:line="240" w:lineRule="auto"/>
              <w:jc w:val="center"/>
              <w:rPr>
                <w:rFonts w:eastAsia="Times New Roman" w:cs="Calibri"/>
                <w:sz w:val="24"/>
                <w:szCs w:val="24"/>
                <w:highlight w:val="yellow"/>
                <w:lang w:val="en-GB"/>
              </w:rPr>
            </w:pPr>
          </w:p>
          <w:p w14:paraId="58FA9915" w14:textId="301970FA" w:rsidR="00200010" w:rsidRPr="005B2F71" w:rsidRDefault="00200010" w:rsidP="00200010">
            <w:pPr>
              <w:spacing w:after="0" w:line="240" w:lineRule="auto"/>
              <w:jc w:val="center"/>
              <w:rPr>
                <w:rFonts w:eastAsia="Times New Roman" w:cs="Calibri"/>
                <w:sz w:val="24"/>
                <w:szCs w:val="24"/>
                <w:highlight w:val="yellow"/>
                <w:lang w:val="en-GB"/>
              </w:rPr>
            </w:pPr>
          </w:p>
        </w:tc>
        <w:tc>
          <w:tcPr>
            <w:tcW w:w="703" w:type="dxa"/>
            <w:tcBorders>
              <w:bottom w:val="single" w:sz="12" w:space="0" w:color="auto"/>
            </w:tcBorders>
          </w:tcPr>
          <w:p w14:paraId="20CF8D80" w14:textId="77777777" w:rsidR="00200010" w:rsidRPr="005B2F71" w:rsidRDefault="00200010" w:rsidP="00200010">
            <w:pPr>
              <w:spacing w:after="0" w:line="240" w:lineRule="auto"/>
              <w:jc w:val="center"/>
              <w:rPr>
                <w:rFonts w:eastAsia="Times New Roman" w:cs="Calibri"/>
                <w:sz w:val="24"/>
                <w:szCs w:val="24"/>
                <w:highlight w:val="yellow"/>
                <w:lang w:val="en-GB"/>
              </w:rPr>
            </w:pPr>
          </w:p>
          <w:p w14:paraId="7267BF15" w14:textId="4F8EFF13" w:rsidR="00200010" w:rsidRPr="005B2F71" w:rsidRDefault="00200010" w:rsidP="00200010">
            <w:pPr>
              <w:spacing w:after="0" w:line="240" w:lineRule="auto"/>
              <w:jc w:val="center"/>
              <w:rPr>
                <w:rFonts w:eastAsia="Times New Roman" w:cs="Calibri"/>
                <w:sz w:val="24"/>
                <w:szCs w:val="24"/>
                <w:highlight w:val="yellow"/>
                <w:lang w:val="en-GB"/>
              </w:rPr>
            </w:pPr>
          </w:p>
        </w:tc>
        <w:tc>
          <w:tcPr>
            <w:tcW w:w="703" w:type="dxa"/>
            <w:tcBorders>
              <w:bottom w:val="single" w:sz="12" w:space="0" w:color="auto"/>
            </w:tcBorders>
          </w:tcPr>
          <w:p w14:paraId="4B0D5B88" w14:textId="77777777" w:rsidR="00200010" w:rsidRPr="005B2F71" w:rsidRDefault="00200010" w:rsidP="00200010">
            <w:pPr>
              <w:spacing w:after="0" w:line="240" w:lineRule="auto"/>
              <w:jc w:val="center"/>
              <w:rPr>
                <w:rFonts w:eastAsia="Times New Roman" w:cs="Calibri"/>
                <w:sz w:val="24"/>
                <w:szCs w:val="24"/>
                <w:highlight w:val="yellow"/>
                <w:lang w:val="en-GB"/>
              </w:rPr>
            </w:pPr>
          </w:p>
          <w:p w14:paraId="5A7D58EE" w14:textId="77777777"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No</w:t>
            </w:r>
          </w:p>
          <w:p w14:paraId="15C98B37" w14:textId="77777777"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Yes</w:t>
            </w:r>
          </w:p>
          <w:p w14:paraId="1C63C9DA" w14:textId="6FEE6DE8" w:rsidR="00200010" w:rsidRPr="005B2F71" w:rsidRDefault="00200010" w:rsidP="00200010">
            <w:pPr>
              <w:spacing w:after="0" w:line="240" w:lineRule="auto"/>
              <w:jc w:val="center"/>
              <w:rPr>
                <w:rFonts w:eastAsia="Times New Roman" w:cs="Calibri"/>
                <w:sz w:val="24"/>
                <w:szCs w:val="24"/>
                <w:highlight w:val="yellow"/>
                <w:lang w:val="en-GB"/>
              </w:rPr>
            </w:pPr>
            <w:r w:rsidRPr="005B2F71">
              <w:rPr>
                <w:rFonts w:eastAsia="Times New Roman" w:cs="Calibri"/>
                <w:sz w:val="24"/>
                <w:szCs w:val="24"/>
                <w:highlight w:val="yellow"/>
                <w:lang w:val="en-GB"/>
              </w:rPr>
              <w:t>Yes</w:t>
            </w:r>
          </w:p>
        </w:tc>
      </w:tr>
    </w:tbl>
    <w:p w14:paraId="6D2BD0DD" w14:textId="64BF06FA" w:rsidR="00264F26" w:rsidRPr="00BC1ABD" w:rsidRDefault="00264F26" w:rsidP="00264F26">
      <w:pPr>
        <w:shd w:val="clear" w:color="auto" w:fill="FFFFFF"/>
        <w:spacing w:after="0" w:line="240"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Derived from ComCom data and operator pub</w:t>
      </w:r>
      <w:r w:rsidR="00DC4D9A">
        <w:rPr>
          <w:rFonts w:asciiTheme="minorHAnsi" w:eastAsiaTheme="minorHAnsi" w:hAnsiTheme="minorHAnsi" w:cstheme="minorBidi"/>
          <w:i/>
          <w:iCs/>
          <w:color w:val="44546A" w:themeColor="text2"/>
          <w:sz w:val="20"/>
          <w:szCs w:val="20"/>
          <w:lang w:val="en-GB"/>
        </w:rPr>
        <w:t>l</w:t>
      </w:r>
      <w:r w:rsidRPr="00BC1ABD">
        <w:rPr>
          <w:rFonts w:asciiTheme="minorHAnsi" w:eastAsiaTheme="minorHAnsi" w:hAnsiTheme="minorHAnsi" w:cstheme="minorBidi"/>
          <w:i/>
          <w:iCs/>
          <w:color w:val="44546A" w:themeColor="text2"/>
          <w:sz w:val="20"/>
          <w:szCs w:val="20"/>
          <w:lang w:val="en-GB"/>
        </w:rPr>
        <w:t>ished reports</w:t>
      </w:r>
    </w:p>
    <w:p w14:paraId="44F8B143" w14:textId="77777777" w:rsidR="00264F26" w:rsidRPr="00BC1ABD" w:rsidRDefault="00264F26" w:rsidP="00264F26">
      <w:pPr>
        <w:spacing w:after="0" w:line="240" w:lineRule="auto"/>
        <w:jc w:val="both"/>
        <w:rPr>
          <w:rFonts w:asciiTheme="minorHAnsi" w:hAnsiTheme="minorHAnsi" w:cstheme="minorHAnsi"/>
          <w:sz w:val="24"/>
          <w:szCs w:val="24"/>
          <w:lang w:val="en-GB"/>
        </w:rPr>
      </w:pPr>
    </w:p>
    <w:p w14:paraId="265823FA" w14:textId="11569C4F" w:rsidR="00264F26" w:rsidRPr="00572A42" w:rsidRDefault="00264F26" w:rsidP="00572A42">
      <w:pPr>
        <w:spacing w:after="160" w:line="256" w:lineRule="auto"/>
        <w:jc w:val="both"/>
        <w:rPr>
          <w:sz w:val="24"/>
          <w:szCs w:val="24"/>
          <w:lang w:val="en-GB"/>
        </w:rPr>
      </w:pPr>
      <w:r w:rsidRPr="001377A1">
        <w:rPr>
          <w:sz w:val="24"/>
          <w:szCs w:val="24"/>
          <w:lang w:val="en-GB"/>
        </w:rPr>
        <w:t xml:space="preserve">Access to loan financing is generally more difficult in </w:t>
      </w:r>
      <w:r w:rsidRPr="00E517D9">
        <w:rPr>
          <w:lang w:val="en-US"/>
        </w:rPr>
        <w:t>Georgia</w:t>
      </w:r>
      <w:r w:rsidRPr="00066E24">
        <w:rPr>
          <w:sz w:val="24"/>
          <w:szCs w:val="24"/>
          <w:vertAlign w:val="superscript"/>
          <w:lang w:val="en-GB"/>
        </w:rPr>
        <w:footnoteReference w:id="93"/>
      </w:r>
      <w:r w:rsidRPr="001377A1">
        <w:rPr>
          <w:sz w:val="24"/>
          <w:szCs w:val="24"/>
          <w:lang w:val="en-GB"/>
        </w:rPr>
        <w:t xml:space="preserve"> than in the EU and so firms that are already generating their own cash from ongoing operations will have an advantage over firms in the same market that have to rely on external sources of funding for investment and expansion. Magticom has generated </w:t>
      </w:r>
      <w:r w:rsidR="004779BD" w:rsidRPr="004779BD">
        <w:rPr>
          <w:sz w:val="24"/>
          <w:szCs w:val="24"/>
          <w:lang w:val="en-GB"/>
        </w:rPr>
        <w:t xml:space="preserve">more free cash </w:t>
      </w:r>
      <w:r w:rsidRPr="001377A1">
        <w:rPr>
          <w:sz w:val="24"/>
          <w:szCs w:val="24"/>
          <w:lang w:val="en-GB"/>
        </w:rPr>
        <w:t>(EBITDA</w:t>
      </w:r>
      <w:r w:rsidRPr="002F564C">
        <w:rPr>
          <w:sz w:val="24"/>
          <w:szCs w:val="24"/>
          <w:vertAlign w:val="superscript"/>
          <w:lang w:val="en-GB"/>
        </w:rPr>
        <w:footnoteReference w:id="94"/>
      </w:r>
      <w:r w:rsidRPr="001377A1">
        <w:rPr>
          <w:sz w:val="24"/>
          <w:szCs w:val="24"/>
          <w:lang w:val="en-GB"/>
        </w:rPr>
        <w:t xml:space="preserve">) </w:t>
      </w:r>
      <w:r w:rsidR="004779BD" w:rsidRPr="004779BD">
        <w:rPr>
          <w:sz w:val="24"/>
          <w:szCs w:val="24"/>
          <w:lang w:val="en-GB"/>
        </w:rPr>
        <w:t xml:space="preserve">than its competitors over the three most recent financial reporting years and has made significant capital expenditures (Capex) without the need to consider debt financing. In contrast, both Silknet and </w:t>
      </w:r>
      <w:r w:rsidR="000E41A1">
        <w:rPr>
          <w:sz w:val="24"/>
          <w:szCs w:val="24"/>
          <w:lang w:val="en-GB"/>
        </w:rPr>
        <w:t>Cellfie</w:t>
      </w:r>
      <w:r w:rsidR="004779BD" w:rsidRPr="004779BD">
        <w:rPr>
          <w:sz w:val="24"/>
          <w:szCs w:val="24"/>
          <w:lang w:val="en-GB"/>
        </w:rPr>
        <w:t xml:space="preserve"> have significantly less free cash and have used debt financing</w:t>
      </w:r>
      <w:r w:rsidR="0054745D">
        <w:rPr>
          <w:sz w:val="24"/>
          <w:szCs w:val="24"/>
          <w:lang w:val="en-GB"/>
        </w:rPr>
        <w:t xml:space="preserve"> </w:t>
      </w:r>
      <w:r w:rsidRPr="001377A1">
        <w:rPr>
          <w:sz w:val="24"/>
          <w:szCs w:val="24"/>
          <w:lang w:val="en-GB"/>
        </w:rPr>
        <w:t xml:space="preserve">(see Figure </w:t>
      </w:r>
      <w:r w:rsidR="000B249C" w:rsidRPr="001377A1">
        <w:rPr>
          <w:sz w:val="24"/>
          <w:szCs w:val="24"/>
          <w:lang w:val="en-GB"/>
        </w:rPr>
        <w:t>54</w:t>
      </w:r>
      <w:r w:rsidRPr="001377A1">
        <w:rPr>
          <w:sz w:val="24"/>
          <w:szCs w:val="24"/>
          <w:lang w:val="en-GB"/>
        </w:rPr>
        <w:t>).</w:t>
      </w:r>
    </w:p>
    <w:p w14:paraId="38EE2E67" w14:textId="15A96995" w:rsidR="00264F26" w:rsidRDefault="00264F26" w:rsidP="001377A1">
      <w:pPr>
        <w:spacing w:after="160" w:line="256" w:lineRule="auto"/>
        <w:jc w:val="both"/>
        <w:rPr>
          <w:sz w:val="24"/>
          <w:szCs w:val="24"/>
          <w:lang w:val="en-GB"/>
        </w:rPr>
      </w:pPr>
      <w:r w:rsidRPr="001377A1">
        <w:rPr>
          <w:sz w:val="24"/>
          <w:szCs w:val="24"/>
          <w:lang w:val="en-GB"/>
        </w:rPr>
        <w:t xml:space="preserve">Operators in the market that offer mobile as well as fixed services will generally have a more resilient means of self-financing based on their higher market shares and greater economies of scale and scope (see Chapter </w:t>
      </w:r>
      <w:r w:rsidR="00D84FB5" w:rsidRPr="001377A1">
        <w:rPr>
          <w:sz w:val="24"/>
          <w:szCs w:val="24"/>
          <w:lang w:val="en-GB"/>
        </w:rPr>
        <w:t>5</w:t>
      </w:r>
      <w:r w:rsidRPr="001377A1">
        <w:rPr>
          <w:sz w:val="24"/>
          <w:szCs w:val="24"/>
          <w:lang w:val="en-GB"/>
        </w:rPr>
        <w:t xml:space="preserve">.3.8 and </w:t>
      </w:r>
      <w:r w:rsidR="00D84FB5" w:rsidRPr="001377A1">
        <w:rPr>
          <w:sz w:val="24"/>
          <w:szCs w:val="24"/>
          <w:lang w:val="en-GB"/>
        </w:rPr>
        <w:t>5</w:t>
      </w:r>
      <w:r w:rsidRPr="001377A1">
        <w:rPr>
          <w:sz w:val="24"/>
          <w:szCs w:val="24"/>
          <w:lang w:val="en-GB"/>
        </w:rPr>
        <w:t>.3.9).</w:t>
      </w:r>
    </w:p>
    <w:p w14:paraId="4D3404F8" w14:textId="53EB4751" w:rsidR="00A34FF7" w:rsidRPr="00A34FF7" w:rsidRDefault="00A34FF7" w:rsidP="00A34FF7">
      <w:pPr>
        <w:spacing w:after="160" w:line="256" w:lineRule="auto"/>
        <w:jc w:val="both"/>
        <w:rPr>
          <w:rFonts w:eastAsia="Times New Roman"/>
          <w:sz w:val="24"/>
          <w:szCs w:val="24"/>
          <w:lang w:val="en-GB"/>
        </w:rPr>
      </w:pPr>
      <w:r w:rsidRPr="00A34FF7">
        <w:rPr>
          <w:rFonts w:eastAsia="Times New Roman"/>
          <w:sz w:val="24"/>
          <w:szCs w:val="24"/>
          <w:lang w:val="en-GB"/>
        </w:rPr>
        <w:t xml:space="preserve">In general, a business has easier access to financial resources if it is healthy enough to repay any loans including interest. There are both financial and non-financial aspects that determine a company’s creditworthiness. While in non-financial aspects MagtiCom, Silknet and </w:t>
      </w:r>
      <w:r w:rsidR="006208FB">
        <w:rPr>
          <w:rFonts w:eastAsia="Times New Roman"/>
          <w:sz w:val="24"/>
          <w:szCs w:val="24"/>
          <w:lang w:val="en-GB"/>
        </w:rPr>
        <w:t>Cellfie</w:t>
      </w:r>
      <w:r w:rsidRPr="00A34FF7">
        <w:rPr>
          <w:rFonts w:eastAsia="Times New Roman"/>
          <w:sz w:val="24"/>
          <w:szCs w:val="24"/>
          <w:lang w:val="en-GB"/>
        </w:rPr>
        <w:t xml:space="preserve"> might be comparable in terms of a record of sustained and inelastic demand (all three companies are in a growing market), the financial characteristics summarised in the following figure distinguish MagtiCom from the others.</w:t>
      </w:r>
    </w:p>
    <w:p w14:paraId="5FAF8A10" w14:textId="3DCBBB20" w:rsidR="00A34FF7" w:rsidRPr="005B2F71" w:rsidRDefault="00A34FF7" w:rsidP="00A34FF7">
      <w:pPr>
        <w:pStyle w:val="Caption"/>
        <w:jc w:val="center"/>
        <w:rPr>
          <w:rFonts w:eastAsia="Times New Roman"/>
          <w:color w:val="44546A"/>
          <w:sz w:val="20"/>
          <w:szCs w:val="20"/>
          <w:lang w:val="ka-GE"/>
        </w:rPr>
      </w:pPr>
      <w:bookmarkStart w:id="276" w:name="_Toc152931406"/>
      <w:r>
        <w:t xml:space="preserve">Figure </w:t>
      </w:r>
      <w:r>
        <w:fldChar w:fldCharType="begin"/>
      </w:r>
      <w:r>
        <w:instrText xml:space="preserve"> SEQ Figure \* ARABIC </w:instrText>
      </w:r>
      <w:r>
        <w:fldChar w:fldCharType="separate"/>
      </w:r>
      <w:r w:rsidR="00ED2C35">
        <w:rPr>
          <w:noProof/>
        </w:rPr>
        <w:t>55</w:t>
      </w:r>
      <w:r>
        <w:fldChar w:fldCharType="end"/>
      </w:r>
      <w:r w:rsidRPr="00A34FF7">
        <w:rPr>
          <w:rFonts w:eastAsia="Times New Roman"/>
          <w:color w:val="44546A"/>
          <w:sz w:val="20"/>
          <w:szCs w:val="20"/>
          <w:lang w:val="en-GB"/>
        </w:rPr>
        <w:t>: Key financial resource indicators 2020-202</w:t>
      </w:r>
      <w:r w:rsidR="00584B3C">
        <w:rPr>
          <w:rFonts w:eastAsia="Times New Roman"/>
          <w:color w:val="44546A"/>
          <w:sz w:val="20"/>
          <w:szCs w:val="20"/>
          <w:lang w:val="en-GB"/>
        </w:rPr>
        <w:t>2</w:t>
      </w:r>
      <w:bookmarkEnd w:id="276"/>
    </w:p>
    <w:p w14:paraId="6C507E32" w14:textId="7BB6D344" w:rsidR="00A34FF7" w:rsidRPr="00A34FF7" w:rsidRDefault="00935E8D" w:rsidP="005B2F71">
      <w:pPr>
        <w:rPr>
          <w:rFonts w:ascii="Sylfaen" w:eastAsia="Times New Roman" w:hAnsi="Sylfaen"/>
          <w:lang w:val="en-US"/>
        </w:rPr>
      </w:pPr>
      <w:r w:rsidRPr="005B2F71">
        <w:rPr>
          <w:noProof/>
          <w:highlight w:val="yellow"/>
          <w:lang w:val="sl-SI" w:eastAsia="sl-SI"/>
        </w:rPr>
        <w:drawing>
          <wp:inline distT="0" distB="0" distL="0" distR="0" wp14:anchorId="5B40AD24" wp14:editId="78EB7262">
            <wp:extent cx="5760720" cy="685800"/>
            <wp:effectExtent l="0" t="0" r="0" b="0"/>
            <wp:docPr id="2119488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685800"/>
                    </a:xfrm>
                    <a:prstGeom prst="rect">
                      <a:avLst/>
                    </a:prstGeom>
                    <a:noFill/>
                    <a:ln>
                      <a:noFill/>
                    </a:ln>
                  </pic:spPr>
                </pic:pic>
              </a:graphicData>
            </a:graphic>
          </wp:inline>
        </w:drawing>
      </w:r>
    </w:p>
    <w:p w14:paraId="67064411" w14:textId="0DB08655" w:rsidR="00A34FF7" w:rsidRPr="00A34FF7" w:rsidRDefault="00A34FF7" w:rsidP="00A34FF7">
      <w:pPr>
        <w:spacing w:after="160" w:line="256" w:lineRule="auto"/>
        <w:jc w:val="center"/>
        <w:rPr>
          <w:rFonts w:eastAsia="Times New Roman"/>
          <w:sz w:val="24"/>
          <w:szCs w:val="24"/>
          <w:lang w:val="en-GB"/>
        </w:rPr>
      </w:pPr>
      <w:r w:rsidRPr="00A34FF7">
        <w:rPr>
          <w:rFonts w:eastAsia="Times New Roman"/>
          <w:i/>
          <w:iCs/>
          <w:color w:val="44546A"/>
          <w:sz w:val="20"/>
          <w:szCs w:val="20"/>
          <w:lang w:val="en-GB"/>
        </w:rPr>
        <w:t xml:space="preserve">Source: Derived from ComCom data and operator </w:t>
      </w:r>
      <w:r w:rsidR="001A02CA" w:rsidRPr="00A34FF7">
        <w:rPr>
          <w:rFonts w:eastAsia="Times New Roman"/>
          <w:i/>
          <w:iCs/>
          <w:color w:val="44546A"/>
          <w:sz w:val="20"/>
          <w:szCs w:val="20"/>
          <w:lang w:val="en-GB"/>
        </w:rPr>
        <w:t>published</w:t>
      </w:r>
      <w:r w:rsidRPr="00A34FF7">
        <w:rPr>
          <w:rFonts w:eastAsia="Times New Roman"/>
          <w:i/>
          <w:iCs/>
          <w:color w:val="44546A"/>
          <w:sz w:val="20"/>
          <w:szCs w:val="20"/>
          <w:lang w:val="en-GB"/>
        </w:rPr>
        <w:t xml:space="preserve"> reports</w:t>
      </w:r>
    </w:p>
    <w:p w14:paraId="766E1C69" w14:textId="63941261" w:rsidR="00A34FF7" w:rsidRPr="00A34FF7" w:rsidRDefault="00A34FF7" w:rsidP="00A34FF7">
      <w:pPr>
        <w:spacing w:after="160" w:line="256" w:lineRule="auto"/>
        <w:jc w:val="both"/>
        <w:rPr>
          <w:rFonts w:eastAsia="Times New Roman"/>
          <w:sz w:val="24"/>
          <w:szCs w:val="24"/>
          <w:lang w:val="en-GB"/>
        </w:rPr>
      </w:pPr>
      <w:r w:rsidRPr="00A34FF7">
        <w:rPr>
          <w:rFonts w:eastAsia="Times New Roman"/>
          <w:sz w:val="24"/>
          <w:szCs w:val="24"/>
          <w:lang w:val="en-GB"/>
        </w:rPr>
        <w:t xml:space="preserve">Typically, a debt-to-equity ratio (D/E) greater than 2.0 indicates a risky scenario for an investor/ lender. However, this yardstick can vary by industry. </w:t>
      </w:r>
      <w:r w:rsidRPr="005B2F71">
        <w:rPr>
          <w:rFonts w:eastAsia="Times New Roman"/>
          <w:sz w:val="24"/>
          <w:szCs w:val="24"/>
          <w:highlight w:val="yellow"/>
          <w:lang w:val="en-GB"/>
        </w:rPr>
        <w:t xml:space="preserve"> As of December 202</w:t>
      </w:r>
      <w:r w:rsidR="00954623" w:rsidRPr="005B2F71">
        <w:rPr>
          <w:rFonts w:eastAsia="Times New Roman"/>
          <w:sz w:val="24"/>
          <w:szCs w:val="24"/>
          <w:highlight w:val="yellow"/>
          <w:lang w:val="en-GB"/>
        </w:rPr>
        <w:t>2</w:t>
      </w:r>
      <w:r w:rsidRPr="005B2F71">
        <w:rPr>
          <w:rFonts w:eastAsia="Times New Roman"/>
          <w:sz w:val="24"/>
          <w:szCs w:val="24"/>
          <w:highlight w:val="yellow"/>
          <w:lang w:val="en-GB"/>
        </w:rPr>
        <w:t xml:space="preserve">, Silknet has property, plant &amp; equipment amounting to GEL 375m and the borrowing principal outstanding amounts to GEL </w:t>
      </w:r>
      <w:r w:rsidR="00954623" w:rsidRPr="005B2F71">
        <w:rPr>
          <w:rFonts w:eastAsia="Times New Roman"/>
          <w:sz w:val="24"/>
          <w:szCs w:val="24"/>
          <w:highlight w:val="yellow"/>
          <w:lang w:val="en-GB"/>
        </w:rPr>
        <w:t>595</w:t>
      </w:r>
      <w:r w:rsidRPr="005B2F71">
        <w:rPr>
          <w:rFonts w:eastAsia="Times New Roman"/>
          <w:sz w:val="24"/>
          <w:szCs w:val="24"/>
          <w:highlight w:val="yellow"/>
          <w:lang w:val="en-GB"/>
        </w:rPr>
        <w:t>m, while MagtiCom has no borrowing principal outstanding and their property, plant and equipment amounts to GEL 4</w:t>
      </w:r>
      <w:r w:rsidR="00954623" w:rsidRPr="005B2F71">
        <w:rPr>
          <w:rFonts w:eastAsia="Times New Roman"/>
          <w:sz w:val="24"/>
          <w:szCs w:val="24"/>
          <w:highlight w:val="yellow"/>
          <w:lang w:val="en-GB"/>
        </w:rPr>
        <w:t>49</w:t>
      </w:r>
      <w:r w:rsidRPr="005B2F71">
        <w:rPr>
          <w:rFonts w:eastAsia="Times New Roman"/>
          <w:sz w:val="24"/>
          <w:szCs w:val="24"/>
          <w:highlight w:val="yellow"/>
          <w:lang w:val="en-GB"/>
        </w:rPr>
        <w:t>m. Therefore, Magticom has greater capacity to guarantee any future loans.</w:t>
      </w:r>
      <w:r w:rsidRPr="00A34FF7">
        <w:rPr>
          <w:rFonts w:eastAsia="Times New Roman"/>
          <w:sz w:val="24"/>
          <w:szCs w:val="24"/>
          <w:lang w:val="en-GB"/>
        </w:rPr>
        <w:t xml:space="preserve"> </w:t>
      </w:r>
    </w:p>
    <w:p w14:paraId="2476F645" w14:textId="6E6CC5ED" w:rsidR="00595FA9" w:rsidRPr="00151F17" w:rsidRDefault="00A34FF7" w:rsidP="00151F17">
      <w:pPr>
        <w:spacing w:line="240" w:lineRule="auto"/>
        <w:jc w:val="both"/>
        <w:rPr>
          <w:rFonts w:eastAsia="Times New Roman"/>
          <w:sz w:val="24"/>
          <w:szCs w:val="24"/>
          <w:lang w:val="en-GB"/>
        </w:rPr>
      </w:pPr>
      <w:r w:rsidRPr="00A34FF7">
        <w:rPr>
          <w:rFonts w:eastAsia="Times New Roman"/>
          <w:sz w:val="24"/>
          <w:szCs w:val="24"/>
          <w:lang w:val="en-GB"/>
        </w:rPr>
        <w:t>It is therefore considered that Magticom has easier access to capital and financial resources than its competitors</w:t>
      </w:r>
      <w:r w:rsidR="00595FA9" w:rsidRPr="001377A1">
        <w:rPr>
          <w:sz w:val="24"/>
          <w:szCs w:val="24"/>
          <w:lang w:val="en-GB"/>
        </w:rPr>
        <w:t>.</w:t>
      </w:r>
    </w:p>
    <w:p w14:paraId="02D2682C" w14:textId="4C61AD32" w:rsidR="00595FA9" w:rsidRPr="00BC1ABD" w:rsidRDefault="00595FA9" w:rsidP="009B69BC">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77" w:name="_Toc169258961"/>
      <w:r w:rsidRPr="00BC1ABD">
        <w:rPr>
          <w:rFonts w:asciiTheme="minorHAnsi" w:hAnsiTheme="minorHAnsi" w:cstheme="minorHAnsi"/>
          <w:b w:val="0"/>
          <w:bCs w:val="0"/>
          <w:sz w:val="24"/>
          <w:szCs w:val="24"/>
          <w:lang w:val="en-GB"/>
        </w:rPr>
        <w:t>Economies of scale</w:t>
      </w:r>
      <w:bookmarkEnd w:id="277"/>
    </w:p>
    <w:p w14:paraId="5CF30ED0" w14:textId="741CD001" w:rsidR="00FF2A58" w:rsidRPr="00EE28FF" w:rsidRDefault="00FF2A58" w:rsidP="00595FA9">
      <w:pPr>
        <w:spacing w:after="0" w:line="240" w:lineRule="auto"/>
        <w:jc w:val="both"/>
        <w:rPr>
          <w:rFonts w:asciiTheme="minorHAnsi" w:hAnsiTheme="minorHAnsi" w:cstheme="minorHAnsi"/>
          <w:i/>
          <w:iCs/>
          <w:sz w:val="24"/>
          <w:szCs w:val="24"/>
          <w:lang w:val="en-GB"/>
        </w:rPr>
      </w:pPr>
      <w:r w:rsidRPr="00BC1ABD">
        <w:rPr>
          <w:rFonts w:asciiTheme="minorHAnsi" w:hAnsiTheme="minorHAnsi" w:cstheme="minorHAnsi"/>
          <w:sz w:val="24"/>
          <w:szCs w:val="24"/>
          <w:lang w:val="en-GB"/>
        </w:rPr>
        <w:t xml:space="preserve">Article </w:t>
      </w:r>
      <w:r w:rsidR="00EF498E">
        <w:rPr>
          <w:rFonts w:asciiTheme="minorHAnsi" w:hAnsiTheme="minorHAnsi" w:cstheme="minorHAnsi"/>
          <w:sz w:val="24"/>
          <w:szCs w:val="24"/>
          <w:lang w:val="en-GB"/>
        </w:rPr>
        <w:t>1</w:t>
      </w:r>
      <w:r w:rsidR="00986F61">
        <w:rPr>
          <w:rFonts w:asciiTheme="minorHAnsi" w:hAnsiTheme="minorHAnsi" w:cstheme="minorHAnsi"/>
          <w:sz w:val="24"/>
          <w:szCs w:val="24"/>
          <w:lang w:val="en-GB"/>
        </w:rPr>
        <w:t>5</w:t>
      </w:r>
      <w:r w:rsidRPr="00BC1ABD">
        <w:rPr>
          <w:rFonts w:asciiTheme="minorHAnsi" w:hAnsiTheme="minorHAnsi" w:cstheme="minorHAnsi"/>
          <w:sz w:val="24"/>
          <w:szCs w:val="24"/>
          <w:lang w:val="en-GB"/>
        </w:rPr>
        <w:t xml:space="preserve"> (</w:t>
      </w:r>
      <w:r w:rsidR="00770A9C">
        <w:rPr>
          <w:rFonts w:asciiTheme="minorHAnsi" w:hAnsiTheme="minorHAnsi" w:cstheme="minorHAnsi"/>
          <w:sz w:val="24"/>
          <w:szCs w:val="24"/>
          <w:lang w:val="en-GB"/>
        </w:rPr>
        <w:t>3</w:t>
      </w:r>
      <w:r w:rsidRPr="00BC1ABD">
        <w:rPr>
          <w:rFonts w:asciiTheme="minorHAnsi" w:hAnsiTheme="minorHAnsi" w:cstheme="minorHAnsi"/>
          <w:sz w:val="24"/>
          <w:szCs w:val="24"/>
          <w:lang w:val="en-GB"/>
        </w:rPr>
        <w:t xml:space="preserve">) </w:t>
      </w:r>
      <w:r w:rsidR="00EF498E">
        <w:rPr>
          <w:rFonts w:asciiTheme="minorHAnsi" w:hAnsiTheme="minorHAnsi" w:cstheme="minorHAnsi"/>
          <w:sz w:val="24"/>
          <w:szCs w:val="24"/>
          <w:lang w:val="en-GB"/>
        </w:rPr>
        <w:t xml:space="preserve">f) </w:t>
      </w:r>
      <w:r w:rsidRPr="00BC1ABD">
        <w:rPr>
          <w:rFonts w:asciiTheme="minorHAnsi" w:hAnsiTheme="minorHAnsi" w:cstheme="minorHAnsi"/>
          <w:sz w:val="24"/>
          <w:szCs w:val="24"/>
          <w:lang w:val="en-GB"/>
        </w:rPr>
        <w:t xml:space="preserve">of ComCom’s </w:t>
      </w:r>
      <w:r w:rsidR="00EF498E">
        <w:rPr>
          <w:rFonts w:asciiTheme="minorHAnsi" w:hAnsiTheme="minorHAnsi" w:cstheme="minorHAnsi"/>
          <w:sz w:val="24"/>
          <w:szCs w:val="24"/>
          <w:lang w:val="en-GB"/>
        </w:rPr>
        <w:t xml:space="preserve">draft revised </w:t>
      </w:r>
      <w:r w:rsidRPr="00BC1ABD">
        <w:rPr>
          <w:rFonts w:asciiTheme="minorHAnsi" w:hAnsiTheme="minorHAnsi" w:cstheme="minorHAnsi"/>
          <w:sz w:val="24"/>
          <w:szCs w:val="24"/>
          <w:lang w:val="en-GB"/>
        </w:rPr>
        <w:t xml:space="preserve">Methodological Rules </w:t>
      </w:r>
      <w:r w:rsidR="00EF498E">
        <w:rPr>
          <w:rFonts w:asciiTheme="minorHAnsi" w:hAnsiTheme="minorHAnsi" w:cstheme="minorHAnsi"/>
          <w:sz w:val="24"/>
          <w:szCs w:val="24"/>
          <w:lang w:val="en-GB"/>
        </w:rPr>
        <w:t xml:space="preserve">requires ComCom to consider whether the </w:t>
      </w:r>
      <w:r w:rsidR="00770A9C" w:rsidRPr="00EE28FF">
        <w:rPr>
          <w:rFonts w:asciiTheme="minorHAnsi" w:hAnsiTheme="minorHAnsi" w:cstheme="minorHAnsi"/>
          <w:i/>
          <w:iCs/>
          <w:sz w:val="24"/>
          <w:szCs w:val="24"/>
          <w:lang w:val="en-GB"/>
        </w:rPr>
        <w:t>“authori</w:t>
      </w:r>
      <w:r w:rsidR="001B67B9">
        <w:rPr>
          <w:rFonts w:asciiTheme="minorHAnsi" w:hAnsiTheme="minorHAnsi" w:cstheme="minorHAnsi"/>
          <w:i/>
          <w:iCs/>
          <w:sz w:val="24"/>
          <w:szCs w:val="24"/>
          <w:lang w:val="en-GB"/>
        </w:rPr>
        <w:t>s</w:t>
      </w:r>
      <w:r w:rsidR="00770A9C" w:rsidRPr="00EE28FF">
        <w:rPr>
          <w:rFonts w:asciiTheme="minorHAnsi" w:hAnsiTheme="minorHAnsi" w:cstheme="minorHAnsi"/>
          <w:i/>
          <w:iCs/>
          <w:sz w:val="24"/>
          <w:szCs w:val="24"/>
          <w:lang w:val="en-GB"/>
        </w:rPr>
        <w:t>ed persons providing large-scale services have the opportunity to achieve economies of scale due to the distribution of the authori</w:t>
      </w:r>
      <w:r w:rsidR="001B67B9">
        <w:rPr>
          <w:rFonts w:asciiTheme="minorHAnsi" w:hAnsiTheme="minorHAnsi" w:cstheme="minorHAnsi"/>
          <w:i/>
          <w:iCs/>
          <w:sz w:val="24"/>
          <w:szCs w:val="24"/>
          <w:lang w:val="en-GB"/>
        </w:rPr>
        <w:t>s</w:t>
      </w:r>
      <w:r w:rsidR="00770A9C" w:rsidRPr="00EE28FF">
        <w:rPr>
          <w:rFonts w:asciiTheme="minorHAnsi" w:hAnsiTheme="minorHAnsi" w:cstheme="minorHAnsi"/>
          <w:i/>
          <w:iCs/>
          <w:sz w:val="24"/>
          <w:szCs w:val="24"/>
          <w:lang w:val="en-GB"/>
        </w:rPr>
        <w:t>ed person's total costs among units of services provided in large volumes.”</w:t>
      </w:r>
    </w:p>
    <w:p w14:paraId="738C2F8F" w14:textId="77777777" w:rsidR="00FF2A58" w:rsidRPr="00BC1ABD" w:rsidRDefault="00FF2A58" w:rsidP="00595FA9">
      <w:pPr>
        <w:spacing w:after="0" w:line="240" w:lineRule="auto"/>
        <w:jc w:val="both"/>
        <w:rPr>
          <w:rFonts w:asciiTheme="minorHAnsi" w:hAnsiTheme="minorHAnsi" w:cstheme="minorHAnsi"/>
          <w:sz w:val="24"/>
          <w:szCs w:val="24"/>
          <w:lang w:val="en-GB"/>
        </w:rPr>
      </w:pPr>
    </w:p>
    <w:p w14:paraId="5759D8C7" w14:textId="426AD819" w:rsidR="00595FA9" w:rsidRPr="001377A1" w:rsidRDefault="00595FA9" w:rsidP="001377A1">
      <w:pPr>
        <w:spacing w:after="160" w:line="256" w:lineRule="auto"/>
        <w:jc w:val="both"/>
        <w:rPr>
          <w:sz w:val="24"/>
          <w:szCs w:val="24"/>
          <w:lang w:val="en-GB"/>
        </w:rPr>
      </w:pPr>
      <w:r w:rsidRPr="001377A1">
        <w:rPr>
          <w:sz w:val="24"/>
          <w:szCs w:val="24"/>
          <w:lang w:val="en-GB"/>
        </w:rPr>
        <w:t xml:space="preserve">Economies of scale occur in markets where high investments are needed to create a market presence leading to a lower subsequent unit cost of supply. In fixed telecommunications markets, significant investments are needed, particularly in creating local access network infrastructures. </w:t>
      </w:r>
      <w:r w:rsidR="00165FF0" w:rsidRPr="001377A1">
        <w:rPr>
          <w:sz w:val="24"/>
          <w:szCs w:val="24"/>
          <w:lang w:val="en-GB"/>
        </w:rPr>
        <w:t xml:space="preserve">Magticom and to a lesser extent Silknet, have already created </w:t>
      </w:r>
      <w:r w:rsidR="00F026B4">
        <w:rPr>
          <w:sz w:val="24"/>
          <w:szCs w:val="24"/>
          <w:lang w:val="en-GB"/>
        </w:rPr>
        <w:t>FTTx</w:t>
      </w:r>
      <w:r w:rsidR="00165FF0" w:rsidRPr="001377A1">
        <w:rPr>
          <w:sz w:val="24"/>
          <w:szCs w:val="24"/>
          <w:lang w:val="en-GB"/>
        </w:rPr>
        <w:t xml:space="preserve"> networks in Georgia that have national or near-national scope. In addition, Magticom has a better take-up rate of subscribers within its network coverage (4%) than Silknet (38%) (see Figure </w:t>
      </w:r>
      <w:r w:rsidR="005E76A5" w:rsidRPr="001377A1">
        <w:rPr>
          <w:sz w:val="24"/>
          <w:szCs w:val="24"/>
          <w:lang w:val="en-GB"/>
        </w:rPr>
        <w:t>53</w:t>
      </w:r>
      <w:r w:rsidR="00165FF0" w:rsidRPr="001377A1">
        <w:rPr>
          <w:sz w:val="24"/>
          <w:szCs w:val="24"/>
          <w:lang w:val="en-GB"/>
        </w:rPr>
        <w:t xml:space="preserve">). The remaining operators in the market for higher-speed retail fixed broadband access have created </w:t>
      </w:r>
      <w:r w:rsidR="00F026B4">
        <w:rPr>
          <w:sz w:val="24"/>
          <w:szCs w:val="24"/>
          <w:lang w:val="en-GB"/>
        </w:rPr>
        <w:t>FTTx</w:t>
      </w:r>
      <w:r w:rsidR="00165FF0" w:rsidRPr="001377A1">
        <w:rPr>
          <w:sz w:val="24"/>
          <w:szCs w:val="24"/>
          <w:lang w:val="en-GB"/>
        </w:rPr>
        <w:t xml:space="preserve"> access networks that are significantly smaller in scale and serving smaller geographical areas (see Figure </w:t>
      </w:r>
      <w:r w:rsidR="00604757" w:rsidRPr="001377A1">
        <w:rPr>
          <w:sz w:val="24"/>
          <w:szCs w:val="24"/>
          <w:lang w:val="en-GB"/>
        </w:rPr>
        <w:t>52</w:t>
      </w:r>
      <w:r w:rsidR="00165FF0" w:rsidRPr="001377A1">
        <w:rPr>
          <w:sz w:val="24"/>
          <w:szCs w:val="24"/>
          <w:lang w:val="en-GB"/>
        </w:rPr>
        <w:t xml:space="preserve"> and </w:t>
      </w:r>
      <w:r w:rsidR="00604757" w:rsidRPr="001377A1">
        <w:rPr>
          <w:sz w:val="24"/>
          <w:szCs w:val="24"/>
          <w:lang w:val="en-GB"/>
        </w:rPr>
        <w:t>53</w:t>
      </w:r>
      <w:r w:rsidR="00165FF0" w:rsidRPr="001377A1">
        <w:rPr>
          <w:sz w:val="24"/>
          <w:szCs w:val="24"/>
          <w:lang w:val="en-GB"/>
        </w:rPr>
        <w:t xml:space="preserve">). </w:t>
      </w:r>
    </w:p>
    <w:p w14:paraId="65306F13" w14:textId="7268852E" w:rsidR="00595FA9" w:rsidRPr="00275326" w:rsidRDefault="00595FA9" w:rsidP="00275326">
      <w:pPr>
        <w:spacing w:after="160" w:line="256" w:lineRule="auto"/>
        <w:jc w:val="both"/>
        <w:rPr>
          <w:sz w:val="24"/>
          <w:szCs w:val="24"/>
          <w:lang w:val="en-GB"/>
        </w:rPr>
      </w:pPr>
      <w:r w:rsidRPr="001377A1">
        <w:rPr>
          <w:sz w:val="24"/>
          <w:szCs w:val="24"/>
          <w:lang w:val="en-GB"/>
        </w:rPr>
        <w:t xml:space="preserve">It is therefore considered that </w:t>
      </w:r>
      <w:r w:rsidR="00165FF0" w:rsidRPr="001377A1">
        <w:rPr>
          <w:sz w:val="24"/>
          <w:szCs w:val="24"/>
          <w:lang w:val="en-GB"/>
        </w:rPr>
        <w:t>Magticom</w:t>
      </w:r>
      <w:r w:rsidRPr="001377A1">
        <w:rPr>
          <w:sz w:val="24"/>
          <w:szCs w:val="24"/>
          <w:lang w:val="en-GB"/>
        </w:rPr>
        <w:t xml:space="preserve"> benefit</w:t>
      </w:r>
      <w:r w:rsidR="00165FF0" w:rsidRPr="001377A1">
        <w:rPr>
          <w:sz w:val="24"/>
          <w:szCs w:val="24"/>
          <w:lang w:val="en-GB"/>
        </w:rPr>
        <w:t>s</w:t>
      </w:r>
      <w:r w:rsidRPr="001377A1">
        <w:rPr>
          <w:sz w:val="24"/>
          <w:szCs w:val="24"/>
          <w:lang w:val="en-GB"/>
        </w:rPr>
        <w:t xml:space="preserve"> from significantly greater economies of scale than </w:t>
      </w:r>
      <w:r w:rsidR="005B532D" w:rsidRPr="001377A1">
        <w:rPr>
          <w:sz w:val="24"/>
          <w:szCs w:val="24"/>
          <w:lang w:val="en-GB"/>
        </w:rPr>
        <w:t xml:space="preserve">remaining </w:t>
      </w:r>
      <w:r w:rsidRPr="001377A1">
        <w:rPr>
          <w:sz w:val="24"/>
          <w:szCs w:val="24"/>
          <w:lang w:val="en-GB"/>
        </w:rPr>
        <w:t xml:space="preserve">operators. This results in the existence of greater unit costs of supply amongst </w:t>
      </w:r>
      <w:r w:rsidR="005B532D" w:rsidRPr="001377A1">
        <w:rPr>
          <w:sz w:val="24"/>
          <w:szCs w:val="24"/>
          <w:lang w:val="en-GB"/>
        </w:rPr>
        <w:t>remaining</w:t>
      </w:r>
      <w:r w:rsidRPr="001377A1">
        <w:rPr>
          <w:sz w:val="24"/>
          <w:szCs w:val="24"/>
          <w:lang w:val="en-GB"/>
        </w:rPr>
        <w:t xml:space="preserve"> operators giving them a disadvantage in setting retail tariffs that can effectively compete with the largest operators. Even though operators with a local scale can benefit from some cost advantages, only by expanding their fibre-based networks (separately or collectively) to a national scope can the unit costs of the smaller operators match that of the largest operators.</w:t>
      </w:r>
    </w:p>
    <w:p w14:paraId="0E222BE2" w14:textId="717BD084" w:rsidR="00595FA9" w:rsidRPr="00BC1ABD" w:rsidRDefault="00595FA9" w:rsidP="009B69BC">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78" w:name="_Toc169258962"/>
      <w:r w:rsidRPr="00BC1ABD">
        <w:rPr>
          <w:rFonts w:asciiTheme="minorHAnsi" w:hAnsiTheme="minorHAnsi" w:cstheme="minorHAnsi"/>
          <w:b w:val="0"/>
          <w:bCs w:val="0"/>
          <w:sz w:val="24"/>
          <w:szCs w:val="24"/>
          <w:lang w:val="en-GB"/>
        </w:rPr>
        <w:t>Economies of scope, product/services diversification (for example, bundled products or services)</w:t>
      </w:r>
      <w:bookmarkEnd w:id="278"/>
    </w:p>
    <w:p w14:paraId="4D8ADF67" w14:textId="4317540B" w:rsidR="00FF2A58" w:rsidRPr="00BC1ABD" w:rsidRDefault="00FF2A58" w:rsidP="00EE28FF">
      <w:pPr>
        <w:spacing w:after="120" w:line="240"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Article </w:t>
      </w:r>
      <w:r w:rsidR="00EF498E">
        <w:rPr>
          <w:rFonts w:asciiTheme="minorHAnsi" w:hAnsiTheme="minorHAnsi" w:cstheme="minorHAnsi"/>
          <w:sz w:val="24"/>
          <w:szCs w:val="24"/>
          <w:lang w:val="en-GB"/>
        </w:rPr>
        <w:t>1</w:t>
      </w:r>
      <w:r w:rsidR="00986F61">
        <w:rPr>
          <w:rFonts w:asciiTheme="minorHAnsi" w:hAnsiTheme="minorHAnsi" w:cstheme="minorHAnsi"/>
          <w:sz w:val="24"/>
          <w:szCs w:val="24"/>
          <w:lang w:val="en-GB"/>
        </w:rPr>
        <w:t>5</w:t>
      </w:r>
      <w:r w:rsidR="00EF498E" w:rsidRPr="00BC1ABD">
        <w:rPr>
          <w:rFonts w:asciiTheme="minorHAnsi" w:hAnsiTheme="minorHAnsi" w:cstheme="minorHAnsi"/>
          <w:sz w:val="24"/>
          <w:szCs w:val="24"/>
          <w:lang w:val="en-GB"/>
        </w:rPr>
        <w:t xml:space="preserve"> (</w:t>
      </w:r>
      <w:r w:rsidR="00C04080">
        <w:rPr>
          <w:rFonts w:asciiTheme="minorHAnsi" w:hAnsiTheme="minorHAnsi" w:cstheme="minorHAnsi"/>
          <w:sz w:val="24"/>
          <w:szCs w:val="24"/>
          <w:lang w:val="en-GB"/>
        </w:rPr>
        <w:t>3</w:t>
      </w:r>
      <w:r w:rsidR="00EF498E" w:rsidRPr="00BC1ABD">
        <w:rPr>
          <w:rFonts w:asciiTheme="minorHAnsi" w:hAnsiTheme="minorHAnsi" w:cstheme="minorHAnsi"/>
          <w:sz w:val="24"/>
          <w:szCs w:val="24"/>
          <w:lang w:val="en-GB"/>
        </w:rPr>
        <w:t xml:space="preserve">) </w:t>
      </w:r>
      <w:r w:rsidR="00C04080">
        <w:rPr>
          <w:rFonts w:asciiTheme="minorHAnsi" w:hAnsiTheme="minorHAnsi" w:cstheme="minorHAnsi"/>
          <w:sz w:val="24"/>
          <w:szCs w:val="24"/>
          <w:lang w:val="en-GB"/>
        </w:rPr>
        <w:t>g</w:t>
      </w:r>
      <w:r w:rsidR="00EF498E">
        <w:rPr>
          <w:rFonts w:asciiTheme="minorHAnsi" w:hAnsiTheme="minorHAnsi" w:cstheme="minorHAnsi"/>
          <w:sz w:val="24"/>
          <w:szCs w:val="24"/>
          <w:lang w:val="en-GB"/>
        </w:rPr>
        <w:t xml:space="preserve">) </w:t>
      </w:r>
      <w:r w:rsidR="00EF498E" w:rsidRPr="00BC1ABD">
        <w:rPr>
          <w:rFonts w:asciiTheme="minorHAnsi" w:hAnsiTheme="minorHAnsi" w:cstheme="minorHAnsi"/>
          <w:sz w:val="24"/>
          <w:szCs w:val="24"/>
          <w:lang w:val="en-GB"/>
        </w:rPr>
        <w:t xml:space="preserve">of ComCom’s </w:t>
      </w:r>
      <w:r w:rsidR="00EF498E">
        <w:rPr>
          <w:rFonts w:asciiTheme="minorHAnsi" w:hAnsiTheme="minorHAnsi" w:cstheme="minorHAnsi"/>
          <w:sz w:val="24"/>
          <w:szCs w:val="24"/>
          <w:lang w:val="en-GB"/>
        </w:rPr>
        <w:t xml:space="preserve">draft revised </w:t>
      </w:r>
      <w:r w:rsidRPr="00BC1ABD">
        <w:rPr>
          <w:rFonts w:asciiTheme="minorHAnsi" w:hAnsiTheme="minorHAnsi" w:cstheme="minorHAnsi"/>
          <w:sz w:val="24"/>
          <w:szCs w:val="24"/>
          <w:lang w:val="en-GB"/>
        </w:rPr>
        <w:t xml:space="preserve">Methodological Rules </w:t>
      </w:r>
      <w:r w:rsidR="00EF498E">
        <w:rPr>
          <w:rFonts w:asciiTheme="minorHAnsi" w:hAnsiTheme="minorHAnsi" w:cstheme="minorHAnsi"/>
          <w:sz w:val="24"/>
          <w:szCs w:val="24"/>
          <w:lang w:val="en-GB"/>
        </w:rPr>
        <w:t xml:space="preserve">requires ComCom to look at economies of scope, since </w:t>
      </w:r>
      <w:r w:rsidR="00C04080" w:rsidRPr="00EE28FF">
        <w:rPr>
          <w:rFonts w:asciiTheme="minorHAnsi" w:hAnsiTheme="minorHAnsi" w:cstheme="minorHAnsi"/>
          <w:i/>
          <w:iCs/>
          <w:sz w:val="24"/>
          <w:szCs w:val="24"/>
          <w:lang w:val="en-GB"/>
        </w:rPr>
        <w:t xml:space="preserve">“this criterion has the </w:t>
      </w:r>
      <w:r w:rsidR="002F32D1">
        <w:rPr>
          <w:rFonts w:asciiTheme="minorHAnsi" w:hAnsiTheme="minorHAnsi" w:cstheme="minorHAnsi"/>
          <w:i/>
          <w:iCs/>
          <w:sz w:val="24"/>
          <w:szCs w:val="24"/>
          <w:lang w:val="en-US"/>
        </w:rPr>
        <w:t>similar</w:t>
      </w:r>
      <w:r w:rsidR="00C04080" w:rsidRPr="00EE28FF">
        <w:rPr>
          <w:rFonts w:asciiTheme="minorHAnsi" w:hAnsiTheme="minorHAnsi" w:cstheme="minorHAnsi"/>
          <w:i/>
          <w:iCs/>
          <w:sz w:val="24"/>
          <w:szCs w:val="24"/>
          <w:lang w:val="en-GB"/>
        </w:rPr>
        <w:t xml:space="preserve"> effect as the economy of scale, although cost reduction is achieved as a result of the distribution of fixed and overhead costs between different types of services provided through the same infrastructure.“</w:t>
      </w:r>
    </w:p>
    <w:p w14:paraId="6EF6A7A2" w14:textId="55DF8F50" w:rsidR="00595FA9" w:rsidRPr="009457A2" w:rsidRDefault="00595FA9" w:rsidP="009457A2">
      <w:pPr>
        <w:spacing w:after="160" w:line="256" w:lineRule="auto"/>
        <w:jc w:val="both"/>
        <w:rPr>
          <w:sz w:val="24"/>
          <w:szCs w:val="24"/>
          <w:lang w:val="en-GB"/>
        </w:rPr>
      </w:pPr>
      <w:r w:rsidRPr="001377A1">
        <w:rPr>
          <w:sz w:val="24"/>
          <w:szCs w:val="24"/>
          <w:lang w:val="en-GB"/>
        </w:rPr>
        <w:t xml:space="preserve">Economies of scope are present in a market when an operator supplies more than one significant service with each service using some common resources, including networks, marketing and distribution resources (see also Chapter </w:t>
      </w:r>
      <w:r w:rsidR="00D8487C" w:rsidRPr="001377A1">
        <w:rPr>
          <w:sz w:val="24"/>
          <w:szCs w:val="24"/>
          <w:lang w:val="en-GB"/>
        </w:rPr>
        <w:t>5</w:t>
      </w:r>
      <w:r w:rsidRPr="001377A1">
        <w:rPr>
          <w:sz w:val="24"/>
          <w:szCs w:val="24"/>
          <w:lang w:val="en-GB"/>
        </w:rPr>
        <w:t>.</w:t>
      </w:r>
      <w:r w:rsidR="004563C7" w:rsidRPr="001377A1">
        <w:rPr>
          <w:sz w:val="24"/>
          <w:szCs w:val="24"/>
          <w:lang w:val="en-GB"/>
        </w:rPr>
        <w:t>3</w:t>
      </w:r>
      <w:r w:rsidRPr="001377A1">
        <w:rPr>
          <w:sz w:val="24"/>
          <w:szCs w:val="24"/>
          <w:lang w:val="en-GB"/>
        </w:rPr>
        <w:t xml:space="preserve">.10). A market advantage can be gained from economies of scope because firms can benefit from lower unit costs and customers can purchase more than one service from the same supplier. In telecommunications markets, economies of scope generally occur when an operator provides both fixed and mobile services. Magticom not only has the largest market share in the higher speed retail fixed broadband access market </w:t>
      </w:r>
      <w:r w:rsidR="004563C7" w:rsidRPr="001377A1">
        <w:rPr>
          <w:sz w:val="24"/>
          <w:szCs w:val="24"/>
          <w:lang w:val="en-GB"/>
        </w:rPr>
        <w:t>and it</w:t>
      </w:r>
      <w:r w:rsidRPr="001377A1">
        <w:rPr>
          <w:sz w:val="24"/>
          <w:szCs w:val="24"/>
          <w:lang w:val="en-GB"/>
        </w:rPr>
        <w:t xml:space="preserve"> also holds the largest market share in the entire fixed retail broadband access market and in the mobile retail broadband market (see Figure </w:t>
      </w:r>
      <w:r w:rsidR="00505A15" w:rsidRPr="001377A1">
        <w:rPr>
          <w:sz w:val="24"/>
          <w:szCs w:val="24"/>
          <w:lang w:val="en-GB"/>
        </w:rPr>
        <w:t>5</w:t>
      </w:r>
      <w:r w:rsidR="00162183">
        <w:rPr>
          <w:sz w:val="24"/>
          <w:szCs w:val="24"/>
          <w:lang w:val="en-GB"/>
        </w:rPr>
        <w:t>6</w:t>
      </w:r>
      <w:r w:rsidRPr="001377A1">
        <w:rPr>
          <w:sz w:val="24"/>
          <w:szCs w:val="24"/>
          <w:lang w:val="en-GB"/>
        </w:rPr>
        <w:t xml:space="preserve">). </w:t>
      </w:r>
    </w:p>
    <w:p w14:paraId="5D051EAD" w14:textId="21A66098" w:rsidR="008235B6" w:rsidRPr="00BC1ABD" w:rsidRDefault="001A5062" w:rsidP="00572A42">
      <w:pPr>
        <w:pStyle w:val="Caption"/>
        <w:jc w:val="center"/>
        <w:rPr>
          <w:i w:val="0"/>
          <w:iCs w:val="0"/>
          <w:sz w:val="20"/>
          <w:szCs w:val="20"/>
          <w:lang w:val="en-GB"/>
        </w:rPr>
      </w:pPr>
      <w:bookmarkStart w:id="279" w:name="_Toc152931407"/>
      <w:r w:rsidRPr="00572A42">
        <w:rPr>
          <w:i w:val="0"/>
          <w:iCs w:val="0"/>
          <w:lang w:val="en-US"/>
        </w:rPr>
        <w:t xml:space="preserve">Figure </w:t>
      </w:r>
      <w:r>
        <w:rPr>
          <w:i w:val="0"/>
          <w:iCs w:val="0"/>
        </w:rPr>
        <w:fldChar w:fldCharType="begin"/>
      </w:r>
      <w:r w:rsidRPr="00572A42">
        <w:rPr>
          <w:i w:val="0"/>
          <w:iCs w:val="0"/>
          <w:lang w:val="en-US"/>
        </w:rPr>
        <w:instrText xml:space="preserve"> SEQ Figure \* ARABIC </w:instrText>
      </w:r>
      <w:r>
        <w:rPr>
          <w:i w:val="0"/>
          <w:iCs w:val="0"/>
        </w:rPr>
        <w:fldChar w:fldCharType="separate"/>
      </w:r>
      <w:r w:rsidR="00ED2C35">
        <w:rPr>
          <w:i w:val="0"/>
          <w:iCs w:val="0"/>
          <w:noProof/>
          <w:lang w:val="en-US"/>
        </w:rPr>
        <w:t>56</w:t>
      </w:r>
      <w:r>
        <w:rPr>
          <w:i w:val="0"/>
          <w:iCs w:val="0"/>
        </w:rPr>
        <w:fldChar w:fldCharType="end"/>
      </w:r>
      <w:r w:rsidR="00595FA9" w:rsidRPr="00BC1ABD">
        <w:rPr>
          <w:sz w:val="20"/>
          <w:szCs w:val="20"/>
          <w:lang w:val="en-GB"/>
        </w:rPr>
        <w:t xml:space="preserve">: </w:t>
      </w:r>
      <w:r w:rsidR="001C06C0" w:rsidRPr="00BC1ABD">
        <w:rPr>
          <w:sz w:val="20"/>
          <w:szCs w:val="20"/>
          <w:lang w:val="en-GB"/>
        </w:rPr>
        <w:t>Retail market shares based on number of subscriptions (2022)</w:t>
      </w:r>
      <w:bookmarkEnd w:id="279"/>
    </w:p>
    <w:tbl>
      <w:tblPr>
        <w:tblStyle w:val="TableGrid"/>
        <w:tblW w:w="842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22"/>
        <w:gridCol w:w="1256"/>
        <w:gridCol w:w="1256"/>
        <w:gridCol w:w="1209"/>
        <w:gridCol w:w="1206"/>
        <w:gridCol w:w="1378"/>
      </w:tblGrid>
      <w:tr w:rsidR="00572A42" w:rsidRPr="00355738" w14:paraId="45F8B584" w14:textId="77777777" w:rsidTr="00947299">
        <w:trPr>
          <w:cnfStyle w:val="100000000000" w:firstRow="1" w:lastRow="0" w:firstColumn="0" w:lastColumn="0" w:oddVBand="0" w:evenVBand="0" w:oddHBand="0" w:evenHBand="0" w:firstRowFirstColumn="0" w:firstRowLastColumn="0" w:lastRowFirstColumn="0" w:lastRowLastColumn="0"/>
          <w:jc w:val="center"/>
        </w:trPr>
        <w:tc>
          <w:tcPr>
            <w:tcW w:w="2144" w:type="dxa"/>
            <w:vMerge w:val="restart"/>
            <w:tcBorders>
              <w:top w:val="single" w:sz="12" w:space="0" w:color="auto"/>
              <w:left w:val="single" w:sz="12" w:space="0" w:color="auto"/>
              <w:bottom w:val="single" w:sz="6" w:space="0" w:color="auto"/>
              <w:right w:val="single" w:sz="6" w:space="0" w:color="auto"/>
            </w:tcBorders>
            <w:shd w:val="clear" w:color="auto" w:fill="D9D9D9"/>
          </w:tcPr>
          <w:p w14:paraId="258A3363" w14:textId="77777777" w:rsidR="00947299" w:rsidRPr="00572A42" w:rsidRDefault="00947299" w:rsidP="00E95C58">
            <w:pPr>
              <w:spacing w:after="120" w:line="252" w:lineRule="auto"/>
              <w:jc w:val="center"/>
              <w:rPr>
                <w:lang w:val="en-GB"/>
              </w:rPr>
            </w:pPr>
          </w:p>
          <w:p w14:paraId="41E2116A" w14:textId="77777777" w:rsidR="00947299" w:rsidRPr="00572A42" w:rsidRDefault="00947299" w:rsidP="00E95C58">
            <w:pPr>
              <w:spacing w:after="120" w:line="252" w:lineRule="auto"/>
              <w:jc w:val="center"/>
              <w:rPr>
                <w:lang w:val="en-GB"/>
              </w:rPr>
            </w:pPr>
            <w:r w:rsidRPr="00572A42">
              <w:rPr>
                <w:lang w:val="en-GB"/>
              </w:rPr>
              <w:t>Operator</w:t>
            </w:r>
          </w:p>
        </w:tc>
        <w:tc>
          <w:tcPr>
            <w:tcW w:w="1212" w:type="dxa"/>
            <w:tcBorders>
              <w:top w:val="single" w:sz="12" w:space="0" w:color="auto"/>
              <w:left w:val="single" w:sz="6" w:space="0" w:color="auto"/>
              <w:right w:val="single" w:sz="6" w:space="0" w:color="auto"/>
            </w:tcBorders>
            <w:shd w:val="clear" w:color="auto" w:fill="D9D9D9"/>
          </w:tcPr>
          <w:p w14:paraId="2A177902" w14:textId="77777777" w:rsidR="00947299" w:rsidRPr="00572A42" w:rsidRDefault="00947299" w:rsidP="00E95C58">
            <w:pPr>
              <w:spacing w:after="120" w:line="252" w:lineRule="auto"/>
              <w:jc w:val="center"/>
              <w:rPr>
                <w:lang w:val="en-GB"/>
              </w:rPr>
            </w:pPr>
          </w:p>
        </w:tc>
        <w:tc>
          <w:tcPr>
            <w:tcW w:w="5071" w:type="dxa"/>
            <w:gridSpan w:val="4"/>
            <w:tcBorders>
              <w:top w:val="single" w:sz="12" w:space="0" w:color="auto"/>
              <w:left w:val="single" w:sz="6" w:space="0" w:color="auto"/>
              <w:right w:val="single" w:sz="12" w:space="0" w:color="auto"/>
            </w:tcBorders>
            <w:shd w:val="clear" w:color="auto" w:fill="D9D9D9"/>
            <w:hideMark/>
          </w:tcPr>
          <w:p w14:paraId="18C2EF0B" w14:textId="1EC5ECBB" w:rsidR="00947299" w:rsidRPr="00572A42" w:rsidRDefault="00947299" w:rsidP="00E95C58">
            <w:pPr>
              <w:spacing w:after="120" w:line="252" w:lineRule="auto"/>
              <w:jc w:val="center"/>
              <w:rPr>
                <w:lang w:val="en-GB"/>
              </w:rPr>
            </w:pPr>
            <w:r w:rsidRPr="00572A42">
              <w:rPr>
                <w:lang w:val="en-GB"/>
              </w:rPr>
              <w:t>Retail market shares of subscriptions (2022)</w:t>
            </w:r>
          </w:p>
        </w:tc>
      </w:tr>
      <w:tr w:rsidR="00572A42" w:rsidRPr="00572A42" w14:paraId="3E171EDD" w14:textId="77777777" w:rsidTr="00947299">
        <w:trPr>
          <w:jc w:val="center"/>
        </w:trPr>
        <w:tc>
          <w:tcPr>
            <w:tcW w:w="0" w:type="auto"/>
            <w:vMerge/>
            <w:tcBorders>
              <w:top w:val="single" w:sz="12" w:space="0" w:color="auto"/>
              <w:left w:val="single" w:sz="12" w:space="0" w:color="auto"/>
              <w:bottom w:val="single" w:sz="6" w:space="0" w:color="auto"/>
              <w:right w:val="single" w:sz="6" w:space="0" w:color="auto"/>
            </w:tcBorders>
            <w:vAlign w:val="center"/>
            <w:hideMark/>
          </w:tcPr>
          <w:p w14:paraId="4072E872" w14:textId="77777777" w:rsidR="00947299" w:rsidRPr="00572A42" w:rsidRDefault="00947299" w:rsidP="00E95C58">
            <w:pPr>
              <w:spacing w:after="0" w:line="264" w:lineRule="auto"/>
              <w:rPr>
                <w:b/>
                <w:lang w:val="en-GB"/>
              </w:rPr>
            </w:pPr>
          </w:p>
        </w:tc>
        <w:tc>
          <w:tcPr>
            <w:tcW w:w="125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34C21C0" w14:textId="77777777" w:rsidR="00947299" w:rsidRPr="00572A42" w:rsidRDefault="00947299" w:rsidP="00E95C58">
            <w:pPr>
              <w:spacing w:after="120" w:line="252" w:lineRule="auto"/>
              <w:jc w:val="center"/>
              <w:rPr>
                <w:lang w:val="en-GB"/>
              </w:rPr>
            </w:pPr>
            <w:r w:rsidRPr="00572A42">
              <w:rPr>
                <w:lang w:val="en-GB"/>
              </w:rPr>
              <w:t>Higher-speed fixed broadband</w:t>
            </w:r>
          </w:p>
        </w:tc>
        <w:tc>
          <w:tcPr>
            <w:tcW w:w="1258" w:type="dxa"/>
            <w:tcBorders>
              <w:top w:val="single" w:sz="6" w:space="0" w:color="auto"/>
              <w:left w:val="single" w:sz="6" w:space="0" w:color="auto"/>
              <w:bottom w:val="single" w:sz="6" w:space="0" w:color="auto"/>
              <w:right w:val="single" w:sz="6" w:space="0" w:color="auto"/>
            </w:tcBorders>
            <w:shd w:val="clear" w:color="auto" w:fill="D9D9D9"/>
            <w:hideMark/>
          </w:tcPr>
          <w:p w14:paraId="6AB78F66" w14:textId="77777777" w:rsidR="00947299" w:rsidRPr="00572A42" w:rsidRDefault="00947299" w:rsidP="00E95C58">
            <w:pPr>
              <w:spacing w:after="120" w:line="252" w:lineRule="auto"/>
              <w:jc w:val="center"/>
              <w:rPr>
                <w:lang w:val="en-GB"/>
              </w:rPr>
            </w:pPr>
            <w:r w:rsidRPr="00572A42">
              <w:rPr>
                <w:lang w:val="en-GB"/>
              </w:rPr>
              <w:t>All fixed broadband services</w:t>
            </w:r>
          </w:p>
        </w:tc>
        <w:tc>
          <w:tcPr>
            <w:tcW w:w="1212" w:type="dxa"/>
            <w:tcBorders>
              <w:top w:val="single" w:sz="6" w:space="0" w:color="auto"/>
              <w:left w:val="single" w:sz="6" w:space="0" w:color="auto"/>
              <w:bottom w:val="single" w:sz="6" w:space="0" w:color="auto"/>
              <w:right w:val="single" w:sz="6" w:space="0" w:color="auto"/>
            </w:tcBorders>
            <w:shd w:val="clear" w:color="auto" w:fill="D9D9D9"/>
          </w:tcPr>
          <w:p w14:paraId="07791C12" w14:textId="34E82334" w:rsidR="00947299" w:rsidRPr="00572A42" w:rsidRDefault="00947299" w:rsidP="00E95C58">
            <w:pPr>
              <w:spacing w:after="120" w:line="252" w:lineRule="auto"/>
              <w:jc w:val="center"/>
              <w:rPr>
                <w:lang w:val="en-GB"/>
              </w:rPr>
            </w:pPr>
            <w:r w:rsidRPr="00572A42">
              <w:rPr>
                <w:lang w:val="en-GB"/>
              </w:rPr>
              <w:t>Fixed telephony</w:t>
            </w:r>
          </w:p>
        </w:tc>
        <w:tc>
          <w:tcPr>
            <w:tcW w:w="1212" w:type="dxa"/>
            <w:tcBorders>
              <w:top w:val="single" w:sz="6" w:space="0" w:color="auto"/>
              <w:left w:val="single" w:sz="6" w:space="0" w:color="auto"/>
              <w:bottom w:val="single" w:sz="6" w:space="0" w:color="auto"/>
              <w:right w:val="single" w:sz="12" w:space="0" w:color="auto"/>
            </w:tcBorders>
            <w:shd w:val="clear" w:color="auto" w:fill="D9D9D9"/>
            <w:hideMark/>
          </w:tcPr>
          <w:p w14:paraId="1F05354A" w14:textId="618A089B" w:rsidR="00947299" w:rsidRPr="00572A42" w:rsidRDefault="00947299" w:rsidP="00E95C58">
            <w:pPr>
              <w:spacing w:after="120" w:line="252" w:lineRule="auto"/>
              <w:jc w:val="center"/>
              <w:rPr>
                <w:lang w:val="en-GB"/>
              </w:rPr>
            </w:pPr>
            <w:r w:rsidRPr="00572A42">
              <w:rPr>
                <w:lang w:val="en-GB"/>
              </w:rPr>
              <w:t>Mobile Services</w:t>
            </w:r>
          </w:p>
        </w:tc>
        <w:tc>
          <w:tcPr>
            <w:tcW w:w="1343" w:type="dxa"/>
            <w:tcBorders>
              <w:top w:val="single" w:sz="6" w:space="0" w:color="auto"/>
              <w:left w:val="single" w:sz="6" w:space="0" w:color="auto"/>
              <w:bottom w:val="single" w:sz="6" w:space="0" w:color="auto"/>
              <w:right w:val="single" w:sz="12" w:space="0" w:color="auto"/>
            </w:tcBorders>
            <w:shd w:val="clear" w:color="auto" w:fill="D9D9D9"/>
          </w:tcPr>
          <w:p w14:paraId="25DA2DAD" w14:textId="77777777" w:rsidR="00947299" w:rsidRPr="00572A42" w:rsidRDefault="00947299" w:rsidP="00E95C58">
            <w:pPr>
              <w:spacing w:after="120" w:line="252" w:lineRule="auto"/>
              <w:jc w:val="center"/>
              <w:rPr>
                <w:lang w:val="en-GB"/>
              </w:rPr>
            </w:pPr>
            <w:r w:rsidRPr="00572A42">
              <w:rPr>
                <w:lang w:val="en-GB"/>
              </w:rPr>
              <w:t>Pay TV</w:t>
            </w:r>
          </w:p>
        </w:tc>
      </w:tr>
      <w:tr w:rsidR="00572A42" w:rsidRPr="00572A42" w14:paraId="4231FCDD" w14:textId="77777777" w:rsidTr="00947299">
        <w:trPr>
          <w:jc w:val="center"/>
        </w:trPr>
        <w:tc>
          <w:tcPr>
            <w:tcW w:w="2144" w:type="dxa"/>
            <w:tcBorders>
              <w:top w:val="single" w:sz="6" w:space="0" w:color="auto"/>
              <w:left w:val="single" w:sz="12" w:space="0" w:color="auto"/>
              <w:bottom w:val="single" w:sz="6" w:space="0" w:color="auto"/>
              <w:right w:val="single" w:sz="6" w:space="0" w:color="auto"/>
            </w:tcBorders>
            <w:hideMark/>
          </w:tcPr>
          <w:p w14:paraId="1807D609" w14:textId="77777777" w:rsidR="00947299" w:rsidRPr="00572A42" w:rsidRDefault="00947299" w:rsidP="00E95C58">
            <w:pPr>
              <w:spacing w:after="120" w:line="252" w:lineRule="auto"/>
              <w:jc w:val="center"/>
              <w:rPr>
                <w:lang w:val="en-GB"/>
              </w:rPr>
            </w:pPr>
            <w:r w:rsidRPr="00572A42">
              <w:rPr>
                <w:lang w:val="en-GB"/>
              </w:rPr>
              <w:t>Magticom</w:t>
            </w:r>
          </w:p>
        </w:tc>
        <w:tc>
          <w:tcPr>
            <w:tcW w:w="1258" w:type="dxa"/>
            <w:tcBorders>
              <w:top w:val="single" w:sz="6" w:space="0" w:color="auto"/>
              <w:left w:val="single" w:sz="6" w:space="0" w:color="auto"/>
              <w:bottom w:val="single" w:sz="6" w:space="0" w:color="auto"/>
              <w:right w:val="single" w:sz="6" w:space="0" w:color="auto"/>
            </w:tcBorders>
            <w:vAlign w:val="center"/>
            <w:hideMark/>
          </w:tcPr>
          <w:p w14:paraId="7FAAD143" w14:textId="77777777" w:rsidR="00947299" w:rsidRPr="00572A42" w:rsidRDefault="00947299" w:rsidP="00E95C58">
            <w:pPr>
              <w:spacing w:after="120" w:line="252" w:lineRule="auto"/>
              <w:jc w:val="center"/>
              <w:rPr>
                <w:sz w:val="20"/>
                <w:szCs w:val="20"/>
                <w:lang w:val="en-GB"/>
              </w:rPr>
            </w:pPr>
            <w:r w:rsidRPr="00572A42">
              <w:rPr>
                <w:rFonts w:cs="Calibri"/>
                <w:sz w:val="20"/>
                <w:szCs w:val="20"/>
                <w:lang w:val="en-GB"/>
              </w:rPr>
              <w:t>54.6%</w:t>
            </w:r>
          </w:p>
        </w:tc>
        <w:tc>
          <w:tcPr>
            <w:tcW w:w="1258" w:type="dxa"/>
            <w:tcBorders>
              <w:top w:val="single" w:sz="6" w:space="0" w:color="auto"/>
              <w:left w:val="single" w:sz="6" w:space="0" w:color="auto"/>
              <w:bottom w:val="single" w:sz="6" w:space="0" w:color="auto"/>
              <w:right w:val="single" w:sz="6" w:space="0" w:color="auto"/>
            </w:tcBorders>
            <w:hideMark/>
          </w:tcPr>
          <w:p w14:paraId="572AE7CE" w14:textId="77777777" w:rsidR="00947299" w:rsidRPr="00572A42" w:rsidRDefault="00947299" w:rsidP="00E95C58">
            <w:pPr>
              <w:spacing w:after="120" w:line="252" w:lineRule="auto"/>
              <w:jc w:val="center"/>
              <w:rPr>
                <w:lang w:val="en-GB"/>
              </w:rPr>
            </w:pPr>
            <w:r w:rsidRPr="00572A42">
              <w:rPr>
                <w:lang w:val="en-GB"/>
              </w:rPr>
              <w:t>48.3%</w:t>
            </w:r>
          </w:p>
        </w:tc>
        <w:tc>
          <w:tcPr>
            <w:tcW w:w="1212" w:type="dxa"/>
            <w:tcBorders>
              <w:top w:val="single" w:sz="6" w:space="0" w:color="auto"/>
              <w:left w:val="single" w:sz="6" w:space="0" w:color="auto"/>
              <w:bottom w:val="single" w:sz="6" w:space="0" w:color="auto"/>
              <w:right w:val="single" w:sz="6" w:space="0" w:color="auto"/>
            </w:tcBorders>
          </w:tcPr>
          <w:p w14:paraId="6580CA21" w14:textId="1B6D8C45" w:rsidR="00947299" w:rsidRPr="00572A42" w:rsidRDefault="00947299" w:rsidP="00E95C58">
            <w:pPr>
              <w:spacing w:after="120" w:line="252" w:lineRule="auto"/>
              <w:jc w:val="center"/>
              <w:rPr>
                <w:lang w:val="en-GB"/>
              </w:rPr>
            </w:pPr>
            <w:r w:rsidRPr="00572A42">
              <w:rPr>
                <w:lang w:val="en-GB"/>
              </w:rPr>
              <w:t>1,7%</w:t>
            </w:r>
          </w:p>
        </w:tc>
        <w:tc>
          <w:tcPr>
            <w:tcW w:w="1212" w:type="dxa"/>
            <w:tcBorders>
              <w:top w:val="single" w:sz="6" w:space="0" w:color="auto"/>
              <w:left w:val="single" w:sz="6" w:space="0" w:color="auto"/>
              <w:bottom w:val="single" w:sz="6" w:space="0" w:color="auto"/>
              <w:right w:val="single" w:sz="12" w:space="0" w:color="auto"/>
            </w:tcBorders>
            <w:hideMark/>
          </w:tcPr>
          <w:p w14:paraId="240BBC67" w14:textId="4C369862" w:rsidR="00947299" w:rsidRPr="00572A42" w:rsidRDefault="00947299" w:rsidP="00E95C58">
            <w:pPr>
              <w:spacing w:after="120" w:line="252" w:lineRule="auto"/>
              <w:jc w:val="center"/>
              <w:rPr>
                <w:lang w:val="en-GB"/>
              </w:rPr>
            </w:pPr>
            <w:r w:rsidRPr="00572A42">
              <w:rPr>
                <w:lang w:val="en-GB"/>
              </w:rPr>
              <w:t>42.6%</w:t>
            </w:r>
          </w:p>
        </w:tc>
        <w:tc>
          <w:tcPr>
            <w:tcW w:w="1343" w:type="dxa"/>
            <w:tcBorders>
              <w:top w:val="single" w:sz="6" w:space="0" w:color="auto"/>
              <w:left w:val="single" w:sz="6" w:space="0" w:color="auto"/>
              <w:bottom w:val="single" w:sz="6" w:space="0" w:color="auto"/>
              <w:right w:val="single" w:sz="12" w:space="0" w:color="auto"/>
            </w:tcBorders>
          </w:tcPr>
          <w:p w14:paraId="71478AD7" w14:textId="77777777" w:rsidR="00947299" w:rsidRPr="00572A42" w:rsidRDefault="00947299" w:rsidP="00E95C58">
            <w:pPr>
              <w:spacing w:after="120" w:line="252" w:lineRule="auto"/>
              <w:jc w:val="center"/>
              <w:rPr>
                <w:lang w:val="en-GB"/>
              </w:rPr>
            </w:pPr>
            <w:r w:rsidRPr="00572A42">
              <w:rPr>
                <w:lang w:val="en-GB"/>
              </w:rPr>
              <w:t>56.06%</w:t>
            </w:r>
          </w:p>
        </w:tc>
      </w:tr>
      <w:tr w:rsidR="00572A42" w:rsidRPr="00572A42" w14:paraId="570F1408" w14:textId="77777777" w:rsidTr="00947299">
        <w:trPr>
          <w:jc w:val="center"/>
        </w:trPr>
        <w:tc>
          <w:tcPr>
            <w:tcW w:w="2144" w:type="dxa"/>
            <w:tcBorders>
              <w:top w:val="single" w:sz="6" w:space="0" w:color="auto"/>
              <w:left w:val="single" w:sz="12" w:space="0" w:color="auto"/>
              <w:bottom w:val="single" w:sz="6" w:space="0" w:color="auto"/>
              <w:right w:val="single" w:sz="6" w:space="0" w:color="auto"/>
            </w:tcBorders>
            <w:hideMark/>
          </w:tcPr>
          <w:p w14:paraId="663CF8F7" w14:textId="77777777" w:rsidR="00947299" w:rsidRPr="00572A42" w:rsidRDefault="00947299" w:rsidP="00E95C58">
            <w:pPr>
              <w:spacing w:after="120" w:line="252" w:lineRule="auto"/>
              <w:jc w:val="center"/>
              <w:rPr>
                <w:lang w:val="en-GB"/>
              </w:rPr>
            </w:pPr>
            <w:r w:rsidRPr="00572A42">
              <w:rPr>
                <w:lang w:val="en-GB"/>
              </w:rPr>
              <w:t>Silknet</w:t>
            </w:r>
          </w:p>
        </w:tc>
        <w:tc>
          <w:tcPr>
            <w:tcW w:w="1258" w:type="dxa"/>
            <w:tcBorders>
              <w:top w:val="single" w:sz="6" w:space="0" w:color="auto"/>
              <w:left w:val="single" w:sz="6" w:space="0" w:color="auto"/>
              <w:bottom w:val="single" w:sz="6" w:space="0" w:color="auto"/>
              <w:right w:val="single" w:sz="6" w:space="0" w:color="auto"/>
            </w:tcBorders>
            <w:vAlign w:val="center"/>
            <w:hideMark/>
          </w:tcPr>
          <w:p w14:paraId="4C280993" w14:textId="77777777" w:rsidR="00947299" w:rsidRPr="00572A42" w:rsidRDefault="00947299" w:rsidP="00E95C58">
            <w:pPr>
              <w:spacing w:after="120" w:line="252" w:lineRule="auto"/>
              <w:jc w:val="center"/>
              <w:rPr>
                <w:sz w:val="20"/>
                <w:szCs w:val="20"/>
                <w:lang w:val="en-GB"/>
              </w:rPr>
            </w:pPr>
            <w:r w:rsidRPr="00572A42">
              <w:rPr>
                <w:rFonts w:cs="Calibri"/>
                <w:sz w:val="20"/>
                <w:szCs w:val="20"/>
                <w:lang w:val="en-GB"/>
              </w:rPr>
              <w:t>32.0%</w:t>
            </w:r>
          </w:p>
        </w:tc>
        <w:tc>
          <w:tcPr>
            <w:tcW w:w="1258" w:type="dxa"/>
            <w:tcBorders>
              <w:top w:val="single" w:sz="6" w:space="0" w:color="auto"/>
              <w:left w:val="single" w:sz="6" w:space="0" w:color="auto"/>
              <w:bottom w:val="single" w:sz="6" w:space="0" w:color="auto"/>
              <w:right w:val="single" w:sz="6" w:space="0" w:color="auto"/>
            </w:tcBorders>
            <w:hideMark/>
          </w:tcPr>
          <w:p w14:paraId="3704312F" w14:textId="77777777" w:rsidR="00947299" w:rsidRPr="00572A42" w:rsidRDefault="00947299" w:rsidP="00E95C58">
            <w:pPr>
              <w:spacing w:after="120" w:line="252" w:lineRule="auto"/>
              <w:jc w:val="center"/>
              <w:rPr>
                <w:lang w:val="en-GB"/>
              </w:rPr>
            </w:pPr>
            <w:r w:rsidRPr="00572A42">
              <w:rPr>
                <w:lang w:val="en-GB"/>
              </w:rPr>
              <w:t>29.9%</w:t>
            </w:r>
          </w:p>
        </w:tc>
        <w:tc>
          <w:tcPr>
            <w:tcW w:w="1212" w:type="dxa"/>
            <w:tcBorders>
              <w:top w:val="single" w:sz="6" w:space="0" w:color="auto"/>
              <w:left w:val="single" w:sz="6" w:space="0" w:color="auto"/>
              <w:bottom w:val="single" w:sz="6" w:space="0" w:color="auto"/>
              <w:right w:val="single" w:sz="6" w:space="0" w:color="auto"/>
            </w:tcBorders>
          </w:tcPr>
          <w:p w14:paraId="16F3D6EB" w14:textId="10801A6D" w:rsidR="00947299" w:rsidRPr="00572A42" w:rsidRDefault="00947299" w:rsidP="00E95C58">
            <w:pPr>
              <w:spacing w:after="120" w:line="252" w:lineRule="auto"/>
              <w:jc w:val="center"/>
              <w:rPr>
                <w:lang w:val="en-GB"/>
              </w:rPr>
            </w:pPr>
            <w:r w:rsidRPr="00572A42">
              <w:rPr>
                <w:lang w:val="en-GB"/>
              </w:rPr>
              <w:t>68,9%</w:t>
            </w:r>
          </w:p>
        </w:tc>
        <w:tc>
          <w:tcPr>
            <w:tcW w:w="1212" w:type="dxa"/>
            <w:tcBorders>
              <w:top w:val="single" w:sz="6" w:space="0" w:color="auto"/>
              <w:left w:val="single" w:sz="6" w:space="0" w:color="auto"/>
              <w:bottom w:val="single" w:sz="6" w:space="0" w:color="auto"/>
              <w:right w:val="single" w:sz="12" w:space="0" w:color="auto"/>
            </w:tcBorders>
            <w:hideMark/>
          </w:tcPr>
          <w:p w14:paraId="36DF9751" w14:textId="18D74EB9" w:rsidR="00947299" w:rsidRPr="00572A42" w:rsidRDefault="00947299" w:rsidP="00E95C58">
            <w:pPr>
              <w:spacing w:after="120" w:line="252" w:lineRule="auto"/>
              <w:jc w:val="center"/>
              <w:rPr>
                <w:lang w:val="en-GB"/>
              </w:rPr>
            </w:pPr>
            <w:r w:rsidRPr="00572A42">
              <w:rPr>
                <w:lang w:val="en-GB"/>
              </w:rPr>
              <w:t>32.7%</w:t>
            </w:r>
          </w:p>
        </w:tc>
        <w:tc>
          <w:tcPr>
            <w:tcW w:w="1343" w:type="dxa"/>
            <w:tcBorders>
              <w:top w:val="single" w:sz="6" w:space="0" w:color="auto"/>
              <w:left w:val="single" w:sz="6" w:space="0" w:color="auto"/>
              <w:bottom w:val="single" w:sz="6" w:space="0" w:color="auto"/>
              <w:right w:val="single" w:sz="12" w:space="0" w:color="auto"/>
            </w:tcBorders>
          </w:tcPr>
          <w:p w14:paraId="3ABCBD97" w14:textId="77777777" w:rsidR="00947299" w:rsidRPr="00572A42" w:rsidRDefault="00947299" w:rsidP="00E95C58">
            <w:pPr>
              <w:spacing w:after="120" w:line="252" w:lineRule="auto"/>
              <w:jc w:val="center"/>
              <w:rPr>
                <w:lang w:val="en-GB"/>
              </w:rPr>
            </w:pPr>
            <w:r w:rsidRPr="00572A42">
              <w:rPr>
                <w:lang w:val="en-GB"/>
              </w:rPr>
              <w:t>36.99%</w:t>
            </w:r>
          </w:p>
        </w:tc>
      </w:tr>
      <w:tr w:rsidR="00572A42" w:rsidRPr="00572A42" w14:paraId="69F621DE" w14:textId="77777777" w:rsidTr="00947299">
        <w:trPr>
          <w:jc w:val="center"/>
        </w:trPr>
        <w:tc>
          <w:tcPr>
            <w:tcW w:w="2144" w:type="dxa"/>
            <w:tcBorders>
              <w:top w:val="single" w:sz="6" w:space="0" w:color="auto"/>
              <w:left w:val="single" w:sz="12" w:space="0" w:color="auto"/>
              <w:bottom w:val="single" w:sz="6" w:space="0" w:color="auto"/>
              <w:right w:val="single" w:sz="6" w:space="0" w:color="auto"/>
            </w:tcBorders>
            <w:hideMark/>
          </w:tcPr>
          <w:p w14:paraId="082899D0" w14:textId="77777777" w:rsidR="00947299" w:rsidRPr="00572A42" w:rsidRDefault="00947299" w:rsidP="00E95C58">
            <w:pPr>
              <w:spacing w:after="120" w:line="252" w:lineRule="auto"/>
              <w:jc w:val="center"/>
              <w:rPr>
                <w:lang w:val="en-GB"/>
              </w:rPr>
            </w:pPr>
            <w:r w:rsidRPr="00572A42">
              <w:rPr>
                <w:lang w:val="en-GB"/>
              </w:rPr>
              <w:t>Others</w:t>
            </w:r>
          </w:p>
        </w:tc>
        <w:tc>
          <w:tcPr>
            <w:tcW w:w="1258" w:type="dxa"/>
            <w:tcBorders>
              <w:top w:val="single" w:sz="6" w:space="0" w:color="auto"/>
              <w:left w:val="single" w:sz="6" w:space="0" w:color="auto"/>
              <w:bottom w:val="single" w:sz="6" w:space="0" w:color="auto"/>
              <w:right w:val="single" w:sz="6" w:space="0" w:color="auto"/>
            </w:tcBorders>
            <w:vAlign w:val="center"/>
            <w:hideMark/>
          </w:tcPr>
          <w:p w14:paraId="18A18892" w14:textId="77777777" w:rsidR="00947299" w:rsidRPr="00572A42" w:rsidRDefault="00947299" w:rsidP="00E95C58">
            <w:pPr>
              <w:spacing w:after="120" w:line="252" w:lineRule="auto"/>
              <w:jc w:val="center"/>
              <w:rPr>
                <w:sz w:val="20"/>
                <w:szCs w:val="20"/>
                <w:lang w:val="en-GB"/>
              </w:rPr>
            </w:pPr>
            <w:r w:rsidRPr="00572A42">
              <w:rPr>
                <w:sz w:val="20"/>
                <w:szCs w:val="20"/>
                <w:lang w:val="en-GB"/>
              </w:rPr>
              <w:t>13.4%</w:t>
            </w:r>
          </w:p>
        </w:tc>
        <w:tc>
          <w:tcPr>
            <w:tcW w:w="1258" w:type="dxa"/>
            <w:tcBorders>
              <w:top w:val="single" w:sz="6" w:space="0" w:color="auto"/>
              <w:left w:val="single" w:sz="6" w:space="0" w:color="auto"/>
              <w:bottom w:val="single" w:sz="6" w:space="0" w:color="auto"/>
              <w:right w:val="single" w:sz="6" w:space="0" w:color="auto"/>
            </w:tcBorders>
            <w:hideMark/>
          </w:tcPr>
          <w:p w14:paraId="080111E0" w14:textId="77777777" w:rsidR="00947299" w:rsidRPr="00572A42" w:rsidRDefault="00947299" w:rsidP="00E95C58">
            <w:pPr>
              <w:spacing w:after="120" w:line="252" w:lineRule="auto"/>
              <w:jc w:val="center"/>
              <w:rPr>
                <w:lang w:val="en-GB"/>
              </w:rPr>
            </w:pPr>
            <w:r w:rsidRPr="00572A42">
              <w:rPr>
                <w:lang w:val="en-GB"/>
              </w:rPr>
              <w:t>21.8%</w:t>
            </w:r>
          </w:p>
        </w:tc>
        <w:tc>
          <w:tcPr>
            <w:tcW w:w="1212" w:type="dxa"/>
            <w:tcBorders>
              <w:top w:val="single" w:sz="6" w:space="0" w:color="auto"/>
              <w:left w:val="single" w:sz="6" w:space="0" w:color="auto"/>
              <w:bottom w:val="single" w:sz="6" w:space="0" w:color="auto"/>
              <w:right w:val="single" w:sz="6" w:space="0" w:color="auto"/>
            </w:tcBorders>
          </w:tcPr>
          <w:p w14:paraId="4BC849C1" w14:textId="00F33F08" w:rsidR="00947299" w:rsidRPr="00572A42" w:rsidRDefault="00947299" w:rsidP="00E95C58">
            <w:pPr>
              <w:spacing w:after="120" w:line="252" w:lineRule="auto"/>
              <w:jc w:val="center"/>
              <w:rPr>
                <w:lang w:val="en-GB"/>
              </w:rPr>
            </w:pPr>
            <w:r w:rsidRPr="00572A42">
              <w:rPr>
                <w:lang w:val="en-GB"/>
              </w:rPr>
              <w:t>29,4%</w:t>
            </w:r>
          </w:p>
        </w:tc>
        <w:tc>
          <w:tcPr>
            <w:tcW w:w="1212" w:type="dxa"/>
            <w:tcBorders>
              <w:top w:val="single" w:sz="6" w:space="0" w:color="auto"/>
              <w:left w:val="single" w:sz="6" w:space="0" w:color="auto"/>
              <w:bottom w:val="single" w:sz="6" w:space="0" w:color="auto"/>
              <w:right w:val="single" w:sz="12" w:space="0" w:color="auto"/>
            </w:tcBorders>
          </w:tcPr>
          <w:p w14:paraId="2C1760C5" w14:textId="2388A255" w:rsidR="00947299" w:rsidRPr="00572A42" w:rsidRDefault="00947299" w:rsidP="00E95C58">
            <w:pPr>
              <w:spacing w:after="120" w:line="252" w:lineRule="auto"/>
              <w:jc w:val="center"/>
              <w:rPr>
                <w:lang w:val="en-GB"/>
              </w:rPr>
            </w:pPr>
            <w:r w:rsidRPr="00572A42">
              <w:rPr>
                <w:lang w:val="en-GB"/>
              </w:rPr>
              <w:t>24.7%</w:t>
            </w:r>
          </w:p>
        </w:tc>
        <w:tc>
          <w:tcPr>
            <w:tcW w:w="1343" w:type="dxa"/>
            <w:tcBorders>
              <w:top w:val="single" w:sz="6" w:space="0" w:color="auto"/>
              <w:left w:val="single" w:sz="6" w:space="0" w:color="auto"/>
              <w:bottom w:val="single" w:sz="6" w:space="0" w:color="auto"/>
              <w:right w:val="single" w:sz="12" w:space="0" w:color="auto"/>
            </w:tcBorders>
          </w:tcPr>
          <w:p w14:paraId="17E8275B" w14:textId="77777777" w:rsidR="00947299" w:rsidRPr="00572A42" w:rsidRDefault="00947299" w:rsidP="00E95C58">
            <w:pPr>
              <w:spacing w:after="120" w:line="252" w:lineRule="auto"/>
              <w:jc w:val="center"/>
              <w:rPr>
                <w:lang w:val="en-GB"/>
              </w:rPr>
            </w:pPr>
            <w:r w:rsidRPr="00572A42">
              <w:rPr>
                <w:lang w:val="en-GB"/>
              </w:rPr>
              <w:t>6.95%</w:t>
            </w:r>
          </w:p>
        </w:tc>
      </w:tr>
      <w:tr w:rsidR="00572A42" w:rsidRPr="00572A42" w14:paraId="38E6A49F" w14:textId="77777777" w:rsidTr="00947299">
        <w:trPr>
          <w:jc w:val="center"/>
        </w:trPr>
        <w:tc>
          <w:tcPr>
            <w:tcW w:w="2144" w:type="dxa"/>
            <w:tcBorders>
              <w:top w:val="single" w:sz="6" w:space="0" w:color="auto"/>
              <w:left w:val="single" w:sz="12" w:space="0" w:color="auto"/>
              <w:bottom w:val="single" w:sz="12" w:space="0" w:color="auto"/>
              <w:right w:val="single" w:sz="6" w:space="0" w:color="auto"/>
            </w:tcBorders>
            <w:shd w:val="clear" w:color="auto" w:fill="D0CECE"/>
            <w:hideMark/>
          </w:tcPr>
          <w:p w14:paraId="224B56A1" w14:textId="77777777" w:rsidR="00947299" w:rsidRPr="00572A42" w:rsidRDefault="00947299" w:rsidP="00E95C58">
            <w:pPr>
              <w:spacing w:after="120" w:line="252" w:lineRule="auto"/>
              <w:jc w:val="center"/>
              <w:rPr>
                <w:lang w:val="en-GB"/>
              </w:rPr>
            </w:pPr>
            <w:r w:rsidRPr="00572A42">
              <w:rPr>
                <w:lang w:val="en-GB"/>
              </w:rPr>
              <w:t>TOTAL</w:t>
            </w:r>
          </w:p>
        </w:tc>
        <w:tc>
          <w:tcPr>
            <w:tcW w:w="1258" w:type="dxa"/>
            <w:tcBorders>
              <w:top w:val="single" w:sz="6" w:space="0" w:color="auto"/>
              <w:left w:val="single" w:sz="6" w:space="0" w:color="auto"/>
              <w:bottom w:val="single" w:sz="12" w:space="0" w:color="auto"/>
              <w:right w:val="single" w:sz="6" w:space="0" w:color="auto"/>
            </w:tcBorders>
            <w:shd w:val="clear" w:color="auto" w:fill="D0CECE"/>
            <w:vAlign w:val="center"/>
            <w:hideMark/>
          </w:tcPr>
          <w:p w14:paraId="3F47278B" w14:textId="77777777" w:rsidR="00947299" w:rsidRPr="00572A42" w:rsidRDefault="00947299" w:rsidP="00E95C58">
            <w:pPr>
              <w:spacing w:after="120" w:line="252" w:lineRule="auto"/>
              <w:jc w:val="center"/>
              <w:rPr>
                <w:lang w:val="en-GB"/>
              </w:rPr>
            </w:pPr>
            <w:r w:rsidRPr="00572A42">
              <w:rPr>
                <w:lang w:val="en-GB"/>
              </w:rPr>
              <w:t>100%</w:t>
            </w:r>
          </w:p>
        </w:tc>
        <w:tc>
          <w:tcPr>
            <w:tcW w:w="1258" w:type="dxa"/>
            <w:tcBorders>
              <w:top w:val="single" w:sz="6" w:space="0" w:color="auto"/>
              <w:left w:val="single" w:sz="6" w:space="0" w:color="auto"/>
              <w:bottom w:val="single" w:sz="12" w:space="0" w:color="auto"/>
              <w:right w:val="single" w:sz="6" w:space="0" w:color="auto"/>
            </w:tcBorders>
            <w:shd w:val="clear" w:color="auto" w:fill="D0CECE"/>
            <w:hideMark/>
          </w:tcPr>
          <w:p w14:paraId="27C4DD29" w14:textId="77777777" w:rsidR="00947299" w:rsidRPr="00572A42" w:rsidRDefault="00947299" w:rsidP="00E95C58">
            <w:pPr>
              <w:spacing w:after="120" w:line="252" w:lineRule="auto"/>
              <w:jc w:val="center"/>
              <w:rPr>
                <w:lang w:val="en-GB"/>
              </w:rPr>
            </w:pPr>
            <w:r w:rsidRPr="00572A42">
              <w:rPr>
                <w:lang w:val="en-GB"/>
              </w:rPr>
              <w:t>100%</w:t>
            </w:r>
          </w:p>
        </w:tc>
        <w:tc>
          <w:tcPr>
            <w:tcW w:w="1212" w:type="dxa"/>
            <w:tcBorders>
              <w:top w:val="single" w:sz="6" w:space="0" w:color="auto"/>
              <w:left w:val="single" w:sz="6" w:space="0" w:color="auto"/>
              <w:bottom w:val="single" w:sz="12" w:space="0" w:color="auto"/>
              <w:right w:val="single" w:sz="6" w:space="0" w:color="auto"/>
            </w:tcBorders>
            <w:shd w:val="clear" w:color="auto" w:fill="D0CECE"/>
          </w:tcPr>
          <w:p w14:paraId="03ADCE34" w14:textId="3D1729DD" w:rsidR="00947299" w:rsidRPr="00572A42" w:rsidRDefault="00947299" w:rsidP="00E95C58">
            <w:pPr>
              <w:spacing w:after="120" w:line="252" w:lineRule="auto"/>
              <w:jc w:val="center"/>
              <w:rPr>
                <w:lang w:val="en-GB"/>
              </w:rPr>
            </w:pPr>
            <w:r w:rsidRPr="00572A42">
              <w:rPr>
                <w:lang w:val="en-GB"/>
              </w:rPr>
              <w:t>100%</w:t>
            </w:r>
          </w:p>
        </w:tc>
        <w:tc>
          <w:tcPr>
            <w:tcW w:w="1212" w:type="dxa"/>
            <w:tcBorders>
              <w:top w:val="single" w:sz="6" w:space="0" w:color="auto"/>
              <w:left w:val="single" w:sz="6" w:space="0" w:color="auto"/>
              <w:bottom w:val="single" w:sz="12" w:space="0" w:color="auto"/>
              <w:right w:val="single" w:sz="12" w:space="0" w:color="auto"/>
            </w:tcBorders>
            <w:shd w:val="clear" w:color="auto" w:fill="D0CECE"/>
            <w:hideMark/>
          </w:tcPr>
          <w:p w14:paraId="46652351" w14:textId="5DC257C3" w:rsidR="00947299" w:rsidRPr="00572A42" w:rsidRDefault="00947299" w:rsidP="00E95C58">
            <w:pPr>
              <w:spacing w:after="120" w:line="252" w:lineRule="auto"/>
              <w:jc w:val="center"/>
              <w:rPr>
                <w:lang w:val="en-GB"/>
              </w:rPr>
            </w:pPr>
            <w:r w:rsidRPr="00572A42">
              <w:rPr>
                <w:lang w:val="en-GB"/>
              </w:rPr>
              <w:t>100%</w:t>
            </w:r>
          </w:p>
        </w:tc>
        <w:tc>
          <w:tcPr>
            <w:tcW w:w="1343" w:type="dxa"/>
            <w:tcBorders>
              <w:top w:val="single" w:sz="6" w:space="0" w:color="auto"/>
              <w:left w:val="single" w:sz="6" w:space="0" w:color="auto"/>
              <w:bottom w:val="single" w:sz="12" w:space="0" w:color="auto"/>
              <w:right w:val="single" w:sz="12" w:space="0" w:color="auto"/>
            </w:tcBorders>
            <w:shd w:val="clear" w:color="auto" w:fill="D0CECE"/>
          </w:tcPr>
          <w:p w14:paraId="3108C7D3" w14:textId="77777777" w:rsidR="00947299" w:rsidRPr="00572A42" w:rsidRDefault="00947299" w:rsidP="00E95C58">
            <w:pPr>
              <w:spacing w:after="120" w:line="252" w:lineRule="auto"/>
              <w:jc w:val="center"/>
              <w:rPr>
                <w:lang w:val="en-GB"/>
              </w:rPr>
            </w:pPr>
            <w:r w:rsidRPr="00572A42">
              <w:rPr>
                <w:lang w:val="en-GB"/>
              </w:rPr>
              <w:t>100%</w:t>
            </w:r>
          </w:p>
        </w:tc>
      </w:tr>
    </w:tbl>
    <w:p w14:paraId="6D8A147C" w14:textId="0494D6E7" w:rsidR="00595FA9" w:rsidRPr="00BC1ABD" w:rsidRDefault="00595FA9" w:rsidP="00595FA9">
      <w:pPr>
        <w:spacing w:after="160" w:line="256" w:lineRule="auto"/>
        <w:jc w:val="center"/>
        <w:rPr>
          <w:rFonts w:asciiTheme="minorHAnsi" w:eastAsiaTheme="minorHAnsi" w:hAnsiTheme="minorHAnsi" w:cstheme="minorBidi"/>
          <w:i/>
          <w:iCs/>
          <w:color w:val="44546A" w:themeColor="text2"/>
          <w:sz w:val="20"/>
          <w:szCs w:val="20"/>
          <w:lang w:val="en-GB"/>
        </w:rPr>
      </w:pPr>
      <w:r w:rsidRPr="00BC1ABD">
        <w:rPr>
          <w:rFonts w:asciiTheme="minorHAnsi" w:eastAsiaTheme="minorHAnsi" w:hAnsiTheme="minorHAnsi" w:cstheme="minorBidi"/>
          <w:i/>
          <w:iCs/>
          <w:color w:val="44546A" w:themeColor="text2"/>
          <w:sz w:val="20"/>
          <w:szCs w:val="20"/>
          <w:lang w:val="en-GB"/>
        </w:rPr>
        <w:t>Source: Derived from ComCom data</w:t>
      </w:r>
    </w:p>
    <w:p w14:paraId="03798266" w14:textId="0FA1E00C" w:rsidR="00595FA9" w:rsidRPr="009457A2" w:rsidRDefault="00595FA9" w:rsidP="009457A2">
      <w:pPr>
        <w:spacing w:after="160" w:line="256" w:lineRule="auto"/>
        <w:jc w:val="both"/>
        <w:rPr>
          <w:sz w:val="24"/>
          <w:szCs w:val="24"/>
          <w:lang w:val="en-GB"/>
        </w:rPr>
      </w:pPr>
      <w:r w:rsidRPr="009457A2">
        <w:rPr>
          <w:sz w:val="24"/>
          <w:szCs w:val="24"/>
          <w:lang w:val="en-GB"/>
        </w:rPr>
        <w:t xml:space="preserve">Magticom’s shares in all its main markets give it a significantly higher economy of scope. The remaining </w:t>
      </w:r>
      <w:r w:rsidR="00DC7984">
        <w:rPr>
          <w:sz w:val="24"/>
          <w:szCs w:val="24"/>
          <w:lang w:val="en-GB"/>
        </w:rPr>
        <w:t xml:space="preserve">fixed </w:t>
      </w:r>
      <w:r w:rsidRPr="009457A2">
        <w:rPr>
          <w:sz w:val="24"/>
          <w:szCs w:val="24"/>
          <w:lang w:val="en-GB"/>
        </w:rPr>
        <w:t xml:space="preserve">telephony are relatively less important and are declining </w:t>
      </w:r>
      <w:r w:rsidR="00924690" w:rsidRPr="009457A2">
        <w:rPr>
          <w:sz w:val="24"/>
          <w:szCs w:val="24"/>
          <w:lang w:val="en-GB"/>
        </w:rPr>
        <w:t xml:space="preserve">(from 680,769 subscribers in 2017 to 286,716 subscribers in 2022). </w:t>
      </w:r>
      <w:r w:rsidRPr="009457A2">
        <w:rPr>
          <w:sz w:val="24"/>
          <w:szCs w:val="24"/>
          <w:lang w:val="en-GB"/>
        </w:rPr>
        <w:t xml:space="preserve">Silknet also benefits from economies of scope, being the only other operator that provides both fixed and mobile services. All the other operators in Georgia (including the third largest </w:t>
      </w:r>
      <w:r w:rsidR="005F4372" w:rsidRPr="009457A2">
        <w:rPr>
          <w:sz w:val="24"/>
          <w:szCs w:val="24"/>
          <w:lang w:val="en-GB"/>
        </w:rPr>
        <w:t>m</w:t>
      </w:r>
      <w:r w:rsidRPr="009457A2">
        <w:rPr>
          <w:sz w:val="24"/>
          <w:szCs w:val="24"/>
          <w:lang w:val="en-GB"/>
        </w:rPr>
        <w:t xml:space="preserve">obile operator </w:t>
      </w:r>
      <w:r w:rsidR="000E41A1">
        <w:rPr>
          <w:sz w:val="24"/>
          <w:szCs w:val="24"/>
          <w:lang w:val="en-GB"/>
        </w:rPr>
        <w:t>Cellfie</w:t>
      </w:r>
      <w:r w:rsidRPr="009457A2">
        <w:rPr>
          <w:sz w:val="24"/>
          <w:szCs w:val="24"/>
          <w:lang w:val="en-GB"/>
        </w:rPr>
        <w:t xml:space="preserve"> and the many smaller fixed network operators) do not benefit from the same economies of scope. </w:t>
      </w:r>
    </w:p>
    <w:p w14:paraId="080F3CDA" w14:textId="6921119E" w:rsidR="00595FA9" w:rsidRPr="009457A2" w:rsidRDefault="00595FA9" w:rsidP="009457A2">
      <w:pPr>
        <w:spacing w:after="160" w:line="256" w:lineRule="auto"/>
        <w:jc w:val="both"/>
        <w:rPr>
          <w:sz w:val="24"/>
          <w:szCs w:val="24"/>
          <w:lang w:val="en-GB"/>
        </w:rPr>
      </w:pPr>
      <w:r w:rsidRPr="009457A2">
        <w:rPr>
          <w:sz w:val="24"/>
          <w:szCs w:val="24"/>
          <w:lang w:val="en-GB"/>
        </w:rPr>
        <w:t>Magticom and Silknet also have the advantage of being able to bundle several retail services together in bundles for customers. Their competitive advantage in bundling services arises mainly from their ability to offer</w:t>
      </w:r>
      <w:r w:rsidR="005F4372" w:rsidRPr="009457A2">
        <w:rPr>
          <w:sz w:val="24"/>
          <w:szCs w:val="24"/>
          <w:lang w:val="en-GB"/>
        </w:rPr>
        <w:t xml:space="preserve"> combinations of</w:t>
      </w:r>
      <w:r w:rsidRPr="009457A2">
        <w:rPr>
          <w:sz w:val="24"/>
          <w:szCs w:val="24"/>
          <w:lang w:val="en-GB"/>
        </w:rPr>
        <w:t xml:space="preserve"> fixed</w:t>
      </w:r>
      <w:r w:rsidR="005F4372" w:rsidRPr="009457A2">
        <w:rPr>
          <w:sz w:val="24"/>
          <w:szCs w:val="24"/>
          <w:lang w:val="en-GB"/>
        </w:rPr>
        <w:t xml:space="preserve">, </w:t>
      </w:r>
      <w:r w:rsidRPr="009457A2">
        <w:rPr>
          <w:sz w:val="24"/>
          <w:szCs w:val="24"/>
          <w:lang w:val="en-GB"/>
        </w:rPr>
        <w:t xml:space="preserve">mobile </w:t>
      </w:r>
      <w:r w:rsidR="005F4372" w:rsidRPr="009457A2">
        <w:rPr>
          <w:sz w:val="24"/>
          <w:szCs w:val="24"/>
          <w:lang w:val="en-GB"/>
        </w:rPr>
        <w:t xml:space="preserve">and pay TV </w:t>
      </w:r>
      <w:r w:rsidRPr="009457A2">
        <w:rPr>
          <w:sz w:val="24"/>
          <w:szCs w:val="24"/>
          <w:lang w:val="en-GB"/>
        </w:rPr>
        <w:t>services in the same package</w:t>
      </w:r>
      <w:r w:rsidR="0000006B" w:rsidRPr="009457A2">
        <w:rPr>
          <w:sz w:val="24"/>
          <w:szCs w:val="24"/>
          <w:lang w:val="en-GB"/>
        </w:rPr>
        <w:t xml:space="preserve"> (see Figure </w:t>
      </w:r>
      <w:r w:rsidR="00177380" w:rsidRPr="009457A2">
        <w:rPr>
          <w:sz w:val="24"/>
          <w:szCs w:val="24"/>
          <w:lang w:val="en-GB"/>
        </w:rPr>
        <w:t>13</w:t>
      </w:r>
      <w:r w:rsidR="0000006B" w:rsidRPr="009457A2">
        <w:rPr>
          <w:sz w:val="24"/>
          <w:szCs w:val="24"/>
          <w:lang w:val="en-GB"/>
        </w:rPr>
        <w:t>)</w:t>
      </w:r>
      <w:r w:rsidR="002609D6" w:rsidRPr="009457A2">
        <w:rPr>
          <w:sz w:val="24"/>
          <w:szCs w:val="24"/>
          <w:lang w:val="en-GB"/>
        </w:rPr>
        <w:t xml:space="preserve"> and achieving cost reduction as a consequence of fixed costs being distributed among various types of services </w:t>
      </w:r>
      <w:r w:rsidR="008708B2" w:rsidRPr="009457A2">
        <w:rPr>
          <w:sz w:val="24"/>
          <w:szCs w:val="24"/>
          <w:lang w:val="en-GB"/>
        </w:rPr>
        <w:t>and by</w:t>
      </w:r>
      <w:r w:rsidR="002609D6" w:rsidRPr="009457A2">
        <w:rPr>
          <w:sz w:val="24"/>
          <w:szCs w:val="24"/>
          <w:lang w:val="en-GB"/>
        </w:rPr>
        <w:t xml:space="preserve"> sharing the same overhead activities.</w:t>
      </w:r>
      <w:r w:rsidRPr="009457A2">
        <w:rPr>
          <w:sz w:val="24"/>
          <w:szCs w:val="24"/>
          <w:lang w:val="en-GB"/>
        </w:rPr>
        <w:t xml:space="preserve"> The remaining smaller operators (including the third mobile operator </w:t>
      </w:r>
      <w:r w:rsidR="00CC3E4F">
        <w:rPr>
          <w:sz w:val="24"/>
          <w:szCs w:val="24"/>
          <w:lang w:val="en-GB"/>
        </w:rPr>
        <w:t>Cellfie</w:t>
      </w:r>
      <w:r w:rsidRPr="009457A2">
        <w:rPr>
          <w:sz w:val="24"/>
          <w:szCs w:val="24"/>
          <w:lang w:val="en-GB"/>
        </w:rPr>
        <w:t xml:space="preserve">) do not offer </w:t>
      </w:r>
      <w:r w:rsidR="005F4372" w:rsidRPr="009457A2">
        <w:rPr>
          <w:sz w:val="24"/>
          <w:szCs w:val="24"/>
          <w:lang w:val="en-GB"/>
        </w:rPr>
        <w:t xml:space="preserve">such a full range of service </w:t>
      </w:r>
      <w:r w:rsidRPr="009457A2">
        <w:rPr>
          <w:sz w:val="24"/>
          <w:szCs w:val="24"/>
          <w:lang w:val="en-GB"/>
        </w:rPr>
        <w:t>bundles.</w:t>
      </w:r>
    </w:p>
    <w:p w14:paraId="4B9E219B" w14:textId="5D4EF694" w:rsidR="00595FA9" w:rsidRDefault="005F4372" w:rsidP="001820AC">
      <w:pPr>
        <w:spacing w:after="0" w:line="240" w:lineRule="auto"/>
        <w:jc w:val="both"/>
        <w:rPr>
          <w:rFonts w:asciiTheme="minorHAnsi" w:hAnsiTheme="minorHAnsi" w:cstheme="minorHAnsi"/>
          <w:sz w:val="24"/>
          <w:szCs w:val="24"/>
          <w:lang w:val="en-GB"/>
        </w:rPr>
      </w:pPr>
      <w:r w:rsidRPr="00BC1ABD">
        <w:rPr>
          <w:rFonts w:asciiTheme="minorHAnsi" w:hAnsiTheme="minorHAnsi" w:cstheme="minorHAnsi"/>
          <w:sz w:val="24"/>
          <w:szCs w:val="24"/>
          <w:lang w:val="en-GB"/>
        </w:rPr>
        <w:t xml:space="preserve">As evidenced by Figure </w:t>
      </w:r>
      <w:r w:rsidR="00F10118">
        <w:rPr>
          <w:rFonts w:asciiTheme="minorHAnsi" w:hAnsiTheme="minorHAnsi" w:cstheme="minorHAnsi"/>
          <w:sz w:val="24"/>
          <w:szCs w:val="24"/>
          <w:lang w:val="en-GB"/>
        </w:rPr>
        <w:t>55</w:t>
      </w:r>
      <w:r w:rsidRPr="00BC1ABD">
        <w:rPr>
          <w:rFonts w:asciiTheme="minorHAnsi" w:hAnsiTheme="minorHAnsi" w:cstheme="minorHAnsi"/>
          <w:sz w:val="24"/>
          <w:szCs w:val="24"/>
          <w:lang w:val="en-GB"/>
        </w:rPr>
        <w:t>, i</w:t>
      </w:r>
      <w:r w:rsidR="00595FA9" w:rsidRPr="00BC1ABD">
        <w:rPr>
          <w:rFonts w:asciiTheme="minorHAnsi" w:hAnsiTheme="minorHAnsi" w:cstheme="minorHAnsi"/>
          <w:sz w:val="24"/>
          <w:szCs w:val="24"/>
          <w:lang w:val="en-GB"/>
        </w:rPr>
        <w:t xml:space="preserve">t is considered that Magticom, as market leader across the whole range of main services in Georgia, </w:t>
      </w:r>
      <w:r w:rsidRPr="00BC1ABD">
        <w:rPr>
          <w:rFonts w:asciiTheme="minorHAnsi" w:hAnsiTheme="minorHAnsi" w:cstheme="minorHAnsi"/>
          <w:sz w:val="24"/>
          <w:szCs w:val="24"/>
          <w:lang w:val="en-GB"/>
        </w:rPr>
        <w:t xml:space="preserve">benefits from greater </w:t>
      </w:r>
      <w:r w:rsidR="00595FA9" w:rsidRPr="00BC1ABD">
        <w:rPr>
          <w:rFonts w:asciiTheme="minorHAnsi" w:hAnsiTheme="minorHAnsi" w:cstheme="minorHAnsi"/>
          <w:sz w:val="24"/>
          <w:szCs w:val="24"/>
          <w:lang w:val="en-GB"/>
        </w:rPr>
        <w:t>econom</w:t>
      </w:r>
      <w:r w:rsidRPr="00BC1ABD">
        <w:rPr>
          <w:rFonts w:asciiTheme="minorHAnsi" w:hAnsiTheme="minorHAnsi" w:cstheme="minorHAnsi"/>
          <w:sz w:val="24"/>
          <w:szCs w:val="24"/>
          <w:lang w:val="en-GB"/>
        </w:rPr>
        <w:t>ies</w:t>
      </w:r>
      <w:r w:rsidR="00595FA9" w:rsidRPr="00BC1ABD">
        <w:rPr>
          <w:rFonts w:asciiTheme="minorHAnsi" w:hAnsiTheme="minorHAnsi" w:cstheme="minorHAnsi"/>
          <w:sz w:val="24"/>
          <w:szCs w:val="24"/>
          <w:lang w:val="en-GB"/>
        </w:rPr>
        <w:t xml:space="preserve"> of scope. </w:t>
      </w:r>
    </w:p>
    <w:p w14:paraId="0249048E" w14:textId="77777777" w:rsidR="009B69BC" w:rsidRPr="00BC1ABD" w:rsidRDefault="009B69BC" w:rsidP="001820AC">
      <w:pPr>
        <w:spacing w:after="0" w:line="240" w:lineRule="auto"/>
        <w:jc w:val="both"/>
        <w:rPr>
          <w:rFonts w:asciiTheme="minorHAnsi" w:hAnsiTheme="minorHAnsi" w:cstheme="minorHAnsi"/>
          <w:sz w:val="24"/>
          <w:szCs w:val="24"/>
          <w:lang w:val="en-GB"/>
        </w:rPr>
      </w:pPr>
    </w:p>
    <w:p w14:paraId="0C7C09CF" w14:textId="08EEEC7D" w:rsidR="00595FA9" w:rsidRPr="00BC1ABD" w:rsidRDefault="00595FA9" w:rsidP="009B69BC">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80" w:name="_Toc169258963"/>
      <w:r w:rsidRPr="009B69BC">
        <w:rPr>
          <w:rFonts w:asciiTheme="minorHAnsi" w:hAnsiTheme="minorHAnsi" w:cstheme="minorHAnsi"/>
          <w:b w:val="0"/>
          <w:bCs w:val="0"/>
          <w:sz w:val="24"/>
          <w:szCs w:val="24"/>
          <w:lang w:val="en-GB"/>
        </w:rPr>
        <w:t>Vertical integration</w:t>
      </w:r>
      <w:bookmarkEnd w:id="280"/>
    </w:p>
    <w:p w14:paraId="3B0B90F7" w14:textId="00E53FA3" w:rsidR="004D4651" w:rsidRPr="00EE28FF" w:rsidRDefault="00CD2709" w:rsidP="004D4651">
      <w:pPr>
        <w:spacing w:after="160" w:line="256" w:lineRule="auto"/>
        <w:jc w:val="both"/>
        <w:rPr>
          <w:i/>
          <w:iCs/>
          <w:sz w:val="24"/>
          <w:szCs w:val="24"/>
          <w:lang w:val="en-GB"/>
        </w:rPr>
      </w:pPr>
      <w:r w:rsidRPr="004D4651">
        <w:rPr>
          <w:sz w:val="24"/>
          <w:szCs w:val="24"/>
          <w:lang w:val="en-GB"/>
        </w:rPr>
        <w:t xml:space="preserve">Article </w:t>
      </w:r>
      <w:r w:rsidR="00EF498E" w:rsidRPr="004D4651">
        <w:rPr>
          <w:sz w:val="24"/>
          <w:szCs w:val="24"/>
          <w:lang w:val="en-GB"/>
        </w:rPr>
        <w:t>1</w:t>
      </w:r>
      <w:r w:rsidR="00986F61">
        <w:rPr>
          <w:sz w:val="24"/>
          <w:szCs w:val="24"/>
          <w:lang w:val="en-GB"/>
        </w:rPr>
        <w:t>5</w:t>
      </w:r>
      <w:r w:rsidR="00EF498E" w:rsidRPr="004D4651">
        <w:rPr>
          <w:sz w:val="24"/>
          <w:szCs w:val="24"/>
          <w:lang w:val="en-GB"/>
        </w:rPr>
        <w:t xml:space="preserve"> (</w:t>
      </w:r>
      <w:r w:rsidR="008F151C">
        <w:rPr>
          <w:sz w:val="24"/>
          <w:szCs w:val="24"/>
          <w:lang w:val="en-GB"/>
        </w:rPr>
        <w:t>3</w:t>
      </w:r>
      <w:r w:rsidR="00EF498E" w:rsidRPr="004D4651">
        <w:rPr>
          <w:sz w:val="24"/>
          <w:szCs w:val="24"/>
          <w:lang w:val="en-GB"/>
        </w:rPr>
        <w:t xml:space="preserve">) </w:t>
      </w:r>
      <w:r w:rsidR="00824B3A">
        <w:rPr>
          <w:sz w:val="24"/>
          <w:szCs w:val="24"/>
          <w:lang w:val="en-GB"/>
        </w:rPr>
        <w:t>i</w:t>
      </w:r>
      <w:r w:rsidR="00EF498E" w:rsidRPr="004D4651">
        <w:rPr>
          <w:sz w:val="24"/>
          <w:szCs w:val="24"/>
          <w:lang w:val="en-GB"/>
        </w:rPr>
        <w:t>) of ComCom’s draft revised</w:t>
      </w:r>
      <w:r w:rsidR="00195B2F">
        <w:rPr>
          <w:sz w:val="24"/>
          <w:szCs w:val="24"/>
          <w:lang w:val="en-GB"/>
        </w:rPr>
        <w:t xml:space="preserve"> </w:t>
      </w:r>
      <w:r w:rsidRPr="004D4651">
        <w:rPr>
          <w:sz w:val="24"/>
          <w:szCs w:val="24"/>
          <w:lang w:val="en-GB"/>
        </w:rPr>
        <w:t xml:space="preserve">Methodological Rules </w:t>
      </w:r>
      <w:r w:rsidR="00EF498E" w:rsidRPr="004D4651">
        <w:rPr>
          <w:sz w:val="24"/>
          <w:szCs w:val="24"/>
          <w:lang w:val="en-GB"/>
        </w:rPr>
        <w:t xml:space="preserve">requires ComCom to </w:t>
      </w:r>
      <w:r w:rsidR="00E46B8B" w:rsidRPr="004D4651">
        <w:rPr>
          <w:sz w:val="24"/>
          <w:szCs w:val="24"/>
          <w:lang w:val="en-GB"/>
        </w:rPr>
        <w:t xml:space="preserve">look at possible vertical integration, </w:t>
      </w:r>
      <w:r w:rsidRPr="004D4651">
        <w:rPr>
          <w:sz w:val="24"/>
          <w:szCs w:val="24"/>
          <w:lang w:val="en-GB"/>
        </w:rPr>
        <w:t>stat</w:t>
      </w:r>
      <w:r w:rsidR="00E46B8B" w:rsidRPr="004D4651">
        <w:rPr>
          <w:sz w:val="24"/>
          <w:szCs w:val="24"/>
          <w:lang w:val="en-GB"/>
        </w:rPr>
        <w:t>ing</w:t>
      </w:r>
      <w:r w:rsidRPr="004D4651">
        <w:rPr>
          <w:sz w:val="24"/>
          <w:szCs w:val="24"/>
          <w:lang w:val="en-GB"/>
        </w:rPr>
        <w:t xml:space="preserve">: </w:t>
      </w:r>
      <w:r w:rsidR="008F151C" w:rsidRPr="00EE28FF">
        <w:rPr>
          <w:i/>
          <w:iCs/>
          <w:sz w:val="24"/>
          <w:szCs w:val="24"/>
          <w:lang w:val="en-GB"/>
        </w:rPr>
        <w:t>“vertically integrated authori</w:t>
      </w:r>
      <w:r w:rsidR="001B67B9">
        <w:rPr>
          <w:i/>
          <w:iCs/>
          <w:sz w:val="24"/>
          <w:szCs w:val="24"/>
          <w:lang w:val="en-GB"/>
        </w:rPr>
        <w:t>s</w:t>
      </w:r>
      <w:r w:rsidR="008F151C" w:rsidRPr="00EE28FF">
        <w:rPr>
          <w:i/>
          <w:iCs/>
          <w:sz w:val="24"/>
          <w:szCs w:val="24"/>
          <w:lang w:val="en-GB"/>
        </w:rPr>
        <w:t xml:space="preserve">ed persons are </w:t>
      </w:r>
      <w:r w:rsidR="002F32D1">
        <w:rPr>
          <w:i/>
          <w:iCs/>
          <w:sz w:val="24"/>
          <w:szCs w:val="24"/>
          <w:lang w:val="en-GB"/>
        </w:rPr>
        <w:t>undertakings</w:t>
      </w:r>
      <w:r w:rsidR="008F151C" w:rsidRPr="00EE28FF">
        <w:rPr>
          <w:i/>
          <w:iCs/>
          <w:sz w:val="24"/>
          <w:szCs w:val="24"/>
          <w:lang w:val="en-GB"/>
        </w:rPr>
        <w:t xml:space="preserve"> that operate at both wholesale and retail levels of the vertical value chain of product supply, which gives them a competitive advantage over other authori</w:t>
      </w:r>
      <w:r w:rsidR="001B67B9">
        <w:rPr>
          <w:i/>
          <w:iCs/>
          <w:sz w:val="24"/>
          <w:szCs w:val="24"/>
          <w:lang w:val="en-GB"/>
        </w:rPr>
        <w:t>s</w:t>
      </w:r>
      <w:r w:rsidR="008F151C" w:rsidRPr="00EE28FF">
        <w:rPr>
          <w:i/>
          <w:iCs/>
          <w:sz w:val="24"/>
          <w:szCs w:val="24"/>
          <w:lang w:val="en-GB"/>
        </w:rPr>
        <w:t>ed persons, as they can independently provide services to subscribers, can control the process of providing services and respond immediately to potential market changes.”</w:t>
      </w:r>
      <w:r w:rsidR="008F151C" w:rsidRPr="00EE28FF" w:rsidDel="008F151C">
        <w:rPr>
          <w:i/>
          <w:iCs/>
          <w:sz w:val="24"/>
          <w:szCs w:val="24"/>
          <w:lang w:val="en-GB"/>
        </w:rPr>
        <w:t xml:space="preserve"> </w:t>
      </w:r>
    </w:p>
    <w:p w14:paraId="7AB2268E" w14:textId="16CC97C7" w:rsidR="00595FA9" w:rsidRPr="008A545C" w:rsidRDefault="00265CCB" w:rsidP="008A545C">
      <w:pPr>
        <w:spacing w:after="160" w:line="256" w:lineRule="auto"/>
        <w:jc w:val="both"/>
        <w:rPr>
          <w:sz w:val="24"/>
          <w:szCs w:val="24"/>
          <w:lang w:val="en-GB"/>
        </w:rPr>
      </w:pPr>
      <w:r w:rsidRPr="008A545C">
        <w:rPr>
          <w:sz w:val="24"/>
          <w:szCs w:val="24"/>
          <w:lang w:val="en-GB"/>
        </w:rPr>
        <w:t xml:space="preserve">Magticom, like all the other operators, </w:t>
      </w:r>
      <w:r w:rsidR="00595FA9" w:rsidRPr="008A545C">
        <w:rPr>
          <w:sz w:val="24"/>
          <w:szCs w:val="24"/>
          <w:lang w:val="en-GB"/>
        </w:rPr>
        <w:t xml:space="preserve">All the current players in the retail higher-speed broadband access market are vertically integrated operators with their own retail and network operations. The means to connect customers to a higher-speed broadband service is through each operator’s own </w:t>
      </w:r>
      <w:r w:rsidR="00F026B4">
        <w:rPr>
          <w:sz w:val="24"/>
          <w:szCs w:val="24"/>
          <w:lang w:val="en-GB"/>
        </w:rPr>
        <w:t>FTTx</w:t>
      </w:r>
      <w:r w:rsidR="00595FA9" w:rsidRPr="008A545C">
        <w:rPr>
          <w:sz w:val="24"/>
          <w:szCs w:val="24"/>
          <w:lang w:val="en-GB"/>
        </w:rPr>
        <w:t xml:space="preserve"> network supply. There is no regulatory obligation for any operator to provide wholesale local or central access and there are no known commercial agreements to supply wholesale network access services from one operator another. The lack of wholesale agreements between operators has been experience</w:t>
      </w:r>
      <w:r w:rsidRPr="008A545C">
        <w:rPr>
          <w:sz w:val="24"/>
          <w:szCs w:val="24"/>
          <w:lang w:val="en-GB"/>
        </w:rPr>
        <w:t>d</w:t>
      </w:r>
      <w:r w:rsidR="00595FA9" w:rsidRPr="008A545C">
        <w:rPr>
          <w:sz w:val="24"/>
          <w:szCs w:val="24"/>
          <w:lang w:val="en-GB"/>
        </w:rPr>
        <w:t xml:space="preserve"> with access to unbundled local pairs in the basic fixed broadband market, even though an obligation to offer unbundled copper pair access has been in place since 2014. </w:t>
      </w:r>
    </w:p>
    <w:p w14:paraId="44AC05D2" w14:textId="68356C2C" w:rsidR="00595FA9" w:rsidRPr="008A545C" w:rsidRDefault="00595FA9" w:rsidP="008A545C">
      <w:pPr>
        <w:spacing w:after="160" w:line="256" w:lineRule="auto"/>
        <w:jc w:val="both"/>
        <w:rPr>
          <w:sz w:val="24"/>
          <w:szCs w:val="24"/>
          <w:lang w:val="en-GB"/>
        </w:rPr>
      </w:pPr>
      <w:r w:rsidRPr="008A545C">
        <w:rPr>
          <w:sz w:val="24"/>
          <w:szCs w:val="24"/>
          <w:lang w:val="en-GB"/>
        </w:rPr>
        <w:t xml:space="preserve">The issue of vertical integration arises in relation to the finding of SMP in the wholesale market for local and central access if a new player with no </w:t>
      </w:r>
      <w:r w:rsidR="00F026B4">
        <w:rPr>
          <w:sz w:val="24"/>
          <w:szCs w:val="24"/>
          <w:lang w:val="en-GB"/>
        </w:rPr>
        <w:t>FTTx</w:t>
      </w:r>
      <w:r w:rsidRPr="008A545C">
        <w:rPr>
          <w:sz w:val="24"/>
          <w:szCs w:val="24"/>
          <w:lang w:val="en-GB"/>
        </w:rPr>
        <w:t xml:space="preserve"> network infrastructure wished to enter the market, or an existing operator with restricted geographical infrastructure coverage wished to expand without investing in additional infrastructure. The benefits of vertical integration in telecommunications arise mainly from the control of an operator’s own resources being used to ensure a better quality of service to end-users (and therefore improve its competitiveness). For example, by having control of its own infrastructure, an operator can determine its own priorities for connecting new customers and responding to service problems. Relying on wholesale access to another operator’s network changes the situation because the access-seeker’s priorities could clash with the network provider’s priorities.</w:t>
      </w:r>
    </w:p>
    <w:p w14:paraId="332FA523" w14:textId="455B004B" w:rsidR="00595FA9" w:rsidRPr="008A545C" w:rsidRDefault="00595FA9" w:rsidP="008A545C">
      <w:pPr>
        <w:spacing w:after="160" w:line="256" w:lineRule="auto"/>
        <w:jc w:val="both"/>
        <w:rPr>
          <w:sz w:val="24"/>
          <w:szCs w:val="24"/>
          <w:lang w:val="en-GB"/>
        </w:rPr>
      </w:pPr>
      <w:r w:rsidRPr="008A545C">
        <w:rPr>
          <w:sz w:val="24"/>
          <w:szCs w:val="24"/>
          <w:lang w:val="en-GB"/>
        </w:rPr>
        <w:t>An access-seeker for wholesale local and central access will therefore have to balance the relative merits of the lower funding requirements (arising from a wholesale rather than self-supply) against the loss of control over the factors that contribute to the quality of service of its end-user services.</w:t>
      </w:r>
    </w:p>
    <w:p w14:paraId="16B552D3" w14:textId="18E3A9EA" w:rsidR="00265CCB" w:rsidRPr="008A545C" w:rsidRDefault="00595FA9" w:rsidP="008A545C">
      <w:pPr>
        <w:spacing w:after="160" w:line="256" w:lineRule="auto"/>
        <w:jc w:val="both"/>
        <w:rPr>
          <w:sz w:val="24"/>
          <w:szCs w:val="24"/>
          <w:lang w:val="en-GB"/>
        </w:rPr>
      </w:pPr>
      <w:r w:rsidRPr="008A545C">
        <w:rPr>
          <w:sz w:val="24"/>
          <w:szCs w:val="24"/>
          <w:lang w:val="en-GB"/>
        </w:rPr>
        <w:t>As Magticom ha</w:t>
      </w:r>
      <w:r w:rsidR="00265CCB" w:rsidRPr="008A545C">
        <w:rPr>
          <w:sz w:val="24"/>
          <w:szCs w:val="24"/>
          <w:lang w:val="en-GB"/>
        </w:rPr>
        <w:t>s</w:t>
      </w:r>
      <w:r w:rsidRPr="008A545C">
        <w:rPr>
          <w:sz w:val="24"/>
          <w:szCs w:val="24"/>
          <w:lang w:val="en-GB"/>
        </w:rPr>
        <w:t xml:space="preserve"> </w:t>
      </w:r>
      <w:r w:rsidR="003E3B21" w:rsidRPr="008A545C">
        <w:rPr>
          <w:sz w:val="24"/>
          <w:szCs w:val="24"/>
          <w:lang w:val="en-GB"/>
        </w:rPr>
        <w:t xml:space="preserve">a </w:t>
      </w:r>
      <w:r w:rsidRPr="008A545C">
        <w:rPr>
          <w:sz w:val="24"/>
          <w:szCs w:val="24"/>
          <w:lang w:val="en-GB"/>
        </w:rPr>
        <w:t xml:space="preserve">fibre-based network with national scope, then </w:t>
      </w:r>
      <w:r w:rsidR="00265CCB" w:rsidRPr="008A545C">
        <w:rPr>
          <w:sz w:val="24"/>
          <w:szCs w:val="24"/>
          <w:lang w:val="en-GB"/>
        </w:rPr>
        <w:t xml:space="preserve">its </w:t>
      </w:r>
      <w:r w:rsidRPr="008A545C">
        <w:rPr>
          <w:sz w:val="24"/>
          <w:szCs w:val="24"/>
          <w:lang w:val="en-GB"/>
        </w:rPr>
        <w:t xml:space="preserve">vertical integration provides </w:t>
      </w:r>
      <w:r w:rsidR="00265CCB" w:rsidRPr="008A545C">
        <w:rPr>
          <w:sz w:val="24"/>
          <w:szCs w:val="24"/>
          <w:lang w:val="en-GB"/>
        </w:rPr>
        <w:t xml:space="preserve">it </w:t>
      </w:r>
      <w:r w:rsidRPr="008A545C">
        <w:rPr>
          <w:sz w:val="24"/>
          <w:szCs w:val="24"/>
          <w:lang w:val="en-GB"/>
        </w:rPr>
        <w:t xml:space="preserve">with the capacity to offer wholesale local and central access and </w:t>
      </w:r>
      <w:r w:rsidR="003E3B21" w:rsidRPr="008A545C">
        <w:rPr>
          <w:sz w:val="24"/>
          <w:szCs w:val="24"/>
          <w:lang w:val="en-GB"/>
        </w:rPr>
        <w:t>therefore is</w:t>
      </w:r>
      <w:r w:rsidRPr="008A545C">
        <w:rPr>
          <w:sz w:val="24"/>
          <w:szCs w:val="24"/>
          <w:lang w:val="en-GB"/>
        </w:rPr>
        <w:t xml:space="preserve"> able to control the quality of </w:t>
      </w:r>
      <w:r w:rsidR="00265CCB" w:rsidRPr="008A545C">
        <w:rPr>
          <w:sz w:val="24"/>
          <w:szCs w:val="24"/>
          <w:lang w:val="en-GB"/>
        </w:rPr>
        <w:t>its</w:t>
      </w:r>
      <w:r w:rsidRPr="008A545C">
        <w:rPr>
          <w:sz w:val="24"/>
          <w:szCs w:val="24"/>
          <w:lang w:val="en-GB"/>
        </w:rPr>
        <w:t xml:space="preserve"> own retail fixed broadband services. </w:t>
      </w:r>
    </w:p>
    <w:p w14:paraId="6EA38B22" w14:textId="0B668C55" w:rsidR="00595FA9" w:rsidRPr="008A545C" w:rsidRDefault="00265CCB" w:rsidP="008A545C">
      <w:pPr>
        <w:spacing w:after="160" w:line="256" w:lineRule="auto"/>
        <w:jc w:val="both"/>
        <w:rPr>
          <w:sz w:val="24"/>
          <w:szCs w:val="24"/>
          <w:lang w:val="en-GB"/>
        </w:rPr>
      </w:pPr>
      <w:r w:rsidRPr="008A545C">
        <w:rPr>
          <w:sz w:val="24"/>
          <w:szCs w:val="24"/>
          <w:lang w:val="en-GB"/>
        </w:rPr>
        <w:t>Although the other operators are vertically integrated by providing retail services over their own networks within their</w:t>
      </w:r>
      <w:r w:rsidR="003E3B21" w:rsidRPr="008A545C">
        <w:rPr>
          <w:sz w:val="24"/>
          <w:szCs w:val="24"/>
          <w:lang w:val="en-GB"/>
        </w:rPr>
        <w:t xml:space="preserve"> respective </w:t>
      </w:r>
      <w:r w:rsidRPr="008A545C">
        <w:rPr>
          <w:sz w:val="24"/>
          <w:szCs w:val="24"/>
          <w:lang w:val="en-GB"/>
        </w:rPr>
        <w:t xml:space="preserve">areas of geographic coverage, they do not have the </w:t>
      </w:r>
      <w:r w:rsidR="00847DF1" w:rsidRPr="008A545C">
        <w:rPr>
          <w:sz w:val="24"/>
          <w:szCs w:val="24"/>
          <w:lang w:val="en-GB"/>
        </w:rPr>
        <w:t xml:space="preserve">vertical integration </w:t>
      </w:r>
      <w:r w:rsidRPr="008A545C">
        <w:rPr>
          <w:sz w:val="24"/>
          <w:szCs w:val="24"/>
          <w:lang w:val="en-GB"/>
        </w:rPr>
        <w:t xml:space="preserve">advantage in the remaining part of Georgia which is enjoyed by Magticom (see Figure </w:t>
      </w:r>
      <w:r w:rsidR="00D826F6" w:rsidRPr="008A545C">
        <w:rPr>
          <w:sz w:val="24"/>
          <w:szCs w:val="24"/>
          <w:lang w:val="en-GB"/>
        </w:rPr>
        <w:t>53</w:t>
      </w:r>
      <w:r w:rsidRPr="008A545C">
        <w:rPr>
          <w:sz w:val="24"/>
          <w:szCs w:val="24"/>
          <w:lang w:val="en-GB"/>
        </w:rPr>
        <w:t xml:space="preserve">). </w:t>
      </w:r>
    </w:p>
    <w:p w14:paraId="131D79F6" w14:textId="77777777" w:rsidR="00595FA9" w:rsidRPr="008A545C" w:rsidRDefault="00595FA9" w:rsidP="008A545C">
      <w:pPr>
        <w:spacing w:after="160" w:line="256" w:lineRule="auto"/>
        <w:jc w:val="both"/>
        <w:rPr>
          <w:sz w:val="24"/>
          <w:szCs w:val="24"/>
          <w:lang w:val="en-GB"/>
        </w:rPr>
      </w:pPr>
      <w:r w:rsidRPr="008A545C">
        <w:rPr>
          <w:sz w:val="24"/>
          <w:szCs w:val="24"/>
          <w:lang w:val="en-GB"/>
        </w:rPr>
        <w:t xml:space="preserve">It is therefore concluded that </w:t>
      </w:r>
      <w:r w:rsidR="00265CCB" w:rsidRPr="008A545C">
        <w:rPr>
          <w:sz w:val="24"/>
          <w:szCs w:val="24"/>
          <w:lang w:val="en-GB"/>
        </w:rPr>
        <w:t xml:space="preserve">Magticom, as </w:t>
      </w:r>
      <w:r w:rsidRPr="008A545C">
        <w:rPr>
          <w:sz w:val="24"/>
          <w:szCs w:val="24"/>
          <w:lang w:val="en-GB"/>
        </w:rPr>
        <w:t>an operator with the capacity to offer wholesale local and central access services nationally</w:t>
      </w:r>
      <w:r w:rsidR="00265CCB" w:rsidRPr="008A545C">
        <w:rPr>
          <w:sz w:val="24"/>
          <w:szCs w:val="24"/>
          <w:lang w:val="en-GB"/>
        </w:rPr>
        <w:t>,</w:t>
      </w:r>
      <w:r w:rsidRPr="008A545C">
        <w:rPr>
          <w:sz w:val="24"/>
          <w:szCs w:val="24"/>
          <w:lang w:val="en-GB"/>
        </w:rPr>
        <w:t xml:space="preserve"> will have a significant advantage over an access-seeker that cannot have full control over the quality of their end-user services.</w:t>
      </w:r>
    </w:p>
    <w:p w14:paraId="6CDC8757" w14:textId="77777777" w:rsidR="00595FA9" w:rsidRPr="00BC1ABD" w:rsidRDefault="00595FA9" w:rsidP="00595FA9">
      <w:pPr>
        <w:spacing w:after="0" w:line="240" w:lineRule="auto"/>
        <w:jc w:val="both"/>
        <w:rPr>
          <w:rFonts w:asciiTheme="minorHAnsi" w:hAnsiTheme="minorHAnsi" w:cstheme="minorHAnsi"/>
          <w:sz w:val="24"/>
          <w:szCs w:val="24"/>
          <w:lang w:val="en-GB"/>
        </w:rPr>
      </w:pPr>
    </w:p>
    <w:p w14:paraId="4F72616E" w14:textId="0ABCEBC6" w:rsidR="00595FA9" w:rsidRPr="00797944" w:rsidRDefault="00595FA9" w:rsidP="00797944">
      <w:pPr>
        <w:pStyle w:val="Heading2"/>
        <w:numPr>
          <w:ilvl w:val="1"/>
          <w:numId w:val="88"/>
        </w:numPr>
        <w:spacing w:after="240"/>
        <w:rPr>
          <w:lang w:val="en-GB"/>
        </w:rPr>
      </w:pPr>
      <w:bookmarkStart w:id="281" w:name="_Toc169258964"/>
      <w:r w:rsidRPr="00BC1ABD">
        <w:rPr>
          <w:lang w:val="en-GB"/>
        </w:rPr>
        <w:t>Conclusion on the finding of SMP in the wholesale market for local and central access at a fixed location.</w:t>
      </w:r>
      <w:bookmarkEnd w:id="281"/>
    </w:p>
    <w:p w14:paraId="72109C9D" w14:textId="77777777" w:rsidR="00595FA9" w:rsidRPr="00BC1ABD" w:rsidRDefault="00595FA9" w:rsidP="00595FA9">
      <w:pPr>
        <w:spacing w:after="160" w:line="256" w:lineRule="auto"/>
        <w:jc w:val="both"/>
        <w:rPr>
          <w:sz w:val="24"/>
          <w:szCs w:val="24"/>
          <w:lang w:val="en-GB"/>
        </w:rPr>
      </w:pPr>
      <w:r w:rsidRPr="00BC1ABD">
        <w:rPr>
          <w:sz w:val="24"/>
          <w:szCs w:val="24"/>
          <w:lang w:val="en-GB"/>
        </w:rPr>
        <w:t>It is considered unlikely that Magticom’s retail market share for higher speed fixed broadband services (at 54.8% in 2022) will fall below the Georgian Law presumption of SMP at 40%, within the forward-looking time horizon of this market analysis.</w:t>
      </w:r>
    </w:p>
    <w:p w14:paraId="02552335" w14:textId="2BEF5AF8" w:rsidR="00595FA9" w:rsidRPr="00BC1ABD" w:rsidRDefault="00595FA9" w:rsidP="00595FA9">
      <w:pPr>
        <w:spacing w:after="160" w:line="256" w:lineRule="auto"/>
        <w:jc w:val="both"/>
        <w:rPr>
          <w:sz w:val="24"/>
          <w:szCs w:val="24"/>
          <w:lang w:val="en-GB"/>
        </w:rPr>
      </w:pPr>
      <w:r w:rsidRPr="00BC1ABD">
        <w:rPr>
          <w:sz w:val="24"/>
          <w:szCs w:val="24"/>
          <w:lang w:val="en-GB"/>
        </w:rPr>
        <w:t xml:space="preserve">Magticom’s </w:t>
      </w:r>
      <w:r w:rsidR="00806A9A" w:rsidRPr="00BC1ABD">
        <w:rPr>
          <w:sz w:val="24"/>
          <w:szCs w:val="24"/>
          <w:lang w:val="en-GB"/>
        </w:rPr>
        <w:t xml:space="preserve">estimated </w:t>
      </w:r>
      <w:r w:rsidR="00F026B4">
        <w:rPr>
          <w:sz w:val="24"/>
          <w:szCs w:val="24"/>
          <w:lang w:val="en-GB"/>
        </w:rPr>
        <w:t>FTTx</w:t>
      </w:r>
      <w:r w:rsidRPr="00BC1ABD">
        <w:rPr>
          <w:sz w:val="24"/>
          <w:szCs w:val="24"/>
          <w:lang w:val="en-GB"/>
        </w:rPr>
        <w:t xml:space="preserve"> national coverage of 88.4% of premises passed is significantly higher than any other market player. This coverage measure adequately reflects Magticom’s network national capacity to be able to offer wholesale local and central access services.</w:t>
      </w:r>
    </w:p>
    <w:p w14:paraId="4E372C0A" w14:textId="438C3F3A" w:rsidR="00595FA9" w:rsidRPr="00084113" w:rsidRDefault="00595FA9" w:rsidP="00084113">
      <w:pPr>
        <w:spacing w:after="160" w:line="256" w:lineRule="auto"/>
        <w:jc w:val="both"/>
        <w:rPr>
          <w:sz w:val="24"/>
          <w:szCs w:val="24"/>
          <w:lang w:val="en-GB"/>
        </w:rPr>
      </w:pPr>
      <w:r w:rsidRPr="00084113">
        <w:rPr>
          <w:sz w:val="24"/>
          <w:szCs w:val="24"/>
          <w:lang w:val="en-GB"/>
        </w:rPr>
        <w:t>It is therefore concluded that Magticom possesses SMP in the wholesale market for local and central access at a fixed location, based on its high market shares (</w:t>
      </w:r>
      <w:r w:rsidR="00806A9A" w:rsidRPr="00084113">
        <w:rPr>
          <w:sz w:val="24"/>
          <w:szCs w:val="24"/>
          <w:lang w:val="en-GB"/>
        </w:rPr>
        <w:t>using</w:t>
      </w:r>
      <w:r w:rsidRPr="00084113">
        <w:rPr>
          <w:sz w:val="24"/>
          <w:szCs w:val="24"/>
          <w:lang w:val="en-GB"/>
        </w:rPr>
        <w:t xml:space="preserve"> both its corresponding downstream retail market share and its </w:t>
      </w:r>
      <w:r w:rsidR="00F026B4">
        <w:rPr>
          <w:sz w:val="24"/>
          <w:szCs w:val="24"/>
          <w:lang w:val="en-GB"/>
        </w:rPr>
        <w:t>FTTx</w:t>
      </w:r>
      <w:r w:rsidRPr="00084113">
        <w:rPr>
          <w:sz w:val="24"/>
          <w:szCs w:val="24"/>
          <w:lang w:val="en-GB"/>
        </w:rPr>
        <w:t xml:space="preserve"> coverage capacity) and backed-up by an analysis of a number of secondary criteria, notably</w:t>
      </w:r>
      <w:r w:rsidR="00806A9A" w:rsidRPr="00084113">
        <w:rPr>
          <w:sz w:val="24"/>
          <w:szCs w:val="24"/>
          <w:lang w:val="en-GB"/>
        </w:rPr>
        <w:t>:</w:t>
      </w:r>
    </w:p>
    <w:p w14:paraId="35A1594B" w14:textId="77777777" w:rsidR="00595FA9" w:rsidRPr="00084113" w:rsidRDefault="00595FA9" w:rsidP="00084113">
      <w:pPr>
        <w:pStyle w:val="ListParagraph"/>
        <w:numPr>
          <w:ilvl w:val="0"/>
          <w:numId w:val="103"/>
        </w:numPr>
        <w:spacing w:after="160" w:line="256" w:lineRule="auto"/>
        <w:jc w:val="both"/>
        <w:rPr>
          <w:sz w:val="24"/>
          <w:szCs w:val="24"/>
          <w:lang w:val="en-GB"/>
        </w:rPr>
      </w:pPr>
      <w:r w:rsidRPr="00084113">
        <w:rPr>
          <w:sz w:val="24"/>
          <w:szCs w:val="24"/>
          <w:lang w:val="en-GB"/>
        </w:rPr>
        <w:t>The existing barriers to market entry and expansion evidenced by the lack of significant competition and potential competition within a forward-looking timescale of 3 years</w:t>
      </w:r>
      <w:r w:rsidR="00806A9A" w:rsidRPr="00084113">
        <w:rPr>
          <w:sz w:val="24"/>
          <w:szCs w:val="24"/>
          <w:lang w:val="en-GB"/>
        </w:rPr>
        <w:t>,</w:t>
      </w:r>
    </w:p>
    <w:p w14:paraId="09EB6E09" w14:textId="77777777" w:rsidR="00595FA9" w:rsidRPr="00084113" w:rsidRDefault="00595FA9" w:rsidP="00084113">
      <w:pPr>
        <w:pStyle w:val="ListParagraph"/>
        <w:numPr>
          <w:ilvl w:val="0"/>
          <w:numId w:val="103"/>
        </w:numPr>
        <w:spacing w:after="160" w:line="256" w:lineRule="auto"/>
        <w:jc w:val="both"/>
        <w:rPr>
          <w:sz w:val="24"/>
          <w:szCs w:val="24"/>
          <w:lang w:val="en-GB"/>
        </w:rPr>
      </w:pPr>
      <w:r w:rsidRPr="00084113">
        <w:rPr>
          <w:sz w:val="24"/>
          <w:szCs w:val="24"/>
          <w:lang w:val="en-GB"/>
        </w:rPr>
        <w:t>Magticom’s absolute and relative size compared to its competitors</w:t>
      </w:r>
      <w:r w:rsidR="00806A9A" w:rsidRPr="00084113">
        <w:rPr>
          <w:sz w:val="24"/>
          <w:szCs w:val="24"/>
          <w:lang w:val="en-GB"/>
        </w:rPr>
        <w:t>,</w:t>
      </w:r>
    </w:p>
    <w:p w14:paraId="27E9164E" w14:textId="77777777" w:rsidR="00595FA9" w:rsidRPr="00084113" w:rsidRDefault="00595FA9" w:rsidP="00084113">
      <w:pPr>
        <w:pStyle w:val="ListParagraph"/>
        <w:numPr>
          <w:ilvl w:val="0"/>
          <w:numId w:val="103"/>
        </w:numPr>
        <w:spacing w:after="160" w:line="256" w:lineRule="auto"/>
        <w:jc w:val="both"/>
        <w:rPr>
          <w:sz w:val="24"/>
          <w:szCs w:val="24"/>
          <w:lang w:val="en-GB"/>
        </w:rPr>
      </w:pPr>
      <w:r w:rsidRPr="00084113">
        <w:rPr>
          <w:sz w:val="24"/>
          <w:szCs w:val="24"/>
          <w:lang w:val="en-GB"/>
        </w:rPr>
        <w:t>Magticom’s control over infrastructure not easily duplicated by its competitors in terms of the required national coverage</w:t>
      </w:r>
      <w:r w:rsidR="00806A9A" w:rsidRPr="00084113">
        <w:rPr>
          <w:sz w:val="24"/>
          <w:szCs w:val="24"/>
          <w:lang w:val="en-GB"/>
        </w:rPr>
        <w:t>,</w:t>
      </w:r>
    </w:p>
    <w:p w14:paraId="3409694E" w14:textId="77777777" w:rsidR="00595FA9" w:rsidRPr="00084113" w:rsidRDefault="00595FA9" w:rsidP="00084113">
      <w:pPr>
        <w:pStyle w:val="ListParagraph"/>
        <w:numPr>
          <w:ilvl w:val="0"/>
          <w:numId w:val="103"/>
        </w:numPr>
        <w:spacing w:after="160" w:line="256" w:lineRule="auto"/>
        <w:jc w:val="both"/>
        <w:rPr>
          <w:sz w:val="24"/>
          <w:szCs w:val="24"/>
          <w:lang w:val="en-GB"/>
        </w:rPr>
      </w:pPr>
      <w:r w:rsidRPr="00084113">
        <w:rPr>
          <w:sz w:val="24"/>
          <w:szCs w:val="24"/>
          <w:lang w:val="en-GB"/>
        </w:rPr>
        <w:t>Absence of countervailing buying power and Magticom’s lack of incentive to conclude long-term and sustainable wholesale agreements</w:t>
      </w:r>
      <w:r w:rsidR="00806A9A" w:rsidRPr="00084113">
        <w:rPr>
          <w:sz w:val="24"/>
          <w:szCs w:val="24"/>
          <w:lang w:val="en-GB"/>
        </w:rPr>
        <w:t>,</w:t>
      </w:r>
    </w:p>
    <w:p w14:paraId="3C1A4641" w14:textId="0ACB585F" w:rsidR="00595FA9" w:rsidRPr="00275326" w:rsidRDefault="00595FA9" w:rsidP="00275326">
      <w:pPr>
        <w:pStyle w:val="ListParagraph"/>
        <w:numPr>
          <w:ilvl w:val="0"/>
          <w:numId w:val="103"/>
        </w:numPr>
        <w:spacing w:after="160" w:line="256" w:lineRule="auto"/>
        <w:jc w:val="both"/>
        <w:rPr>
          <w:sz w:val="24"/>
          <w:szCs w:val="24"/>
          <w:lang w:val="en-GB"/>
        </w:rPr>
      </w:pPr>
      <w:r w:rsidRPr="00084113">
        <w:rPr>
          <w:sz w:val="24"/>
          <w:szCs w:val="24"/>
          <w:lang w:val="en-GB"/>
        </w:rPr>
        <w:t>Magticom’s significant economies of scale and scope gained through its national infrastructure for both fixed and mobile services, its national distribution channels and vertical integration</w:t>
      </w:r>
      <w:r w:rsidR="00806A9A" w:rsidRPr="00084113">
        <w:rPr>
          <w:sz w:val="24"/>
          <w:szCs w:val="24"/>
          <w:lang w:val="en-GB"/>
        </w:rPr>
        <w:t>.</w:t>
      </w:r>
    </w:p>
    <w:p w14:paraId="5705F8F0" w14:textId="657706B3" w:rsidR="00595FA9" w:rsidRPr="00BC1ABD" w:rsidRDefault="00595FA9" w:rsidP="00797944">
      <w:pPr>
        <w:pStyle w:val="Heading2"/>
        <w:numPr>
          <w:ilvl w:val="1"/>
          <w:numId w:val="88"/>
        </w:numPr>
        <w:spacing w:after="240"/>
        <w:rPr>
          <w:rFonts w:asciiTheme="minorHAnsi" w:hAnsiTheme="minorHAnsi" w:cstheme="minorHAnsi"/>
          <w:sz w:val="24"/>
          <w:szCs w:val="24"/>
          <w:lang w:val="en-GB"/>
        </w:rPr>
      </w:pPr>
      <w:bookmarkStart w:id="282" w:name="_Toc169258965"/>
      <w:r w:rsidRPr="00BC1ABD">
        <w:rPr>
          <w:lang w:val="en-GB"/>
        </w:rPr>
        <w:t>Joint dominance</w:t>
      </w:r>
      <w:bookmarkEnd w:id="282"/>
    </w:p>
    <w:p w14:paraId="76F425B6" w14:textId="56859E2F" w:rsidR="00747B63" w:rsidRPr="00084113" w:rsidRDefault="00747B63" w:rsidP="00084113">
      <w:pPr>
        <w:spacing w:after="160" w:line="256" w:lineRule="auto"/>
        <w:jc w:val="both"/>
        <w:rPr>
          <w:sz w:val="24"/>
          <w:szCs w:val="24"/>
          <w:lang w:val="en-GB"/>
        </w:rPr>
      </w:pPr>
      <w:r w:rsidRPr="00084113">
        <w:rPr>
          <w:sz w:val="24"/>
          <w:szCs w:val="24"/>
          <w:lang w:val="en-GB"/>
        </w:rPr>
        <w:t xml:space="preserve">Given that single SMP was found on the </w:t>
      </w:r>
      <w:r w:rsidR="007B70D4" w:rsidRPr="00084113">
        <w:rPr>
          <w:sz w:val="24"/>
          <w:szCs w:val="24"/>
          <w:lang w:val="en-GB"/>
        </w:rPr>
        <w:t>wholesale market for local and central access at a fixed location</w:t>
      </w:r>
      <w:r w:rsidR="006014B4" w:rsidRPr="00084113">
        <w:rPr>
          <w:sz w:val="24"/>
          <w:szCs w:val="24"/>
          <w:lang w:val="en-GB"/>
        </w:rPr>
        <w:t xml:space="preserve"> (the market with national geographical dimension)</w:t>
      </w:r>
      <w:r w:rsidRPr="00084113">
        <w:rPr>
          <w:sz w:val="24"/>
          <w:szCs w:val="24"/>
          <w:lang w:val="en-GB"/>
        </w:rPr>
        <w:t xml:space="preserve">, the question of whether there could be joint dominance on that market </w:t>
      </w:r>
      <w:r w:rsidR="007C5C32" w:rsidRPr="00084113">
        <w:rPr>
          <w:sz w:val="24"/>
          <w:szCs w:val="24"/>
          <w:lang w:val="en-GB"/>
        </w:rPr>
        <w:t xml:space="preserve">in </w:t>
      </w:r>
      <w:r w:rsidR="00726E6B" w:rsidRPr="00084113">
        <w:rPr>
          <w:sz w:val="24"/>
          <w:szCs w:val="24"/>
          <w:lang w:val="en-GB"/>
        </w:rPr>
        <w:t xml:space="preserve">national dimension </w:t>
      </w:r>
      <w:r w:rsidRPr="00084113">
        <w:rPr>
          <w:sz w:val="24"/>
          <w:szCs w:val="24"/>
          <w:lang w:val="en-GB"/>
        </w:rPr>
        <w:t>does not arise.</w:t>
      </w:r>
    </w:p>
    <w:p w14:paraId="309413D2" w14:textId="2D289EC9" w:rsidR="00747B63" w:rsidRPr="00084113" w:rsidRDefault="00747B63" w:rsidP="00084113">
      <w:pPr>
        <w:spacing w:after="160" w:line="256" w:lineRule="auto"/>
        <w:jc w:val="both"/>
        <w:rPr>
          <w:sz w:val="24"/>
          <w:szCs w:val="24"/>
          <w:lang w:val="en-GB"/>
        </w:rPr>
      </w:pPr>
      <w:r w:rsidRPr="00084113">
        <w:rPr>
          <w:sz w:val="24"/>
          <w:szCs w:val="24"/>
          <w:lang w:val="en-GB"/>
        </w:rPr>
        <w:t>However, even in the absence of a single SMP finding, it is doubtful that the three conditions set in Article 1</w:t>
      </w:r>
      <w:r w:rsidR="00986F61">
        <w:rPr>
          <w:sz w:val="24"/>
          <w:szCs w:val="24"/>
          <w:lang w:val="en-GB"/>
        </w:rPr>
        <w:t>6</w:t>
      </w:r>
      <w:r w:rsidRPr="00084113">
        <w:rPr>
          <w:sz w:val="24"/>
          <w:szCs w:val="24"/>
          <w:lang w:val="en-GB"/>
        </w:rPr>
        <w:t xml:space="preserve">(4) of ComCom’s </w:t>
      </w:r>
      <w:r w:rsidR="00E46B8B" w:rsidRPr="00084113">
        <w:rPr>
          <w:sz w:val="24"/>
          <w:szCs w:val="24"/>
          <w:lang w:val="en-GB"/>
        </w:rPr>
        <w:t>rev</w:t>
      </w:r>
      <w:r w:rsidR="00D619CA">
        <w:rPr>
          <w:sz w:val="24"/>
          <w:szCs w:val="24"/>
          <w:lang w:val="en-GB"/>
        </w:rPr>
        <w:t>i</w:t>
      </w:r>
      <w:r w:rsidR="00E46B8B" w:rsidRPr="00084113">
        <w:rPr>
          <w:sz w:val="24"/>
          <w:szCs w:val="24"/>
          <w:lang w:val="en-GB"/>
        </w:rPr>
        <w:t xml:space="preserve">sed </w:t>
      </w:r>
      <w:r w:rsidRPr="00084113">
        <w:rPr>
          <w:sz w:val="24"/>
          <w:szCs w:val="24"/>
          <w:lang w:val="en-GB"/>
        </w:rPr>
        <w:t>methodological rules</w:t>
      </w:r>
      <w:r w:rsidRPr="00D619CA">
        <w:rPr>
          <w:vertAlign w:val="superscript"/>
        </w:rPr>
        <w:footnoteReference w:id="95"/>
      </w:r>
      <w:r w:rsidRPr="00084113">
        <w:rPr>
          <w:sz w:val="24"/>
          <w:szCs w:val="24"/>
          <w:lang w:val="en-GB"/>
        </w:rPr>
        <w:t xml:space="preserve"> for a finding of joint dominance, complementing the market share threshold set in the law of Georgia on Electronic Communications, would be fulfilled. These three cumulative conditions are (i) sufficient market transparency so that each jointly dominant undertaking is able to know that the other(s) do not deviate from the focal point of the supposed tacit coordination, </w:t>
      </w:r>
      <w:r w:rsidR="00570D64" w:rsidRPr="005B2F71">
        <w:rPr>
          <w:sz w:val="23"/>
          <w:szCs w:val="23"/>
          <w:lang w:val="en-GB"/>
        </w:rPr>
        <w:t>(</w:t>
      </w:r>
      <w:r w:rsidR="00570D64" w:rsidRPr="005B2F71">
        <w:rPr>
          <w:sz w:val="23"/>
          <w:szCs w:val="23"/>
          <w:highlight w:val="green"/>
          <w:lang w:val="en-GB"/>
        </w:rPr>
        <w:t xml:space="preserve">ii) a long-term incentive for each member of the dominant oligopoly not to depart from the terms of coordination The existence of a credible threat of retaliation by the non-deviating members is inherent in this condition. and (iii) foreseeable reaction of current and future competitors, as well as consumers, cannot jeopardise the results expected from the common policy. As the following analysis suggests, only the third may possibly be fulfilled in Georgia for the time being. </w:t>
      </w:r>
    </w:p>
    <w:p w14:paraId="3BC92114" w14:textId="77777777" w:rsidR="00747B63" w:rsidRPr="008A545C" w:rsidRDefault="00747B63" w:rsidP="00747B63">
      <w:pPr>
        <w:spacing w:after="0" w:line="240" w:lineRule="auto"/>
        <w:jc w:val="both"/>
        <w:rPr>
          <w:rFonts w:asciiTheme="minorHAnsi" w:hAnsiTheme="minorHAnsi" w:cstheme="minorHAnsi"/>
          <w:sz w:val="24"/>
          <w:szCs w:val="24"/>
          <w:lang w:val="en-GB"/>
        </w:rPr>
      </w:pPr>
    </w:p>
    <w:p w14:paraId="2E06C22D" w14:textId="1C471F84" w:rsidR="00747B63" w:rsidRPr="005B2F71" w:rsidRDefault="00747B63" w:rsidP="005B2F71">
      <w:pPr>
        <w:pStyle w:val="ListParagraph"/>
        <w:numPr>
          <w:ilvl w:val="0"/>
          <w:numId w:val="124"/>
        </w:numPr>
        <w:spacing w:after="0" w:line="240" w:lineRule="auto"/>
        <w:jc w:val="both"/>
        <w:rPr>
          <w:rFonts w:asciiTheme="minorHAnsi" w:eastAsia="Times New Roman" w:hAnsiTheme="minorHAnsi" w:cs="Calibri"/>
          <w:sz w:val="24"/>
          <w:szCs w:val="24"/>
          <w:lang w:val="en-GB"/>
        </w:rPr>
      </w:pPr>
      <w:r w:rsidRPr="005B2F71">
        <w:rPr>
          <w:rFonts w:asciiTheme="minorHAnsi" w:hAnsiTheme="minorHAnsi" w:cstheme="minorHAnsi"/>
          <w:sz w:val="24"/>
          <w:szCs w:val="24"/>
          <w:lang w:val="en-GB"/>
        </w:rPr>
        <w:t xml:space="preserve">Sufficient transparency to allow the jointly dominant undertaking to monitor possible deviation from the </w:t>
      </w:r>
      <w:r w:rsidRPr="005B2F71">
        <w:rPr>
          <w:rFonts w:asciiTheme="minorHAnsi" w:eastAsia="Times New Roman" w:hAnsiTheme="minorHAnsi" w:cs="Calibri"/>
          <w:sz w:val="24"/>
          <w:szCs w:val="24"/>
          <w:lang w:val="en-GB"/>
        </w:rPr>
        <w:t xml:space="preserve">Focal point of any supposed tacit coordination </w:t>
      </w:r>
    </w:p>
    <w:p w14:paraId="5453FDE1" w14:textId="77777777" w:rsidR="00747B63" w:rsidRPr="008A545C" w:rsidRDefault="00747B63" w:rsidP="00747B63">
      <w:pPr>
        <w:spacing w:after="0" w:line="240" w:lineRule="auto"/>
        <w:jc w:val="both"/>
        <w:rPr>
          <w:rFonts w:asciiTheme="minorHAnsi" w:eastAsia="Times New Roman" w:hAnsiTheme="minorHAnsi" w:cs="Calibri"/>
          <w:sz w:val="24"/>
          <w:szCs w:val="24"/>
          <w:lang w:val="en-GB"/>
        </w:rPr>
      </w:pPr>
    </w:p>
    <w:p w14:paraId="353F9028" w14:textId="09F88221" w:rsidR="00747B63" w:rsidRPr="00084113" w:rsidRDefault="00747B63" w:rsidP="00FB619E">
      <w:pPr>
        <w:spacing w:after="160" w:line="256" w:lineRule="auto"/>
        <w:jc w:val="both"/>
        <w:rPr>
          <w:sz w:val="24"/>
          <w:szCs w:val="24"/>
          <w:lang w:val="en-GB"/>
        </w:rPr>
      </w:pPr>
      <w:r w:rsidRPr="00084113">
        <w:rPr>
          <w:sz w:val="24"/>
          <w:szCs w:val="24"/>
          <w:lang w:val="en-GB"/>
        </w:rPr>
        <w:t xml:space="preserve">The first condition for the finding of joint dominance is sufficient market transparency to enable each participant to the assumed tacit collusion to be informed accurately and quickly on whether the other members of the tacit collusion continue adhering to the ‘focal point’ of the tacit collusion. In this market review, the question is what such a focal point of tacit collusion between Magticom and Silknet could be. The commercial harm that Magticom would suffer from Silknet providing commercially negotiated wholesale </w:t>
      </w:r>
      <w:r w:rsidR="006437C7">
        <w:rPr>
          <w:sz w:val="24"/>
          <w:szCs w:val="24"/>
          <w:lang w:val="en-GB"/>
        </w:rPr>
        <w:t>local and central</w:t>
      </w:r>
      <w:r w:rsidRPr="00084113">
        <w:rPr>
          <w:sz w:val="24"/>
          <w:szCs w:val="24"/>
          <w:lang w:val="en-GB"/>
        </w:rPr>
        <w:t xml:space="preserve"> access would likely be limited, if not insignificant. First, because Silknet’s network coverage is substantially lower and the additional competition on the retail market would thus not concern the whole of Magticom’s coverage footprint.</w:t>
      </w:r>
      <w:r w:rsidR="00195B2F">
        <w:rPr>
          <w:sz w:val="24"/>
          <w:szCs w:val="24"/>
          <w:lang w:val="en-GB"/>
        </w:rPr>
        <w:t xml:space="preserve"> </w:t>
      </w:r>
      <w:r w:rsidRPr="00084113">
        <w:rPr>
          <w:sz w:val="24"/>
          <w:szCs w:val="24"/>
          <w:lang w:val="en-GB"/>
        </w:rPr>
        <w:t xml:space="preserve">Secondly, for many of Magticom’s subscribers, there are barriers to switching because they have no cabling from Silknet entering their apartment or house and that there is no obligation on Magticom to provide access to its in-house cabling to Silknet. The situation on fixed access contrasts with that on the mobile access market where in the latter it is sufficient to change the SIM-card in a mobile device to switch provider. In addition, beyond the switching cost, Magticom is also creating customer loyalty by an attractive IPTV offer. For the same reasons, Silknet would have a limited interest in Magticom refusing to grant </w:t>
      </w:r>
      <w:r w:rsidR="006437C7" w:rsidRPr="006437C7">
        <w:rPr>
          <w:sz w:val="24"/>
          <w:szCs w:val="24"/>
          <w:lang w:val="en-GB"/>
        </w:rPr>
        <w:t xml:space="preserve">wholesale local and central access </w:t>
      </w:r>
      <w:r w:rsidRPr="00084113">
        <w:rPr>
          <w:sz w:val="24"/>
          <w:szCs w:val="24"/>
          <w:lang w:val="en-GB"/>
        </w:rPr>
        <w:t xml:space="preserve">on its network to smaller players. It appears therefore that if there are no </w:t>
      </w:r>
      <w:r w:rsidR="006437C7" w:rsidRPr="006437C7">
        <w:rPr>
          <w:sz w:val="24"/>
          <w:szCs w:val="24"/>
          <w:lang w:val="en-GB"/>
        </w:rPr>
        <w:t xml:space="preserve">wholesale local and central access </w:t>
      </w:r>
      <w:r w:rsidRPr="00084113">
        <w:rPr>
          <w:sz w:val="24"/>
          <w:szCs w:val="24"/>
          <w:lang w:val="en-GB"/>
        </w:rPr>
        <w:t xml:space="preserve">commercial offers on the market, this results from the absence of individual commercial interest of each of both main broadband fibre network operators – as opposed to collective interest - to conclude such commercial agreement(s) for </w:t>
      </w:r>
      <w:r w:rsidR="006437C7" w:rsidRPr="006437C7">
        <w:rPr>
          <w:sz w:val="24"/>
          <w:szCs w:val="24"/>
          <w:lang w:val="en-GB"/>
        </w:rPr>
        <w:t>wholesale local</w:t>
      </w:r>
      <w:r w:rsidR="006437C7">
        <w:rPr>
          <w:sz w:val="24"/>
          <w:szCs w:val="24"/>
          <w:lang w:val="en-GB"/>
        </w:rPr>
        <w:t xml:space="preserve"> </w:t>
      </w:r>
      <w:r w:rsidR="006437C7" w:rsidRPr="006437C7">
        <w:rPr>
          <w:sz w:val="24"/>
          <w:szCs w:val="24"/>
          <w:lang w:val="en-GB"/>
        </w:rPr>
        <w:t>and central access</w:t>
      </w:r>
      <w:r w:rsidRPr="00084113">
        <w:rPr>
          <w:sz w:val="24"/>
          <w:szCs w:val="24"/>
          <w:lang w:val="en-GB"/>
        </w:rPr>
        <w:t xml:space="preserve">. Given the mentioned barrier to switching and the likely demand of the </w:t>
      </w:r>
      <w:r w:rsidR="006437C7" w:rsidRPr="006437C7">
        <w:rPr>
          <w:sz w:val="24"/>
          <w:szCs w:val="24"/>
          <w:lang w:val="en-GB"/>
        </w:rPr>
        <w:t>wholesale local and central access</w:t>
      </w:r>
      <w:r w:rsidRPr="00084113">
        <w:rPr>
          <w:sz w:val="24"/>
          <w:szCs w:val="24"/>
          <w:lang w:val="en-GB"/>
        </w:rPr>
        <w:t xml:space="preserve"> seeker to obtain access also to the IPTV platform of the access provider, both operators can logically expect that a new entrant would lead to more churn in their subscriber base than in that of its main competitor. At the same time, even in the case that a possible ‘focal point’ of tacit collusion could be identified, there is in any case, not enough transparency at wholesale level, contrary to the retail level where commercial offers would be expected to </w:t>
      </w:r>
      <w:r w:rsidR="001A02CA" w:rsidRPr="00084113">
        <w:rPr>
          <w:sz w:val="24"/>
          <w:szCs w:val="24"/>
          <w:lang w:val="en-GB"/>
        </w:rPr>
        <w:t>be promoted</w:t>
      </w:r>
      <w:r w:rsidRPr="00084113">
        <w:rPr>
          <w:sz w:val="24"/>
          <w:szCs w:val="24"/>
          <w:lang w:val="en-GB"/>
        </w:rPr>
        <w:t xml:space="preserve"> publicly (at least until a commercial agreement is concluded and made public on the existence of possible negotiations between major broadband fibre optic providers and potential </w:t>
      </w:r>
      <w:r w:rsidR="006437C7" w:rsidRPr="006437C7">
        <w:rPr>
          <w:sz w:val="24"/>
          <w:szCs w:val="24"/>
          <w:lang w:val="en-GB"/>
        </w:rPr>
        <w:t xml:space="preserve">wholesale local and central access </w:t>
      </w:r>
      <w:r w:rsidRPr="00084113">
        <w:rPr>
          <w:sz w:val="24"/>
          <w:szCs w:val="24"/>
          <w:lang w:val="en-GB"/>
        </w:rPr>
        <w:t xml:space="preserve">seekers). </w:t>
      </w:r>
    </w:p>
    <w:p w14:paraId="5BC53981" w14:textId="221ADB3C" w:rsidR="0005235D" w:rsidRPr="005B2F71" w:rsidRDefault="0005235D" w:rsidP="005B2F71">
      <w:pPr>
        <w:pStyle w:val="ListParagraph"/>
        <w:numPr>
          <w:ilvl w:val="0"/>
          <w:numId w:val="124"/>
        </w:numPr>
        <w:rPr>
          <w:rFonts w:eastAsiaTheme="minorHAnsi"/>
          <w:color w:val="000000"/>
          <w:sz w:val="23"/>
          <w:szCs w:val="23"/>
          <w:highlight w:val="green"/>
          <w:lang w:val="en-US"/>
        </w:rPr>
      </w:pPr>
      <w:r w:rsidRPr="0005235D">
        <w:rPr>
          <w:rFonts w:eastAsiaTheme="minorHAnsi"/>
          <w:color w:val="000000"/>
          <w:sz w:val="23"/>
          <w:szCs w:val="23"/>
          <w:lang w:val="en-US"/>
        </w:rPr>
        <w:t xml:space="preserve"> </w:t>
      </w:r>
      <w:r w:rsidRPr="005B2F71">
        <w:rPr>
          <w:rFonts w:eastAsiaTheme="minorHAnsi"/>
          <w:color w:val="000000"/>
          <w:sz w:val="23"/>
          <w:szCs w:val="23"/>
          <w:highlight w:val="green"/>
          <w:lang w:val="en-US"/>
        </w:rPr>
        <w:t xml:space="preserve">Sustainable incentives against departure and respective threat </w:t>
      </w:r>
    </w:p>
    <w:p w14:paraId="383BF397" w14:textId="77777777" w:rsidR="0005235D" w:rsidRPr="005B2F71" w:rsidRDefault="0005235D" w:rsidP="005B2F71">
      <w:pPr>
        <w:autoSpaceDE w:val="0"/>
        <w:autoSpaceDN w:val="0"/>
        <w:adjustRightInd w:val="0"/>
        <w:spacing w:after="0" w:line="240" w:lineRule="auto"/>
        <w:jc w:val="both"/>
        <w:rPr>
          <w:rFonts w:eastAsiaTheme="minorHAnsi" w:cs="Calibri"/>
          <w:color w:val="000000"/>
          <w:sz w:val="23"/>
          <w:szCs w:val="23"/>
          <w:highlight w:val="green"/>
          <w:lang w:val="en-US"/>
        </w:rPr>
      </w:pPr>
      <w:r w:rsidRPr="005B2F71">
        <w:rPr>
          <w:rFonts w:eastAsiaTheme="minorHAnsi" w:cs="Calibri"/>
          <w:color w:val="000000"/>
          <w:sz w:val="23"/>
          <w:szCs w:val="23"/>
          <w:highlight w:val="green"/>
          <w:lang w:val="en-US"/>
        </w:rPr>
        <w:t xml:space="preserve">In order to make the common policy sustainable over time, there must be an incentive for each member of the oligopoly not to depart from the terms of coordination. This derives from the fact that members of the dominant oligopoly can benefit only if they all maintain the parallel conduct. The existence of a credible threat of retaliation, deterring deviation, is a necessary requirement to ensure that the coordination mechanism remains credible over time. </w:t>
      </w:r>
    </w:p>
    <w:p w14:paraId="6EFCA6A5" w14:textId="77777777" w:rsidR="0005235D" w:rsidRPr="005B2F71" w:rsidRDefault="0005235D" w:rsidP="005B2F71">
      <w:pPr>
        <w:autoSpaceDE w:val="0"/>
        <w:autoSpaceDN w:val="0"/>
        <w:adjustRightInd w:val="0"/>
        <w:spacing w:after="0" w:line="240" w:lineRule="auto"/>
        <w:jc w:val="both"/>
        <w:rPr>
          <w:rFonts w:eastAsiaTheme="minorHAnsi" w:cs="Calibri"/>
          <w:color w:val="000000"/>
          <w:sz w:val="23"/>
          <w:szCs w:val="23"/>
          <w:highlight w:val="green"/>
          <w:lang w:val="en-US"/>
        </w:rPr>
      </w:pPr>
      <w:r w:rsidRPr="005B2F71">
        <w:rPr>
          <w:rFonts w:eastAsiaTheme="minorHAnsi" w:cs="Calibri"/>
          <w:color w:val="000000"/>
          <w:sz w:val="23"/>
          <w:szCs w:val="23"/>
          <w:highlight w:val="green"/>
          <w:lang w:val="en-US"/>
        </w:rPr>
        <w:t xml:space="preserve">As regards the need to resort to the exercise of a sanction, the General Court clarified that the mere existence of an effective deterrent mechanism is, in principle, sufficient since if the members of the oligopoly conform with the common policy, there is no need to resort to the exercise of a sanction. The most effective deterrent mechanism is that which has not been used. </w:t>
      </w:r>
    </w:p>
    <w:p w14:paraId="6D91EA05" w14:textId="77777777" w:rsidR="0005235D" w:rsidRPr="005B2F71" w:rsidRDefault="0005235D" w:rsidP="005B2F71">
      <w:pPr>
        <w:autoSpaceDE w:val="0"/>
        <w:autoSpaceDN w:val="0"/>
        <w:adjustRightInd w:val="0"/>
        <w:spacing w:after="0" w:line="240" w:lineRule="auto"/>
        <w:jc w:val="both"/>
        <w:rPr>
          <w:rFonts w:eastAsiaTheme="minorHAnsi" w:cs="Calibri"/>
          <w:color w:val="000000"/>
          <w:sz w:val="23"/>
          <w:szCs w:val="23"/>
          <w:highlight w:val="green"/>
          <w:lang w:val="en-US"/>
        </w:rPr>
      </w:pPr>
      <w:r w:rsidRPr="005B2F71">
        <w:rPr>
          <w:rFonts w:eastAsiaTheme="minorHAnsi" w:cs="Calibri"/>
          <w:color w:val="000000"/>
          <w:sz w:val="23"/>
          <w:szCs w:val="23"/>
          <w:highlight w:val="green"/>
          <w:lang w:val="en-US"/>
        </w:rPr>
        <w:t xml:space="preserve">This clarification is particularly relevant, by way of an example, in cases where an NRA considers that the focal point of tacit collusion at the wholesale level consists of a (constructive) refusal of wholesale access, and where wholesale transactions are typically scarce. In such cases, NRAs do not need to establish that the retaliation would consist of the conclusion of another access agreement by the other tacitly colluding operator(s), but may identify a different credible retaliatory mechanism on the underlying or related retail market(s) (such as short-term price wars). Considerations related to portability and churn in the specific circumstances could further substantiate the assumed responsiveness of consumers to price changes and help the NRA to predict the likelihood of retaliation at retail level being effective. </w:t>
      </w:r>
    </w:p>
    <w:p w14:paraId="11CBB92E" w14:textId="77777777" w:rsidR="0005235D" w:rsidRPr="005B2F71" w:rsidRDefault="0005235D" w:rsidP="005B2F71">
      <w:pPr>
        <w:autoSpaceDE w:val="0"/>
        <w:autoSpaceDN w:val="0"/>
        <w:adjustRightInd w:val="0"/>
        <w:spacing w:after="0" w:line="240" w:lineRule="auto"/>
        <w:jc w:val="both"/>
        <w:rPr>
          <w:rFonts w:eastAsiaTheme="minorHAnsi" w:cs="Calibri"/>
          <w:color w:val="000000"/>
          <w:highlight w:val="green"/>
          <w:lang w:val="en-US"/>
        </w:rPr>
      </w:pPr>
      <w:r w:rsidRPr="005B2F71">
        <w:rPr>
          <w:rFonts w:eastAsiaTheme="minorHAnsi" w:cs="Calibri"/>
          <w:color w:val="000000"/>
          <w:sz w:val="23"/>
          <w:szCs w:val="23"/>
          <w:highlight w:val="green"/>
          <w:lang w:val="en-US"/>
        </w:rPr>
        <w:t xml:space="preserve">The credibility of a threat of sanction (mechanism) and/or its exercise is to be considered by the NRAs in the case-by-case analysis. </w:t>
      </w:r>
      <w:r w:rsidRPr="005B2F71">
        <w:rPr>
          <w:rFonts w:eastAsiaTheme="minorHAnsi" w:cs="Calibri"/>
          <w:color w:val="000000"/>
          <w:highlight w:val="green"/>
          <w:lang w:val="en-US"/>
        </w:rPr>
        <w:t xml:space="preserve">117 </w:t>
      </w:r>
    </w:p>
    <w:p w14:paraId="4F8BDAD3" w14:textId="77777777" w:rsidR="0005235D" w:rsidRPr="005B2F71" w:rsidRDefault="0005235D" w:rsidP="005B2F71">
      <w:pPr>
        <w:autoSpaceDE w:val="0"/>
        <w:autoSpaceDN w:val="0"/>
        <w:adjustRightInd w:val="0"/>
        <w:spacing w:after="0" w:line="240" w:lineRule="auto"/>
        <w:jc w:val="both"/>
        <w:rPr>
          <w:rFonts w:eastAsiaTheme="minorHAnsi" w:cs="Calibri"/>
          <w:sz w:val="24"/>
          <w:szCs w:val="24"/>
          <w:highlight w:val="green"/>
          <w:lang w:val="en-US"/>
        </w:rPr>
      </w:pPr>
    </w:p>
    <w:p w14:paraId="6DF45FA9" w14:textId="25C8B903" w:rsidR="0005235D" w:rsidRPr="005B2F71" w:rsidRDefault="0005235D" w:rsidP="005B2F71">
      <w:pPr>
        <w:pStyle w:val="ListParagraph"/>
        <w:numPr>
          <w:ilvl w:val="0"/>
          <w:numId w:val="124"/>
        </w:numPr>
        <w:autoSpaceDE w:val="0"/>
        <w:autoSpaceDN w:val="0"/>
        <w:adjustRightInd w:val="0"/>
        <w:spacing w:after="0" w:line="240" w:lineRule="auto"/>
        <w:rPr>
          <w:rFonts w:eastAsiaTheme="minorHAnsi" w:cs="Calibri"/>
          <w:sz w:val="23"/>
          <w:szCs w:val="23"/>
          <w:highlight w:val="green"/>
          <w:lang w:val="en-US"/>
        </w:rPr>
      </w:pPr>
      <w:r w:rsidRPr="005B2F71">
        <w:rPr>
          <w:rFonts w:eastAsiaTheme="minorHAnsi" w:cs="Calibri"/>
          <w:sz w:val="23"/>
          <w:szCs w:val="23"/>
          <w:highlight w:val="green"/>
          <w:lang w:val="en-US"/>
        </w:rPr>
        <w:t xml:space="preserve"> no effective external constraint </w:t>
      </w:r>
    </w:p>
    <w:p w14:paraId="5306C271" w14:textId="77777777" w:rsidR="0005235D" w:rsidRPr="005B2F71" w:rsidRDefault="0005235D" w:rsidP="0005235D">
      <w:pPr>
        <w:autoSpaceDE w:val="0"/>
        <w:autoSpaceDN w:val="0"/>
        <w:adjustRightInd w:val="0"/>
        <w:spacing w:after="0" w:line="240" w:lineRule="auto"/>
        <w:rPr>
          <w:rFonts w:eastAsiaTheme="minorHAnsi" w:cs="Calibri"/>
          <w:sz w:val="23"/>
          <w:szCs w:val="23"/>
          <w:highlight w:val="green"/>
          <w:lang w:val="en-US"/>
        </w:rPr>
      </w:pPr>
    </w:p>
    <w:p w14:paraId="455E4031" w14:textId="5BE1FF7C" w:rsidR="0005235D" w:rsidRPr="005B2F71" w:rsidRDefault="0005235D" w:rsidP="005B2F71">
      <w:pPr>
        <w:autoSpaceDE w:val="0"/>
        <w:autoSpaceDN w:val="0"/>
        <w:adjustRightInd w:val="0"/>
        <w:spacing w:after="0" w:line="240" w:lineRule="auto"/>
        <w:jc w:val="both"/>
        <w:rPr>
          <w:rFonts w:eastAsiaTheme="minorHAnsi" w:cs="Calibri"/>
          <w:sz w:val="23"/>
          <w:szCs w:val="23"/>
          <w:highlight w:val="green"/>
          <w:lang w:val="en-US"/>
        </w:rPr>
      </w:pPr>
      <w:r w:rsidRPr="005B2F71">
        <w:rPr>
          <w:rFonts w:eastAsiaTheme="minorHAnsi" w:cs="Calibri"/>
          <w:sz w:val="23"/>
          <w:szCs w:val="23"/>
          <w:highlight w:val="green"/>
          <w:lang w:val="en-US"/>
        </w:rPr>
        <w:t xml:space="preserve">The criterion will be fulfilled in the case where there are operators currently present in the market outside the tacitly colluding dominant oligopoly or possible entrants which have the ability to challenge the anti-competitive coordinated outcome, by forcing one or more players to depart from the common policy to protect its market share.. The criterion will also be fulfilled in the presence of customers’ buying power susceptible to endanger the mechanism of coordination. Consumers in mass markets are unlikely to be able to individually exercise buyer power of any significance. However, this is not necessarily the case regarding business end </w:t>
      </w:r>
      <w:r w:rsidR="00B134C3" w:rsidRPr="005B2F71">
        <w:rPr>
          <w:rFonts w:eastAsiaTheme="minorHAnsi" w:cs="Calibri"/>
          <w:sz w:val="23"/>
          <w:szCs w:val="23"/>
          <w:highlight w:val="green"/>
          <w:lang w:val="en-US"/>
        </w:rPr>
        <w:t>users</w:t>
      </w:r>
      <w:r w:rsidRPr="005B2F71">
        <w:rPr>
          <w:rFonts w:eastAsiaTheme="minorHAnsi" w:cs="Calibri"/>
          <w:sz w:val="23"/>
          <w:szCs w:val="23"/>
          <w:highlight w:val="green"/>
          <w:lang w:val="en-US"/>
        </w:rPr>
        <w:t xml:space="preserve">. </w:t>
      </w:r>
    </w:p>
    <w:p w14:paraId="4BD17B28" w14:textId="77777777" w:rsidR="0005235D" w:rsidRPr="005B2F71" w:rsidRDefault="0005235D" w:rsidP="005B2F71">
      <w:pPr>
        <w:autoSpaceDE w:val="0"/>
        <w:autoSpaceDN w:val="0"/>
        <w:adjustRightInd w:val="0"/>
        <w:spacing w:after="0" w:line="240" w:lineRule="auto"/>
        <w:jc w:val="both"/>
        <w:rPr>
          <w:rFonts w:eastAsiaTheme="minorHAnsi" w:cs="Calibri"/>
          <w:sz w:val="23"/>
          <w:szCs w:val="23"/>
          <w:highlight w:val="green"/>
          <w:lang w:val="en-US"/>
        </w:rPr>
      </w:pPr>
      <w:r w:rsidRPr="005B2F71">
        <w:rPr>
          <w:rFonts w:eastAsiaTheme="minorHAnsi" w:cs="Calibri"/>
          <w:sz w:val="23"/>
          <w:szCs w:val="23"/>
          <w:highlight w:val="green"/>
          <w:lang w:val="en-US"/>
        </w:rPr>
        <w:t xml:space="preserve">In the framework of ex-ante regulation in the electronic communications sector, the market position and strength of the rivals, that do not form part of the collective entity operating in the market, or potential competitors, can be assessed based on various factors, related to barriers of entry for potential competitors and the competitive situation of and barriers to expansion for existing market players. The relevant parameters in this assessment will include market share in the market under assessment, related economies of scope, potential to provide input to all products requested by the customers at the retail level, its relative strength in the major area of activity, the existence of fringe or maverick competitors, etc. In this respect, NRAs should include in their draft measure an assessment as to whether or not fringe competitors can challenge the anti-competitive coordinated outcome. </w:t>
      </w:r>
    </w:p>
    <w:p w14:paraId="3E6E81D3" w14:textId="77777777" w:rsidR="0005235D" w:rsidRPr="005B2F71" w:rsidRDefault="0005235D" w:rsidP="005B2F71">
      <w:pPr>
        <w:autoSpaceDE w:val="0"/>
        <w:autoSpaceDN w:val="0"/>
        <w:adjustRightInd w:val="0"/>
        <w:spacing w:after="0" w:line="240" w:lineRule="auto"/>
        <w:jc w:val="both"/>
        <w:rPr>
          <w:rFonts w:eastAsiaTheme="minorHAnsi" w:cs="Calibri"/>
          <w:sz w:val="23"/>
          <w:szCs w:val="23"/>
          <w:highlight w:val="green"/>
          <w:lang w:val="en-US"/>
        </w:rPr>
      </w:pPr>
      <w:r w:rsidRPr="005B2F71">
        <w:rPr>
          <w:rFonts w:eastAsiaTheme="minorHAnsi" w:cs="Calibri"/>
          <w:sz w:val="23"/>
          <w:szCs w:val="23"/>
          <w:highlight w:val="green"/>
          <w:lang w:val="en-US"/>
        </w:rPr>
        <w:t xml:space="preserve">Markets for the provision of electronic communications services have high barriers to entry, in particular of an economic nature, as network roll-out, in the absence of wholesale access agreement, is costly and time-consuming; but also barriers of a legal nature, as in particular spectrum policy can limit the number of mobile network operators. For this reason, a hypothetical new entrant that could disrupt a tacit collusive equilibrium is likely to have to rely, at least partly, on the infrastructure of others. In the absence of regulatory intervention or sustainable commercial agreements or disruptive technological innovation, it can typically be assumed that the likelihood of a disruptive entry is generally low in the short and medium term. </w:t>
      </w:r>
    </w:p>
    <w:p w14:paraId="354F23FF" w14:textId="1FB355C8" w:rsidR="00275326" w:rsidRDefault="0005235D" w:rsidP="00525E9C">
      <w:pPr>
        <w:spacing w:after="160" w:line="256" w:lineRule="auto"/>
        <w:jc w:val="both"/>
        <w:rPr>
          <w:sz w:val="24"/>
          <w:szCs w:val="24"/>
          <w:lang w:val="en-GB"/>
        </w:rPr>
      </w:pPr>
      <w:r w:rsidRPr="005B2F71">
        <w:rPr>
          <w:rFonts w:eastAsiaTheme="minorHAnsi" w:cs="Calibri"/>
          <w:sz w:val="23"/>
          <w:szCs w:val="23"/>
          <w:highlight w:val="green"/>
          <w:lang w:val="en-US"/>
        </w:rPr>
        <w:t xml:space="preserve">As regards customers, some business end-users who purchase business-grade or tailored products may be able to exercise countervailing buyer power and their potential reaction should be analysed, if appropriate, in the specific market. </w:t>
      </w:r>
    </w:p>
    <w:p w14:paraId="3DD8C06E" w14:textId="77777777" w:rsidR="00275326" w:rsidRDefault="00275326" w:rsidP="004D4651">
      <w:pPr>
        <w:spacing w:after="160" w:line="256" w:lineRule="auto"/>
        <w:jc w:val="both"/>
        <w:rPr>
          <w:sz w:val="24"/>
          <w:szCs w:val="24"/>
          <w:lang w:val="en-GB"/>
        </w:rPr>
      </w:pPr>
    </w:p>
    <w:p w14:paraId="2B873027" w14:textId="77777777" w:rsidR="00A0244C" w:rsidRPr="00BC1ABD" w:rsidRDefault="00A0244C" w:rsidP="00EB11F7">
      <w:pPr>
        <w:pStyle w:val="Heading1"/>
        <w:numPr>
          <w:ilvl w:val="0"/>
          <w:numId w:val="88"/>
        </w:numPr>
        <w:rPr>
          <w:lang w:val="en-GB"/>
        </w:rPr>
      </w:pPr>
      <w:bookmarkStart w:id="283" w:name="_Toc131088628"/>
      <w:bookmarkStart w:id="284" w:name="_Toc169258966"/>
      <w:r w:rsidRPr="00BC1ABD">
        <w:rPr>
          <w:lang w:val="en-GB"/>
        </w:rPr>
        <w:t>Assessment of competition in different geographical areas</w:t>
      </w:r>
      <w:bookmarkEnd w:id="283"/>
      <w:bookmarkEnd w:id="284"/>
    </w:p>
    <w:p w14:paraId="7C4F06CE" w14:textId="77777777" w:rsidR="00A0244C" w:rsidRPr="00033EBE" w:rsidRDefault="00A0244C" w:rsidP="00033EBE">
      <w:pPr>
        <w:pStyle w:val="Heading2"/>
        <w:numPr>
          <w:ilvl w:val="1"/>
          <w:numId w:val="88"/>
        </w:numPr>
        <w:spacing w:after="240"/>
        <w:rPr>
          <w:lang w:val="en-GB"/>
        </w:rPr>
      </w:pPr>
      <w:bookmarkStart w:id="285" w:name="_Toc131088629"/>
      <w:bookmarkStart w:id="286" w:name="_Toc169258967"/>
      <w:bookmarkStart w:id="287" w:name="_Toc131088631"/>
      <w:bookmarkStart w:id="288" w:name="_Hlk118277738"/>
      <w:bookmarkStart w:id="289" w:name="_Hlk121315693"/>
      <w:r w:rsidRPr="00033EBE">
        <w:rPr>
          <w:lang w:val="en-GB"/>
        </w:rPr>
        <w:t>The goal of promoting network competition</w:t>
      </w:r>
      <w:bookmarkEnd w:id="285"/>
      <w:bookmarkEnd w:id="286"/>
      <w:r w:rsidRPr="00033EBE">
        <w:rPr>
          <w:lang w:val="en-GB"/>
        </w:rPr>
        <w:t xml:space="preserve"> </w:t>
      </w:r>
    </w:p>
    <w:p w14:paraId="7EC50757" w14:textId="56B8430F" w:rsidR="00A0244C" w:rsidRPr="008403DE" w:rsidRDefault="00A0244C" w:rsidP="00A0244C">
      <w:pPr>
        <w:adjustRightInd w:val="0"/>
        <w:spacing w:after="240"/>
        <w:jc w:val="both"/>
        <w:rPr>
          <w:rFonts w:cs="Arial"/>
          <w:i/>
          <w:sz w:val="24"/>
          <w:szCs w:val="24"/>
          <w:lang w:val="en-GB"/>
        </w:rPr>
      </w:pPr>
      <w:r w:rsidRPr="00BC1ABD">
        <w:rPr>
          <w:rFonts w:cs="Arial"/>
          <w:sz w:val="24"/>
          <w:szCs w:val="24"/>
          <w:lang w:val="en-GB"/>
        </w:rPr>
        <w:t xml:space="preserve">Under Article </w:t>
      </w:r>
      <w:r w:rsidR="00EF498E">
        <w:rPr>
          <w:rFonts w:cs="Arial"/>
          <w:sz w:val="24"/>
          <w:szCs w:val="24"/>
          <w:lang w:val="en-GB"/>
        </w:rPr>
        <w:t>1</w:t>
      </w:r>
      <w:r w:rsidR="001C790B">
        <w:rPr>
          <w:rFonts w:cs="Arial"/>
          <w:sz w:val="24"/>
          <w:szCs w:val="24"/>
          <w:lang w:val="en-GB"/>
        </w:rPr>
        <w:t>7</w:t>
      </w:r>
      <w:r w:rsidR="00FA093F">
        <w:rPr>
          <w:rFonts w:cs="Arial"/>
          <w:sz w:val="24"/>
          <w:szCs w:val="24"/>
          <w:lang w:val="en-GB"/>
        </w:rPr>
        <w:t>(2)</w:t>
      </w:r>
      <w:r w:rsidR="004A5C9B">
        <w:rPr>
          <w:rFonts w:cs="Arial"/>
          <w:sz w:val="24"/>
          <w:szCs w:val="24"/>
          <w:lang w:val="en-GB"/>
        </w:rPr>
        <w:t xml:space="preserve"> </w:t>
      </w:r>
      <w:r w:rsidRPr="00BC1ABD">
        <w:rPr>
          <w:rFonts w:cs="Arial"/>
          <w:sz w:val="24"/>
          <w:szCs w:val="24"/>
          <w:lang w:val="en-GB"/>
        </w:rPr>
        <w:t xml:space="preserve">of ComCom’s </w:t>
      </w:r>
      <w:r w:rsidR="00EF498E">
        <w:rPr>
          <w:rFonts w:cs="Arial"/>
          <w:sz w:val="24"/>
          <w:szCs w:val="24"/>
          <w:lang w:val="en-GB"/>
        </w:rPr>
        <w:t xml:space="preserve">revised </w:t>
      </w:r>
      <w:r w:rsidRPr="00BC1ABD">
        <w:rPr>
          <w:rFonts w:cs="Arial"/>
          <w:sz w:val="24"/>
          <w:szCs w:val="24"/>
          <w:lang w:val="en-GB"/>
        </w:rPr>
        <w:t>Methodological Rules, “</w:t>
      </w:r>
      <w:r w:rsidR="00755E66">
        <w:rPr>
          <w:rFonts w:cs="Arial"/>
          <w:i/>
          <w:sz w:val="24"/>
          <w:szCs w:val="24"/>
          <w:lang w:val="en-GB"/>
        </w:rPr>
        <w:t>2</w:t>
      </w:r>
      <w:r w:rsidR="00EF498E" w:rsidRPr="000935A4">
        <w:rPr>
          <w:rFonts w:cs="Arial"/>
          <w:i/>
          <w:sz w:val="24"/>
          <w:szCs w:val="24"/>
          <w:lang w:val="en-GB"/>
        </w:rPr>
        <w:t>.</w:t>
      </w:r>
      <w:r w:rsidR="00755E66">
        <w:rPr>
          <w:rFonts w:cs="Arial"/>
          <w:i/>
          <w:sz w:val="24"/>
          <w:szCs w:val="24"/>
          <w:lang w:val="en-GB"/>
        </w:rPr>
        <w:t xml:space="preserve"> </w:t>
      </w:r>
      <w:r w:rsidR="00755E66" w:rsidRPr="008403DE">
        <w:rPr>
          <w:rFonts w:cs="Arial"/>
          <w:i/>
          <w:iCs/>
          <w:sz w:val="24"/>
          <w:szCs w:val="24"/>
          <w:lang w:val="en-GB"/>
        </w:rPr>
        <w:t xml:space="preserve">The conditions of specific obligations must </w:t>
      </w:r>
      <w:r w:rsidR="00FA093F">
        <w:rPr>
          <w:rFonts w:cs="Arial"/>
          <w:i/>
          <w:iCs/>
          <w:sz w:val="24"/>
          <w:szCs w:val="24"/>
          <w:lang w:val="en-US"/>
        </w:rPr>
        <w:t>correspond</w:t>
      </w:r>
      <w:r w:rsidR="00755E66" w:rsidRPr="008403DE">
        <w:rPr>
          <w:rFonts w:cs="Arial"/>
          <w:i/>
          <w:iCs/>
          <w:sz w:val="24"/>
          <w:szCs w:val="24"/>
          <w:lang w:val="en-GB"/>
        </w:rPr>
        <w:t xml:space="preserve"> with the nature of the significant market power, its abuse and  the power of the formation of barriers to entry to the relevant market segment,  must be proportionate and justified.</w:t>
      </w:r>
      <w:r w:rsidRPr="008403DE">
        <w:rPr>
          <w:rFonts w:cs="Arial"/>
          <w:i/>
          <w:iCs/>
          <w:sz w:val="24"/>
          <w:szCs w:val="24"/>
          <w:lang w:val="en-GB"/>
        </w:rPr>
        <w:t>”</w:t>
      </w:r>
    </w:p>
    <w:p w14:paraId="67B79435"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 ability and incentives of an operator with SMP to misuse its market advantage may vary geographically. In that case, the principle of proportionality requires a geographic differentiation of the obligations imposed.</w:t>
      </w:r>
    </w:p>
    <w:p w14:paraId="08BD9BFC"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For new entrants and smaller operators an option under the ‘ladder of investment’ principle is to gain retail market share and sufficient revenues to invest in their own fibre infrastructure by obtaining, in a first stage, wholesale access to existing broadband networks and services, in order to market their services to end customers.</w:t>
      </w:r>
    </w:p>
    <w:p w14:paraId="6D15C725"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 main competitive concern is therefore that the operator with SMP would refuse to grant such wholesale access or grant access under conditions which are not economic, preventing such new entrants (and smaller operators from expanding) ultimately limiting consumer choice.</w:t>
      </w:r>
    </w:p>
    <w:p w14:paraId="7785C3E9"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Indeed, in markets where an increased number of access networks can be expected on a forward-looking basis, end-users are more likely to benefit from improvements in network quality, lower prices and in general an adequate response to end-user needs, by virtue of infrastructure-based competition, compared to markets where only one network exists.</w:t>
      </w:r>
    </w:p>
    <w:p w14:paraId="61B9AA05"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aim of </w:t>
      </w:r>
      <w:r w:rsidRPr="00BC1ABD">
        <w:rPr>
          <w:rFonts w:cs="Arial"/>
          <w:i/>
          <w:iCs/>
          <w:sz w:val="24"/>
          <w:szCs w:val="24"/>
          <w:lang w:val="en-GB"/>
        </w:rPr>
        <w:t>ex-ante</w:t>
      </w:r>
      <w:r w:rsidRPr="00BC1ABD">
        <w:rPr>
          <w:rFonts w:cs="Arial"/>
          <w:sz w:val="24"/>
          <w:szCs w:val="24"/>
          <w:lang w:val="en-GB"/>
        </w:rPr>
        <w:t xml:space="preserve"> regulation is to remedy barriers to entry that inhibit network deployment by smaller operators, A significant entry barrier is presented by the presence of the pervasive network (in terms of premises passed) of the SMP operator, combined with its marketing strength (including having a strong brand, established revenue streams and an ability to bundle services including an attractive IP TV offer). Allowing wholesale local and central access to the network of an SMP operator seeks to remedy this barrier to entry by enabling smaller operators to sign gain subscribers throughout the areas covered by the network of the SMP operator. At the point where the smaller operator once reaches a critical mass of subscribers and revenues in a settlement, it can then choose to deploy its own network in that settlement.</w:t>
      </w:r>
    </w:p>
    <w:p w14:paraId="2ABC5CB5" w14:textId="5367117C"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 geographic assessment of competition is a tool to find the areas where sustainable and effective infrastructure-based competition is present or can be expected in the near future</w:t>
      </w:r>
      <w:r w:rsidR="00FD56CA" w:rsidRPr="00BC1ABD">
        <w:rPr>
          <w:rStyle w:val="FootnoteReference"/>
          <w:rFonts w:cs="Arial"/>
          <w:sz w:val="24"/>
          <w:szCs w:val="24"/>
          <w:lang w:val="en-GB"/>
        </w:rPr>
        <w:footnoteReference w:id="96"/>
      </w:r>
      <w:r w:rsidRPr="00BC1ABD">
        <w:rPr>
          <w:rFonts w:cs="Arial"/>
          <w:sz w:val="24"/>
          <w:szCs w:val="24"/>
          <w:lang w:val="en-GB"/>
        </w:rPr>
        <w:t>.</w:t>
      </w:r>
      <w:r w:rsidR="002C7E02" w:rsidRPr="00BC1ABD">
        <w:rPr>
          <w:rFonts w:cs="Arial"/>
          <w:sz w:val="24"/>
          <w:szCs w:val="24"/>
          <w:lang w:val="en-GB"/>
        </w:rPr>
        <w:t xml:space="preserve"> </w:t>
      </w:r>
    </w:p>
    <w:p w14:paraId="173D4BE5" w14:textId="644A541D" w:rsidR="00A0244C" w:rsidRPr="00BC1ABD" w:rsidRDefault="00A0244C" w:rsidP="00A0244C">
      <w:pPr>
        <w:jc w:val="both"/>
        <w:rPr>
          <w:rFonts w:cs="Arial"/>
          <w:sz w:val="24"/>
          <w:szCs w:val="24"/>
          <w:lang w:val="en-GB"/>
        </w:rPr>
      </w:pPr>
      <w:r w:rsidRPr="00BC1ABD">
        <w:rPr>
          <w:rFonts w:cs="Arial"/>
          <w:sz w:val="24"/>
          <w:szCs w:val="24"/>
          <w:lang w:val="en-GB"/>
        </w:rPr>
        <w:t xml:space="preserve">This introduces the concept of a ‘contestable area’ – a </w:t>
      </w:r>
      <w:r w:rsidR="004C3063" w:rsidRPr="00BC1ABD">
        <w:rPr>
          <w:rFonts w:cs="Arial"/>
          <w:sz w:val="24"/>
          <w:szCs w:val="24"/>
          <w:lang w:val="en-GB"/>
        </w:rPr>
        <w:t xml:space="preserve">settlement </w:t>
      </w:r>
      <w:r w:rsidRPr="00BC1ABD">
        <w:rPr>
          <w:rFonts w:cs="Arial"/>
          <w:sz w:val="24"/>
          <w:szCs w:val="24"/>
          <w:lang w:val="en-GB"/>
        </w:rPr>
        <w:t xml:space="preserve">where rival networks could significantly increase their </w:t>
      </w:r>
      <w:r w:rsidR="004C3063">
        <w:rPr>
          <w:rFonts w:cs="Arial"/>
          <w:sz w:val="24"/>
          <w:szCs w:val="24"/>
          <w:lang w:val="en-GB"/>
        </w:rPr>
        <w:t>share of retail</w:t>
      </w:r>
      <w:r w:rsidR="004C3063" w:rsidRPr="00BC1ABD">
        <w:rPr>
          <w:rFonts w:cs="Arial"/>
          <w:sz w:val="24"/>
          <w:szCs w:val="24"/>
          <w:lang w:val="en-GB"/>
        </w:rPr>
        <w:t xml:space="preserve"> broadband subscribers</w:t>
      </w:r>
      <w:r w:rsidRPr="00BC1ABD">
        <w:rPr>
          <w:rFonts w:cs="Arial"/>
          <w:sz w:val="24"/>
          <w:szCs w:val="24"/>
          <w:lang w:val="en-GB"/>
        </w:rPr>
        <w:t xml:space="preserve"> and therefore become an effective competitor to the larger player(s) already present.</w:t>
      </w:r>
    </w:p>
    <w:p w14:paraId="25955640"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A key input to a geographical assessment would be the investment plans from the competitors and from the (national) SMP operator at settlement level. In the absence of such information, proxies need to be used, in the form of objective criteria that can be applied to each settlement to indicate the level of contestability in that area.</w:t>
      </w:r>
    </w:p>
    <w:p w14:paraId="6D1AA8B8" w14:textId="3BABD7F6"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To apply the principle of proportionality and to find the minimum regulation necessary, the situation in different areas needs to be considered with the possibility to recommend a different set of remedies that can be applied such that only the measures sufficient to provide the most appropriate investment incentives. The competitive landscape is not static and depends on the number of </w:t>
      </w:r>
      <w:r w:rsidR="00F026B4">
        <w:rPr>
          <w:rFonts w:cs="Arial"/>
          <w:sz w:val="24"/>
          <w:szCs w:val="24"/>
          <w:lang w:val="en-GB"/>
        </w:rPr>
        <w:t>FTTx</w:t>
      </w:r>
      <w:r w:rsidRPr="00BC1ABD">
        <w:rPr>
          <w:rFonts w:cs="Arial"/>
          <w:sz w:val="24"/>
          <w:szCs w:val="24"/>
          <w:lang w:val="en-GB"/>
        </w:rPr>
        <w:t xml:space="preserve"> networks that are deployed in each settlement. A further factor is the ratio of the number of effective subscribers compared to the number of premises passed. A decrease in the number of subscribers of the SMP operator in a settlement (or a significant decrease in its share</w:t>
      </w:r>
      <w:r w:rsidR="004C3063">
        <w:rPr>
          <w:rFonts w:cs="Arial"/>
          <w:sz w:val="24"/>
          <w:szCs w:val="24"/>
          <w:lang w:val="en-GB"/>
        </w:rPr>
        <w:t xml:space="preserve"> in the total number of subscribers in that area</w:t>
      </w:r>
      <w:r w:rsidRPr="00BC1ABD">
        <w:rPr>
          <w:rFonts w:cs="Arial"/>
          <w:sz w:val="24"/>
          <w:szCs w:val="24"/>
          <w:lang w:val="en-GB"/>
        </w:rPr>
        <w:t xml:space="preserve">) will thus reflect the success of the alternative operator. This can be measured by either an increase in the deployment of alternative fibre networks, or an increased take-up of the service offered by the alternative operators, or a combination of both. </w:t>
      </w:r>
    </w:p>
    <w:p w14:paraId="32C78205"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dynamics of the market over time provides key information on whether areas may tend towards effective competition, even if currently an area is still not competitive. To find those areas an additional set of criteria is applied to ensure that any </w:t>
      </w:r>
      <w:r w:rsidRPr="00BC1ABD">
        <w:rPr>
          <w:rFonts w:cs="Arial"/>
          <w:i/>
          <w:iCs/>
          <w:sz w:val="24"/>
          <w:szCs w:val="24"/>
          <w:lang w:val="en-GB"/>
        </w:rPr>
        <w:t>ex-ante</w:t>
      </w:r>
      <w:r w:rsidRPr="00BC1ABD">
        <w:rPr>
          <w:rFonts w:cs="Arial"/>
          <w:sz w:val="24"/>
          <w:szCs w:val="24"/>
          <w:lang w:val="en-GB"/>
        </w:rPr>
        <w:t xml:space="preserve"> regulation is the minimum necessary in those areas.</w:t>
      </w:r>
    </w:p>
    <w:p w14:paraId="2AD3D84D"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In the areas where the deployment of (further) parallel fibre networks will not generally be viable, wholesale access should in all cases be imposed through </w:t>
      </w:r>
      <w:r w:rsidRPr="00BC1ABD">
        <w:rPr>
          <w:rFonts w:cs="Arial"/>
          <w:i/>
          <w:iCs/>
          <w:sz w:val="24"/>
          <w:szCs w:val="24"/>
          <w:lang w:val="en-GB"/>
        </w:rPr>
        <w:t>ex-ante</w:t>
      </w:r>
      <w:r w:rsidRPr="00BC1ABD">
        <w:rPr>
          <w:rFonts w:cs="Arial"/>
          <w:sz w:val="24"/>
          <w:szCs w:val="24"/>
          <w:lang w:val="en-GB"/>
        </w:rPr>
        <w:t xml:space="preserve"> regulation to ensure consumer choice. </w:t>
      </w:r>
    </w:p>
    <w:p w14:paraId="1C1DDDB0" w14:textId="77777777" w:rsidR="00A0244C" w:rsidRPr="00033EBE" w:rsidRDefault="00A0244C" w:rsidP="00033EBE">
      <w:pPr>
        <w:pStyle w:val="Heading2"/>
        <w:numPr>
          <w:ilvl w:val="1"/>
          <w:numId w:val="88"/>
        </w:numPr>
        <w:spacing w:after="240"/>
        <w:rPr>
          <w:lang w:val="en-GB"/>
        </w:rPr>
      </w:pPr>
      <w:bookmarkStart w:id="290" w:name="_Toc131088630"/>
      <w:bookmarkStart w:id="291" w:name="_Toc169258968"/>
      <w:r w:rsidRPr="00033EBE">
        <w:rPr>
          <w:lang w:val="en-GB"/>
        </w:rPr>
        <w:t>Defining the possible criteria to identify variation in ability and incentives to foreclose market entry</w:t>
      </w:r>
      <w:bookmarkEnd w:id="290"/>
      <w:bookmarkEnd w:id="291"/>
    </w:p>
    <w:p w14:paraId="40CE6900" w14:textId="19C896EB"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As there are differences between the state of infrastructure competition in different settlements (see Chapter </w:t>
      </w:r>
      <w:r w:rsidR="00D8487C">
        <w:rPr>
          <w:rFonts w:cs="Arial"/>
          <w:sz w:val="24"/>
          <w:szCs w:val="24"/>
          <w:lang w:val="en-GB"/>
        </w:rPr>
        <w:t>3.1</w:t>
      </w:r>
      <w:r w:rsidRPr="00BC1ABD">
        <w:rPr>
          <w:rFonts w:cs="Arial"/>
          <w:sz w:val="24"/>
          <w:szCs w:val="24"/>
          <w:lang w:val="en-GB"/>
        </w:rPr>
        <w:t>), a set of criteria needs to be defined in order to identify the variation in the ability and incentives of an SMP operator to misuse its market power for example by foreclosing market entry.</w:t>
      </w:r>
    </w:p>
    <w:p w14:paraId="499F0A74" w14:textId="50F2703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 objective criteria for geographic segmentation of markets (or differentiation of remedies) used by different EU Member states</w:t>
      </w:r>
      <w:r w:rsidRPr="00BC1ABD">
        <w:rPr>
          <w:rStyle w:val="FootnoteReference"/>
          <w:rFonts w:cs="Arial"/>
          <w:sz w:val="24"/>
          <w:szCs w:val="24"/>
          <w:lang w:val="en-GB"/>
        </w:rPr>
        <w:footnoteReference w:id="97"/>
      </w:r>
      <w:r w:rsidRPr="00BC1ABD">
        <w:rPr>
          <w:rFonts w:cs="Arial"/>
          <w:sz w:val="24"/>
          <w:szCs w:val="24"/>
          <w:lang w:val="en-GB"/>
        </w:rPr>
        <w:t xml:space="preserve">) reflect differences in national circumstances. These criteria include: (i) the number and characteristics of competing networks, (ii) the distribution of and trends in </w:t>
      </w:r>
      <w:r w:rsidR="00D835D8">
        <w:rPr>
          <w:rFonts w:cs="Arial"/>
          <w:sz w:val="24"/>
          <w:szCs w:val="24"/>
          <w:lang w:val="en-GB"/>
        </w:rPr>
        <w:t>share of retail</w:t>
      </w:r>
      <w:r w:rsidR="00D835D8" w:rsidRPr="00BC1ABD">
        <w:rPr>
          <w:rFonts w:cs="Arial"/>
          <w:sz w:val="24"/>
          <w:szCs w:val="24"/>
          <w:lang w:val="en-GB"/>
        </w:rPr>
        <w:t xml:space="preserve"> broadband subscribers</w:t>
      </w:r>
      <w:r w:rsidRPr="00BC1ABD">
        <w:rPr>
          <w:rFonts w:cs="Arial"/>
          <w:sz w:val="24"/>
          <w:szCs w:val="24"/>
          <w:lang w:val="en-GB"/>
        </w:rPr>
        <w:t>, (iii) prices and (iv) market behavioural patterns. Since there are no wholesale offers on the wholesale market for local and central access in Georgia, criteria (iii) and (iv) cannot be used.</w:t>
      </w:r>
    </w:p>
    <w:p w14:paraId="7560DBBB"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Therefore, it is proposed that ComCom use the following main criteria:</w:t>
      </w:r>
    </w:p>
    <w:p w14:paraId="1FDA7BBD" w14:textId="77777777" w:rsidR="00A0244C" w:rsidRPr="00BC1ABD" w:rsidRDefault="00A0244C" w:rsidP="00A0244C">
      <w:pPr>
        <w:numPr>
          <w:ilvl w:val="0"/>
          <w:numId w:val="32"/>
        </w:numPr>
        <w:adjustRightInd w:val="0"/>
        <w:spacing w:after="240"/>
        <w:contextualSpacing/>
        <w:jc w:val="both"/>
        <w:rPr>
          <w:rFonts w:cs="Arial"/>
          <w:bCs/>
          <w:sz w:val="24"/>
          <w:szCs w:val="24"/>
          <w:lang w:val="en-GB"/>
        </w:rPr>
      </w:pPr>
      <w:bookmarkStart w:id="292" w:name="_Hlk131009389"/>
      <w:r w:rsidRPr="00BC1ABD">
        <w:rPr>
          <w:rFonts w:cs="Arial"/>
          <w:bCs/>
          <w:sz w:val="24"/>
          <w:szCs w:val="24"/>
          <w:lang w:val="en-GB"/>
        </w:rPr>
        <w:t>The number and characteristics of competing networks</w:t>
      </w:r>
    </w:p>
    <w:bookmarkEnd w:id="292"/>
    <w:p w14:paraId="1BC9BD3B" w14:textId="06A998C6" w:rsidR="00A0244C" w:rsidRPr="00BC1ABD" w:rsidRDefault="00A0244C" w:rsidP="00A0244C">
      <w:pPr>
        <w:numPr>
          <w:ilvl w:val="0"/>
          <w:numId w:val="32"/>
        </w:numPr>
        <w:adjustRightInd w:val="0"/>
        <w:spacing w:after="240"/>
        <w:contextualSpacing/>
        <w:jc w:val="both"/>
        <w:rPr>
          <w:rFonts w:cs="Arial"/>
          <w:bCs/>
          <w:sz w:val="24"/>
          <w:szCs w:val="24"/>
          <w:lang w:val="en-GB"/>
        </w:rPr>
      </w:pPr>
      <w:r w:rsidRPr="00BC1ABD">
        <w:rPr>
          <w:rFonts w:cs="Arial"/>
          <w:bCs/>
          <w:sz w:val="24"/>
          <w:szCs w:val="24"/>
          <w:lang w:val="en-GB"/>
        </w:rPr>
        <w:t xml:space="preserve">The </w:t>
      </w:r>
      <w:r w:rsidR="00EF498E">
        <w:rPr>
          <w:rFonts w:cs="Arial"/>
          <w:bCs/>
          <w:sz w:val="24"/>
          <w:szCs w:val="24"/>
          <w:lang w:val="en-GB"/>
        </w:rPr>
        <w:t>respective number of retail broadband users</w:t>
      </w:r>
    </w:p>
    <w:p w14:paraId="256D436C" w14:textId="77777777" w:rsidR="00A0244C" w:rsidRPr="00BC1ABD" w:rsidRDefault="00A0244C" w:rsidP="00A0244C">
      <w:pPr>
        <w:ind w:left="720"/>
        <w:contextualSpacing/>
        <w:rPr>
          <w:rFonts w:cs="Arial"/>
          <w:bCs/>
          <w:sz w:val="24"/>
          <w:szCs w:val="24"/>
          <w:lang w:val="en-GB"/>
        </w:rPr>
      </w:pPr>
    </w:p>
    <w:p w14:paraId="6BC0488B" w14:textId="0167C185"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Regulators in the EU generally use the criterion of a minimal number of operators for an area to be deemed competitive. The</w:t>
      </w:r>
      <w:r w:rsidR="00E00C54">
        <w:rPr>
          <w:rFonts w:cs="Arial"/>
          <w:sz w:val="24"/>
          <w:szCs w:val="24"/>
          <w:lang w:val="en-GB"/>
        </w:rPr>
        <w:t>y</w:t>
      </w:r>
      <w:r w:rsidRPr="00BC1ABD">
        <w:rPr>
          <w:rFonts w:cs="Arial"/>
          <w:sz w:val="24"/>
          <w:szCs w:val="24"/>
          <w:lang w:val="en-GB"/>
        </w:rPr>
        <w:t xml:space="preserve"> general</w:t>
      </w:r>
      <w:r w:rsidR="00E00C54">
        <w:rPr>
          <w:rFonts w:cs="Arial"/>
          <w:sz w:val="24"/>
          <w:szCs w:val="24"/>
          <w:lang w:val="en-GB"/>
        </w:rPr>
        <w:t>ly consider</w:t>
      </w:r>
      <w:r w:rsidRPr="00BC1ABD">
        <w:rPr>
          <w:rFonts w:cs="Arial"/>
          <w:sz w:val="24"/>
          <w:szCs w:val="24"/>
          <w:lang w:val="en-GB"/>
        </w:rPr>
        <w:t xml:space="preserve"> that 3 or more networks are necessary for defining a competitive area.</w:t>
      </w:r>
      <w:r w:rsidR="00195B2F">
        <w:rPr>
          <w:rFonts w:cs="Arial"/>
          <w:sz w:val="24"/>
          <w:szCs w:val="24"/>
          <w:lang w:val="en-GB"/>
        </w:rPr>
        <w:t xml:space="preserve"> </w:t>
      </w:r>
      <w:r w:rsidR="00E00C54">
        <w:rPr>
          <w:rFonts w:cs="Arial"/>
          <w:sz w:val="24"/>
          <w:szCs w:val="24"/>
          <w:lang w:val="en-GB"/>
        </w:rPr>
        <w:t>At the same time, some EU NRAs consider that</w:t>
      </w:r>
      <w:r w:rsidR="00E00C54" w:rsidRPr="00E00C54">
        <w:rPr>
          <w:rFonts w:cs="Arial"/>
          <w:sz w:val="24"/>
          <w:szCs w:val="24"/>
          <w:lang w:val="en-GB"/>
        </w:rPr>
        <w:t xml:space="preserve"> the presence of </w:t>
      </w:r>
      <w:r w:rsidR="00E00C54" w:rsidRPr="004A4FA9">
        <w:rPr>
          <w:rFonts w:cs="Arial"/>
          <w:sz w:val="24"/>
          <w:szCs w:val="24"/>
          <w:lang w:val="en-GB"/>
        </w:rPr>
        <w:t xml:space="preserve">2 parallel networks is already a sufficient sign of different competition conditions, together with the analysis of the </w:t>
      </w:r>
      <w:r w:rsidR="00D835D8" w:rsidRPr="004A4FA9">
        <w:rPr>
          <w:rFonts w:cs="Arial"/>
          <w:sz w:val="24"/>
          <w:szCs w:val="24"/>
          <w:lang w:val="en-GB"/>
        </w:rPr>
        <w:t>evolution of respective shares of retail broadband access subscribers</w:t>
      </w:r>
      <w:r w:rsidR="00E00C54" w:rsidRPr="004A4FA9">
        <w:rPr>
          <w:rFonts w:cs="Arial"/>
          <w:sz w:val="24"/>
          <w:szCs w:val="24"/>
          <w:lang w:val="en-GB"/>
        </w:rPr>
        <w:t xml:space="preserve">. However, in the case of Georgia, </w:t>
      </w:r>
      <w:r w:rsidR="00EA0E76" w:rsidRPr="004A4FA9">
        <w:rPr>
          <w:rFonts w:cs="Arial"/>
          <w:sz w:val="24"/>
          <w:szCs w:val="24"/>
          <w:lang w:val="en-GB"/>
        </w:rPr>
        <w:t>the presence of two networks in an area cannot be considered as showing that the area is competitive because the current n</w:t>
      </w:r>
      <w:r w:rsidR="001B19CE" w:rsidRPr="004A4FA9">
        <w:rPr>
          <w:rFonts w:cs="Arial"/>
          <w:sz w:val="24"/>
          <w:szCs w:val="24"/>
          <w:lang w:val="en-GB"/>
        </w:rPr>
        <w:t xml:space="preserve">umber two (Silknet) </w:t>
      </w:r>
      <w:r w:rsidR="00E00C54" w:rsidRPr="004A4FA9">
        <w:rPr>
          <w:rFonts w:cs="Arial"/>
          <w:sz w:val="24"/>
          <w:szCs w:val="24"/>
          <w:lang w:val="en-GB"/>
        </w:rPr>
        <w:t xml:space="preserve">is the </w:t>
      </w:r>
      <w:r w:rsidR="00EA0E76" w:rsidRPr="004A4FA9">
        <w:rPr>
          <w:rFonts w:cs="Arial"/>
          <w:sz w:val="24"/>
          <w:szCs w:val="24"/>
          <w:lang w:val="en-GB"/>
        </w:rPr>
        <w:t xml:space="preserve">equivalent of the copper-based network </w:t>
      </w:r>
      <w:r w:rsidR="00E00C54" w:rsidRPr="004A4FA9">
        <w:rPr>
          <w:rFonts w:cs="Arial"/>
          <w:sz w:val="24"/>
          <w:szCs w:val="24"/>
          <w:lang w:val="en-GB"/>
        </w:rPr>
        <w:t>incumbent</w:t>
      </w:r>
      <w:r w:rsidR="00EA0E76" w:rsidRPr="004A4FA9">
        <w:rPr>
          <w:rFonts w:cs="Arial"/>
          <w:sz w:val="24"/>
          <w:szCs w:val="24"/>
          <w:lang w:val="en-GB"/>
        </w:rPr>
        <w:t>s in the EU</w:t>
      </w:r>
      <w:r w:rsidR="00E00C54" w:rsidRPr="004A4FA9">
        <w:rPr>
          <w:rFonts w:cs="Arial"/>
          <w:sz w:val="24"/>
          <w:szCs w:val="24"/>
          <w:lang w:val="en-GB"/>
        </w:rPr>
        <w:t xml:space="preserve"> and </w:t>
      </w:r>
      <w:r w:rsidR="00EA0E76" w:rsidRPr="004A4FA9">
        <w:rPr>
          <w:rFonts w:cs="Arial"/>
          <w:sz w:val="24"/>
          <w:szCs w:val="24"/>
          <w:lang w:val="en-GB"/>
        </w:rPr>
        <w:t xml:space="preserve">the fact that </w:t>
      </w:r>
      <w:r w:rsidR="00E00C54" w:rsidRPr="004A4FA9">
        <w:rPr>
          <w:rFonts w:cs="Arial"/>
          <w:sz w:val="24"/>
          <w:szCs w:val="24"/>
          <w:lang w:val="en-GB"/>
        </w:rPr>
        <w:t>Magticom</w:t>
      </w:r>
      <w:r w:rsidR="00EA0E76" w:rsidRPr="004A4FA9">
        <w:rPr>
          <w:rFonts w:cs="Arial"/>
          <w:sz w:val="24"/>
          <w:szCs w:val="24"/>
          <w:lang w:val="en-GB"/>
        </w:rPr>
        <w:t xml:space="preserve"> could </w:t>
      </w:r>
      <w:r w:rsidR="00E00C54" w:rsidRPr="004A4FA9">
        <w:rPr>
          <w:rFonts w:cs="Arial"/>
          <w:sz w:val="24"/>
          <w:szCs w:val="24"/>
          <w:lang w:val="en-GB"/>
        </w:rPr>
        <w:t>success</w:t>
      </w:r>
      <w:r w:rsidR="00EA0E76" w:rsidRPr="004A4FA9">
        <w:rPr>
          <w:rFonts w:cs="Arial"/>
          <w:sz w:val="24"/>
          <w:szCs w:val="24"/>
          <w:lang w:val="en-GB"/>
        </w:rPr>
        <w:t>fully acquire/deploy the largest fibre network in Georgia does not prove that further parallel fibre deployment is possible, in the absence of regulatory intervention</w:t>
      </w:r>
      <w:r w:rsidR="00E00C54" w:rsidRPr="004A4FA9">
        <w:rPr>
          <w:rFonts w:cs="Arial"/>
          <w:sz w:val="24"/>
          <w:szCs w:val="24"/>
          <w:lang w:val="en-GB"/>
        </w:rPr>
        <w:t xml:space="preserve">. </w:t>
      </w:r>
    </w:p>
    <w:p w14:paraId="4AABF32F"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 presence of more networks means that end-users have a greater choice. EU regulators do not set the threshold to define competitive areas to a number higher than 3 or more operators, because a greater threshold (for example 4 or more operators) would not significantly improve the competitive pressures on an SMP operator and not alter the overall contestability of the market within any given area.</w:t>
      </w:r>
    </w:p>
    <w:p w14:paraId="419D2120" w14:textId="7EA05D48"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Since the retail market in Georgia is defined as the higher-speed fixed broadband access market consisting of </w:t>
      </w:r>
      <w:r w:rsidR="00F026B4">
        <w:rPr>
          <w:rFonts w:cs="Arial"/>
          <w:sz w:val="24"/>
          <w:szCs w:val="24"/>
          <w:lang w:val="en-GB"/>
        </w:rPr>
        <w:t>FTTx</w:t>
      </w:r>
      <w:r w:rsidRPr="00BC1ABD">
        <w:rPr>
          <w:rFonts w:cs="Arial"/>
          <w:sz w:val="24"/>
          <w:szCs w:val="24"/>
          <w:lang w:val="en-GB"/>
        </w:rPr>
        <w:t xml:space="preserve"> networks (see Chapter 3</w:t>
      </w:r>
      <w:r w:rsidR="00F6630E">
        <w:rPr>
          <w:rFonts w:cs="Arial"/>
          <w:sz w:val="24"/>
          <w:szCs w:val="24"/>
          <w:lang w:val="en-GB"/>
        </w:rPr>
        <w:t>.5.1</w:t>
      </w:r>
      <w:r w:rsidRPr="00BC1ABD">
        <w:rPr>
          <w:rFonts w:cs="Arial"/>
          <w:sz w:val="24"/>
          <w:szCs w:val="24"/>
          <w:lang w:val="en-GB"/>
        </w:rPr>
        <w:t xml:space="preserve">) then the threshold of 3 or more operators only applies to the presence of </w:t>
      </w:r>
      <w:r w:rsidR="00F026B4">
        <w:rPr>
          <w:rFonts w:cs="Arial"/>
          <w:sz w:val="24"/>
          <w:szCs w:val="24"/>
          <w:lang w:val="en-GB"/>
        </w:rPr>
        <w:t>FTTx</w:t>
      </w:r>
      <w:r w:rsidRPr="00BC1ABD">
        <w:rPr>
          <w:rFonts w:cs="Arial"/>
          <w:sz w:val="24"/>
          <w:szCs w:val="24"/>
          <w:lang w:val="en-GB"/>
        </w:rPr>
        <w:t xml:space="preserve"> networks. The data collected by ComCom shows that Magticom has the highest coverage, while other operators are targeting specific areas: such as municipality centres or more populated settlements</w:t>
      </w:r>
      <w:r w:rsidR="006E5529">
        <w:rPr>
          <w:rFonts w:cs="Arial"/>
          <w:sz w:val="24"/>
          <w:szCs w:val="24"/>
          <w:lang w:val="en-GB"/>
        </w:rPr>
        <w:t xml:space="preserve">, </w:t>
      </w:r>
      <w:r w:rsidRPr="00BC1ABD">
        <w:rPr>
          <w:rFonts w:cs="Arial"/>
          <w:sz w:val="24"/>
          <w:szCs w:val="24"/>
          <w:lang w:val="en-GB"/>
        </w:rPr>
        <w:t xml:space="preserve">for example Silknet and </w:t>
      </w:r>
      <w:r w:rsidR="001A02CA">
        <w:rPr>
          <w:rFonts w:cs="Arial"/>
          <w:sz w:val="24"/>
          <w:szCs w:val="24"/>
          <w:lang w:val="en-GB"/>
        </w:rPr>
        <w:t>Akhali Kselebi</w:t>
      </w:r>
      <w:r w:rsidR="006E5529">
        <w:rPr>
          <w:rFonts w:cs="Arial"/>
          <w:sz w:val="24"/>
          <w:szCs w:val="24"/>
          <w:lang w:val="en-GB"/>
        </w:rPr>
        <w:t>,</w:t>
      </w:r>
      <w:r w:rsidRPr="00BC1ABD">
        <w:rPr>
          <w:rFonts w:cs="Arial"/>
          <w:sz w:val="24"/>
          <w:szCs w:val="24"/>
          <w:lang w:val="en-GB"/>
        </w:rPr>
        <w:t xml:space="preserve"> or more rural parts of Georgia (Skytel and other small local operators). The presence of only two networks in a settlement is thus not sufficient to indicate the likely emergence of sustainable competition, either due to possible horizontal coordinated or non-coordinated restrictive effects, for example by the second competitor’s policy of simply accepting second place to Magticom and not risking conflict with Magticom. In the case of three or more operators such effects are much less </w:t>
      </w:r>
      <w:r w:rsidR="00136E19" w:rsidRPr="00BC1ABD">
        <w:rPr>
          <w:rFonts w:cs="Arial"/>
          <w:sz w:val="24"/>
          <w:szCs w:val="24"/>
          <w:lang w:val="en-GB"/>
        </w:rPr>
        <w:t>probable,</w:t>
      </w:r>
      <w:r w:rsidRPr="00BC1ABD">
        <w:rPr>
          <w:rFonts w:cs="Arial"/>
          <w:sz w:val="24"/>
          <w:szCs w:val="24"/>
          <w:lang w:val="en-GB"/>
        </w:rPr>
        <w:t xml:space="preserve"> and it is also unlikely that the 2</w:t>
      </w:r>
      <w:r w:rsidRPr="00E517D9">
        <w:rPr>
          <w:rFonts w:cs="Arial"/>
          <w:sz w:val="24"/>
          <w:szCs w:val="24"/>
          <w:lang w:val="en-GB"/>
        </w:rPr>
        <w:t>nd</w:t>
      </w:r>
      <w:r w:rsidRPr="00BC1ABD">
        <w:rPr>
          <w:rFonts w:cs="Arial"/>
          <w:sz w:val="24"/>
          <w:szCs w:val="24"/>
          <w:lang w:val="en-GB"/>
        </w:rPr>
        <w:t xml:space="preserve"> and 3rd competitors are merely following Magticom’s market policy.</w:t>
      </w:r>
    </w:p>
    <w:p w14:paraId="440C944D" w14:textId="7B011ADB"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This difference in a competitive landscape between having two and having three operators is significant, since at least one of the competitors is forced to innovate and provide better services to maintain or increase its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Setting the threshold at 4 or more networks will not significantly improve the competition landscape compared to setting the threshold at 3 networks, since the probability that only the presence of a fourth operator will be sufficient to ensure competition is low.</w:t>
      </w:r>
    </w:p>
    <w:p w14:paraId="31A23959" w14:textId="30386B25" w:rsidR="00A0244C" w:rsidRPr="00BC1ABD" w:rsidRDefault="00A0244C" w:rsidP="00A0244C">
      <w:pPr>
        <w:numPr>
          <w:ilvl w:val="0"/>
          <w:numId w:val="34"/>
        </w:numPr>
        <w:adjustRightInd w:val="0"/>
        <w:spacing w:after="240"/>
        <w:contextualSpacing/>
        <w:jc w:val="both"/>
        <w:rPr>
          <w:rFonts w:cs="Arial"/>
          <w:bCs/>
          <w:sz w:val="24"/>
          <w:szCs w:val="24"/>
          <w:lang w:val="en-GB"/>
        </w:rPr>
      </w:pPr>
      <w:r w:rsidRPr="00BC1ABD">
        <w:rPr>
          <w:rFonts w:cs="Arial"/>
          <w:bCs/>
          <w:sz w:val="24"/>
          <w:szCs w:val="24"/>
          <w:lang w:val="en-GB"/>
        </w:rPr>
        <w:t xml:space="preserve">The distribution of </w:t>
      </w:r>
      <w:r w:rsidR="00EA0E76">
        <w:rPr>
          <w:rFonts w:cs="Arial"/>
          <w:bCs/>
          <w:sz w:val="24"/>
          <w:szCs w:val="24"/>
          <w:lang w:val="en-GB"/>
        </w:rPr>
        <w:t>respective user base per settlement</w:t>
      </w:r>
    </w:p>
    <w:p w14:paraId="377EC9F9" w14:textId="77777777" w:rsidR="00A0244C" w:rsidRPr="00BC1ABD" w:rsidRDefault="00A0244C" w:rsidP="00A0244C">
      <w:pPr>
        <w:adjustRightInd w:val="0"/>
        <w:spacing w:after="240"/>
        <w:ind w:left="720"/>
        <w:contextualSpacing/>
        <w:jc w:val="both"/>
        <w:rPr>
          <w:rFonts w:cs="Arial"/>
          <w:bCs/>
          <w:sz w:val="24"/>
          <w:szCs w:val="24"/>
          <w:lang w:val="en-GB"/>
        </w:rPr>
      </w:pPr>
    </w:p>
    <w:p w14:paraId="1617299B" w14:textId="1C9BF3EE"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A single criterion using a threshold of 3 or more networks alone is generally not going to be sufficient, especially if the second and the third operators are much smaller than Magticom. The possible additional criteria may include the </w:t>
      </w:r>
      <w:r w:rsidR="00D835D8">
        <w:rPr>
          <w:rFonts w:cs="Arial"/>
          <w:sz w:val="24"/>
          <w:szCs w:val="24"/>
          <w:lang w:val="en-GB"/>
        </w:rPr>
        <w:t xml:space="preserve">share of </w:t>
      </w:r>
      <w:r w:rsidR="00D835D8" w:rsidRPr="00BC1ABD">
        <w:rPr>
          <w:rFonts w:cs="Arial"/>
          <w:sz w:val="24"/>
          <w:szCs w:val="24"/>
          <w:lang w:val="en-GB"/>
        </w:rPr>
        <w:t>broadband subscribers</w:t>
      </w:r>
      <w:r w:rsidRPr="00BC1ABD">
        <w:rPr>
          <w:rFonts w:cs="Arial"/>
          <w:sz w:val="24"/>
          <w:szCs w:val="24"/>
          <w:lang w:val="en-GB"/>
        </w:rPr>
        <w:t xml:space="preserve"> of every operator or the coverage (number of premises passed) by each operator. The </w:t>
      </w:r>
      <w:r w:rsidR="00D835D8">
        <w:rPr>
          <w:rFonts w:cs="Arial"/>
          <w:sz w:val="24"/>
          <w:szCs w:val="24"/>
          <w:lang w:val="en-GB"/>
        </w:rPr>
        <w:t xml:space="preserve">share of </w:t>
      </w:r>
      <w:r w:rsidR="00D835D8" w:rsidRPr="00BC1ABD">
        <w:rPr>
          <w:rFonts w:cs="Arial"/>
          <w:sz w:val="24"/>
          <w:szCs w:val="24"/>
          <w:lang w:val="en-GB"/>
        </w:rPr>
        <w:t>broadband subscribers</w:t>
      </w:r>
      <w:r w:rsidRPr="00BC1ABD">
        <w:rPr>
          <w:rFonts w:cs="Arial"/>
          <w:sz w:val="24"/>
          <w:szCs w:val="24"/>
          <w:lang w:val="en-GB"/>
        </w:rPr>
        <w:t xml:space="preserve"> criterion measures the actual level of retail competition, while the coverage criterion measures the level of potential competition.</w:t>
      </w:r>
    </w:p>
    <w:p w14:paraId="11A3D21D" w14:textId="173F6F7B"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If an additional criterion related to </w:t>
      </w:r>
      <w:r w:rsidR="00EA0E76">
        <w:rPr>
          <w:rFonts w:cs="Arial"/>
          <w:sz w:val="24"/>
          <w:szCs w:val="24"/>
          <w:lang w:val="en-GB"/>
        </w:rPr>
        <w:t>respective number of users</w:t>
      </w:r>
      <w:r w:rsidRPr="00BC1ABD">
        <w:rPr>
          <w:rFonts w:cs="Arial"/>
          <w:sz w:val="24"/>
          <w:szCs w:val="24"/>
          <w:lang w:val="en-GB"/>
        </w:rPr>
        <w:t xml:space="preserve"> is used it involves comparing the </w:t>
      </w:r>
      <w:r w:rsidR="00EA0E76">
        <w:rPr>
          <w:rFonts w:cs="Arial"/>
          <w:sz w:val="24"/>
          <w:szCs w:val="24"/>
          <w:lang w:val="en-GB"/>
        </w:rPr>
        <w:t>number of users</w:t>
      </w:r>
      <w:r w:rsidR="00EA0E76" w:rsidRPr="00BC1ABD">
        <w:rPr>
          <w:rFonts w:cs="Arial"/>
          <w:sz w:val="24"/>
          <w:szCs w:val="24"/>
          <w:lang w:val="en-GB"/>
        </w:rPr>
        <w:t xml:space="preserve"> </w:t>
      </w:r>
      <w:r w:rsidRPr="00BC1ABD">
        <w:rPr>
          <w:rFonts w:cs="Arial"/>
          <w:sz w:val="24"/>
          <w:szCs w:val="24"/>
          <w:lang w:val="en-GB"/>
        </w:rPr>
        <w:t xml:space="preserve">of Magticom and its competitors. The coverage data collected by ComCom indicates that the barrier to entry to the retail market for higher-speed broadband access is more likely to be overcome in certain settlements than in others: </w:t>
      </w:r>
    </w:p>
    <w:p w14:paraId="54C05BDB" w14:textId="4BE2D5C2"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1) </w:t>
      </w:r>
      <w:r w:rsidR="00EA0E76">
        <w:rPr>
          <w:rFonts w:cs="Arial"/>
          <w:sz w:val="24"/>
          <w:szCs w:val="24"/>
          <w:lang w:val="en-GB"/>
        </w:rPr>
        <w:t>number of retail users</w:t>
      </w:r>
      <w:r w:rsidR="00EA0E76" w:rsidRPr="00BC1ABD">
        <w:rPr>
          <w:rFonts w:cs="Arial"/>
          <w:sz w:val="24"/>
          <w:szCs w:val="24"/>
          <w:lang w:val="en-GB"/>
        </w:rPr>
        <w:t xml:space="preserve"> </w:t>
      </w:r>
      <w:r w:rsidRPr="00BC1ABD">
        <w:rPr>
          <w:rFonts w:cs="Arial"/>
          <w:sz w:val="24"/>
          <w:szCs w:val="24"/>
          <w:lang w:val="en-GB"/>
        </w:rPr>
        <w:t>of Magticom’s fixed broadband access</w:t>
      </w:r>
    </w:p>
    <w:p w14:paraId="7290B8AC" w14:textId="7C6BB88B" w:rsidR="00A0244C" w:rsidRPr="00BC1ABD" w:rsidRDefault="00A0244C" w:rsidP="00A0244C">
      <w:pPr>
        <w:jc w:val="both"/>
        <w:rPr>
          <w:rFonts w:cs="Arial"/>
          <w:sz w:val="24"/>
          <w:szCs w:val="24"/>
          <w:lang w:val="en-GB"/>
        </w:rPr>
      </w:pPr>
      <w:r w:rsidRPr="00BC1ABD">
        <w:rPr>
          <w:rFonts w:cs="Arial"/>
          <w:sz w:val="24"/>
          <w:szCs w:val="24"/>
          <w:lang w:val="en-GB"/>
        </w:rPr>
        <w:t xml:space="preserve">In a settlement where Magticom </w:t>
      </w:r>
      <w:r w:rsidR="00EA0E76">
        <w:rPr>
          <w:rFonts w:cs="Arial"/>
          <w:sz w:val="24"/>
          <w:szCs w:val="24"/>
          <w:lang w:val="en-GB"/>
        </w:rPr>
        <w:t>serves</w:t>
      </w:r>
      <w:r w:rsidR="00EA0E76" w:rsidRPr="00BC1ABD">
        <w:rPr>
          <w:rFonts w:cs="Arial"/>
          <w:sz w:val="24"/>
          <w:szCs w:val="24"/>
          <w:lang w:val="en-GB"/>
        </w:rPr>
        <w:t xml:space="preserve"> </w:t>
      </w:r>
      <w:r w:rsidRPr="00BC1ABD">
        <w:rPr>
          <w:rFonts w:cs="Arial"/>
          <w:sz w:val="24"/>
          <w:szCs w:val="24"/>
          <w:lang w:val="en-GB"/>
        </w:rPr>
        <w:t xml:space="preserve">less than 40% </w:t>
      </w:r>
      <w:r w:rsidR="00EA0E76">
        <w:rPr>
          <w:rFonts w:cs="Arial"/>
          <w:sz w:val="24"/>
          <w:szCs w:val="24"/>
          <w:lang w:val="en-GB"/>
        </w:rPr>
        <w:t xml:space="preserve">of </w:t>
      </w:r>
      <w:r w:rsidRPr="00BC1ABD">
        <w:rPr>
          <w:rFonts w:cs="Arial"/>
          <w:sz w:val="24"/>
          <w:szCs w:val="24"/>
          <w:lang w:val="en-GB"/>
        </w:rPr>
        <w:t xml:space="preserve">retail broadband </w:t>
      </w:r>
      <w:r w:rsidR="00EA0E76">
        <w:rPr>
          <w:rFonts w:cs="Arial"/>
          <w:sz w:val="24"/>
          <w:szCs w:val="24"/>
          <w:lang w:val="en-GB"/>
        </w:rPr>
        <w:t>users</w:t>
      </w:r>
      <w:r w:rsidRPr="00BC1ABD">
        <w:rPr>
          <w:rFonts w:cs="Arial"/>
          <w:sz w:val="24"/>
          <w:szCs w:val="24"/>
          <w:lang w:val="en-GB"/>
        </w:rPr>
        <w:t>, its incentives to obstruct wholesale access will be more limited and its incentive to negotiate commercial terms is likely to be greater.</w:t>
      </w:r>
      <w:r w:rsidRPr="00BC1ABD">
        <w:rPr>
          <w:lang w:val="en-GB"/>
        </w:rPr>
        <w:t xml:space="preserve"> </w:t>
      </w:r>
      <w:r w:rsidRPr="00BC1ABD">
        <w:rPr>
          <w:rFonts w:cs="Arial"/>
          <w:sz w:val="24"/>
          <w:szCs w:val="24"/>
          <w:lang w:val="en-GB"/>
        </w:rPr>
        <w:t xml:space="preserve">If Magticom has 50%, then there are many possible combinations which are not competitive, for example 50%-40%-10% shows that beyond Magticom and its nearest competitor, no other operator has been able to reach a substantial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which may lead to possible horizontal co-ordination restrictive effects between the two larger operators. A further example of 50%-30%-20% means that Magticom is almost twice the size of its nearest competitor. If Magticom has 40%, then the possible </w:t>
      </w:r>
      <w:r w:rsidR="00D835D8">
        <w:rPr>
          <w:rFonts w:cs="Arial"/>
          <w:sz w:val="24"/>
          <w:szCs w:val="24"/>
          <w:lang w:val="en-GB"/>
        </w:rPr>
        <w:t xml:space="preserve">distribution of shares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are much more competitive, for example both 40%-40%-20% and 40%-30%-30% show that the area is contestable.</w:t>
      </w:r>
    </w:p>
    <w:p w14:paraId="35098FB4" w14:textId="6C94BE33" w:rsidR="00A0244C" w:rsidRPr="00BC1ABD" w:rsidRDefault="00A0244C" w:rsidP="00A0244C">
      <w:pPr>
        <w:jc w:val="both"/>
        <w:rPr>
          <w:rFonts w:cs="Arial"/>
          <w:sz w:val="24"/>
          <w:szCs w:val="24"/>
          <w:lang w:val="en-GB"/>
        </w:rPr>
      </w:pPr>
      <w:r w:rsidRPr="00BC1ABD">
        <w:rPr>
          <w:rFonts w:cs="Arial"/>
          <w:sz w:val="24"/>
          <w:szCs w:val="24"/>
          <w:lang w:val="en-GB"/>
        </w:rPr>
        <w:t xml:space="preserve">In the case when another operator surpasses Magticom’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in retail fixed broadband access in any particular settlement, the other operator cannot necessarily dominate in the settlement in a way that forces Magticom to change its policy. Magticom has a strong national position</w:t>
      </w:r>
      <w:r w:rsidR="00D835D8">
        <w:rPr>
          <w:rFonts w:cs="Arial"/>
          <w:sz w:val="24"/>
          <w:szCs w:val="24"/>
          <w:lang w:val="en-GB"/>
        </w:rPr>
        <w:t xml:space="preserve"> and does not appear to differentiate its pricing </w:t>
      </w:r>
      <w:r w:rsidRPr="00BC1ABD">
        <w:rPr>
          <w:rFonts w:cs="Arial"/>
          <w:sz w:val="24"/>
          <w:szCs w:val="24"/>
          <w:lang w:val="en-GB"/>
        </w:rPr>
        <w:t xml:space="preserve">in settlements where it does not have the highest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w:t>
      </w:r>
    </w:p>
    <w:p w14:paraId="4ADAB18D" w14:textId="3DD83690" w:rsidR="00A0244C" w:rsidRPr="00BC1ABD" w:rsidRDefault="00A0244C" w:rsidP="00A0244C">
      <w:pPr>
        <w:jc w:val="both"/>
        <w:rPr>
          <w:rFonts w:cs="Arial"/>
          <w:sz w:val="24"/>
          <w:szCs w:val="24"/>
          <w:lang w:val="en-GB"/>
        </w:rPr>
      </w:pPr>
      <w:r w:rsidRPr="00BC1ABD">
        <w:rPr>
          <w:rFonts w:cs="Arial"/>
          <w:sz w:val="24"/>
          <w:szCs w:val="24"/>
          <w:lang w:val="en-GB"/>
        </w:rPr>
        <w:t xml:space="preserve">2)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00D835D8">
        <w:rPr>
          <w:rFonts w:cs="Arial"/>
          <w:sz w:val="24"/>
          <w:szCs w:val="24"/>
          <w:lang w:val="en-GB"/>
        </w:rPr>
        <w:t xml:space="preserve"> </w:t>
      </w:r>
      <w:r w:rsidRPr="00BC1ABD">
        <w:rPr>
          <w:rFonts w:cs="Arial"/>
          <w:sz w:val="24"/>
          <w:szCs w:val="24"/>
          <w:lang w:val="en-GB"/>
        </w:rPr>
        <w:t xml:space="preserve">of the second and third </w:t>
      </w:r>
      <w:r w:rsidR="00F026B4">
        <w:rPr>
          <w:rFonts w:cs="Arial"/>
          <w:sz w:val="24"/>
          <w:szCs w:val="24"/>
          <w:lang w:val="en-GB"/>
        </w:rPr>
        <w:t>FTTx</w:t>
      </w:r>
      <w:r w:rsidRPr="00BC1ABD">
        <w:rPr>
          <w:rFonts w:cs="Arial"/>
          <w:sz w:val="24"/>
          <w:szCs w:val="24"/>
          <w:lang w:val="en-GB"/>
        </w:rPr>
        <w:t xml:space="preserve"> operators</w:t>
      </w:r>
    </w:p>
    <w:p w14:paraId="42DA3ACD" w14:textId="2A3A6302"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In those settlements where a second and a third operator (other than Magticom) has each been able to achieve a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in that settlement of at least 10%</w:t>
      </w:r>
      <w:r w:rsidR="00774D26">
        <w:rPr>
          <w:rStyle w:val="FootnoteReference"/>
          <w:rFonts w:cs="Arial"/>
          <w:sz w:val="24"/>
          <w:szCs w:val="24"/>
          <w:lang w:val="en-GB"/>
        </w:rPr>
        <w:footnoteReference w:id="98"/>
      </w:r>
      <w:r w:rsidRPr="00BC1ABD">
        <w:rPr>
          <w:rFonts w:cs="Arial"/>
          <w:sz w:val="24"/>
          <w:szCs w:val="24"/>
          <w:lang w:val="en-GB"/>
        </w:rPr>
        <w:t xml:space="preserve"> (reflecting a network coverage of more than say 20% of the premises within the settlement) and Magticom</w:t>
      </w:r>
      <w:r w:rsidR="00D835D8">
        <w:rPr>
          <w:rFonts w:cs="Arial"/>
          <w:sz w:val="24"/>
          <w:szCs w:val="24"/>
          <w:lang w:val="en-GB"/>
        </w:rPr>
        <w:t xml:space="preserve">’s 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in that settlement is not higher than 40%, it is considered that there is a reasonable opportunity for the second and third operators to contest that settlement by further deploying its network, </w:t>
      </w:r>
      <w:r w:rsidR="009F0ACF" w:rsidRPr="00BC1ABD">
        <w:rPr>
          <w:rFonts w:cs="Arial"/>
          <w:sz w:val="24"/>
          <w:szCs w:val="24"/>
          <w:lang w:val="en-GB"/>
        </w:rPr>
        <w:t>even in the absence of the full set of regulatory obligations</w:t>
      </w:r>
      <w:r w:rsidRPr="00BC1ABD">
        <w:rPr>
          <w:rFonts w:cs="Arial"/>
          <w:sz w:val="24"/>
          <w:szCs w:val="24"/>
          <w:lang w:val="en-GB"/>
        </w:rPr>
        <w:t>.</w:t>
      </w:r>
    </w:p>
    <w:p w14:paraId="490E9660" w14:textId="3BBB0FED" w:rsidR="00A0244C" w:rsidRPr="00BC1ABD" w:rsidRDefault="00A0244C" w:rsidP="00A0244C">
      <w:pPr>
        <w:jc w:val="both"/>
        <w:rPr>
          <w:rFonts w:cs="Arial"/>
          <w:sz w:val="24"/>
          <w:szCs w:val="24"/>
          <w:lang w:val="en-GB"/>
        </w:rPr>
      </w:pPr>
      <w:r w:rsidRPr="00BC1ABD">
        <w:rPr>
          <w:rFonts w:cs="Arial"/>
          <w:sz w:val="24"/>
          <w:szCs w:val="24"/>
          <w:lang w:val="en-GB"/>
        </w:rPr>
        <w:t xml:space="preserve">Removing all regulatory obligations when these criteria are fulfilled could stifle investment by rival operators if the SMP operator has a substantial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00D835D8">
        <w:rPr>
          <w:rFonts w:cs="Arial"/>
          <w:sz w:val="24"/>
          <w:szCs w:val="24"/>
          <w:lang w:val="en-GB"/>
        </w:rPr>
        <w:t xml:space="preserve"> </w:t>
      </w:r>
      <w:r w:rsidRPr="00BC1ABD">
        <w:rPr>
          <w:rFonts w:cs="Arial"/>
          <w:sz w:val="24"/>
          <w:szCs w:val="24"/>
          <w:lang w:val="en-GB"/>
        </w:rPr>
        <w:t>in the settlement, given that its presence may also act as an inhibitor of investments in the deployment of further competitive network(s).</w:t>
      </w:r>
    </w:p>
    <w:p w14:paraId="4FABBACA" w14:textId="4BBB99F7" w:rsidR="00A0244C" w:rsidRPr="00BC1ABD" w:rsidRDefault="00A0244C" w:rsidP="00A0244C">
      <w:pPr>
        <w:jc w:val="both"/>
        <w:rPr>
          <w:rFonts w:cs="Arial"/>
          <w:sz w:val="24"/>
          <w:szCs w:val="24"/>
          <w:lang w:val="en-GB"/>
        </w:rPr>
      </w:pPr>
      <w:r w:rsidRPr="00BC1ABD">
        <w:rPr>
          <w:rFonts w:cs="Arial"/>
          <w:sz w:val="24"/>
          <w:szCs w:val="24"/>
          <w:lang w:val="en-GB"/>
        </w:rPr>
        <w:t xml:space="preserve">If the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of the second and third operators is at least 10% for each operator then the area can be considered contestable to a certain extent. A smaller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Pr="00BC1ABD">
        <w:rPr>
          <w:rFonts w:cs="Arial"/>
          <w:sz w:val="24"/>
          <w:szCs w:val="24"/>
          <w:lang w:val="en-GB"/>
        </w:rPr>
        <w:t xml:space="preserve"> (below 10%) suggests that the area is unlikely to be contestable, within the forward-looking time horizon of this analysis.</w:t>
      </w:r>
    </w:p>
    <w:p w14:paraId="0A29B007" w14:textId="1EF0C693" w:rsidR="00A0244C" w:rsidRPr="00BC1ABD" w:rsidRDefault="00A0244C" w:rsidP="00A0244C">
      <w:pPr>
        <w:jc w:val="both"/>
        <w:rPr>
          <w:rFonts w:cs="Arial"/>
          <w:sz w:val="24"/>
          <w:szCs w:val="24"/>
          <w:lang w:val="en-GB"/>
        </w:rPr>
      </w:pPr>
      <w:r w:rsidRPr="00BC1ABD">
        <w:rPr>
          <w:rFonts w:cs="Arial"/>
          <w:sz w:val="24"/>
          <w:szCs w:val="24"/>
          <w:lang w:val="en-GB"/>
        </w:rPr>
        <w:t xml:space="preserve">A </w:t>
      </w:r>
      <w:r w:rsidR="00D835D8">
        <w:rPr>
          <w:rFonts w:cs="Arial"/>
          <w:sz w:val="24"/>
          <w:szCs w:val="24"/>
          <w:lang w:val="en-GB"/>
        </w:rPr>
        <w:t xml:space="preserve">share of </w:t>
      </w:r>
      <w:r w:rsidR="00F026B4">
        <w:rPr>
          <w:rFonts w:cs="Arial"/>
          <w:sz w:val="24"/>
          <w:szCs w:val="24"/>
          <w:lang w:val="en-GB"/>
        </w:rPr>
        <w:t>FTTx</w:t>
      </w:r>
      <w:r w:rsidR="00D835D8" w:rsidRPr="00BC1ABD">
        <w:rPr>
          <w:rFonts w:cs="Arial"/>
          <w:sz w:val="24"/>
          <w:szCs w:val="24"/>
          <w:lang w:val="en-GB"/>
        </w:rPr>
        <w:t xml:space="preserve"> broadband access subscribers</w:t>
      </w:r>
      <w:r w:rsidR="00D835D8">
        <w:rPr>
          <w:rFonts w:cs="Arial"/>
          <w:sz w:val="24"/>
          <w:szCs w:val="24"/>
          <w:lang w:val="en-GB"/>
        </w:rPr>
        <w:t xml:space="preserve"> </w:t>
      </w:r>
      <w:r w:rsidRPr="00BC1ABD">
        <w:rPr>
          <w:rFonts w:cs="Arial"/>
          <w:sz w:val="24"/>
          <w:szCs w:val="24"/>
          <w:lang w:val="en-GB"/>
        </w:rPr>
        <w:t xml:space="preserve">below 10% for a third operator would mean that it does not have a sufficient impact on the market in a settlement. Setting the threshold </w:t>
      </w:r>
      <w:r w:rsidR="00D835D8">
        <w:rPr>
          <w:rFonts w:cs="Arial"/>
          <w:sz w:val="24"/>
          <w:szCs w:val="24"/>
          <w:lang w:val="en-GB"/>
        </w:rPr>
        <w:t xml:space="preserve">in terms of share of </w:t>
      </w:r>
      <w:r w:rsidR="00F026B4">
        <w:rPr>
          <w:rFonts w:cs="Arial"/>
          <w:sz w:val="24"/>
          <w:szCs w:val="24"/>
          <w:lang w:val="en-GB"/>
        </w:rPr>
        <w:t>FTTx</w:t>
      </w:r>
      <w:r w:rsidR="00D835D8" w:rsidRPr="00BC1ABD">
        <w:rPr>
          <w:rFonts w:cs="Arial"/>
          <w:sz w:val="24"/>
          <w:szCs w:val="24"/>
          <w:lang w:val="en-GB"/>
        </w:rPr>
        <w:t xml:space="preserve"> broadband access subscribers</w:t>
      </w:r>
      <w:r w:rsidR="00D835D8">
        <w:rPr>
          <w:rFonts w:cs="Arial"/>
          <w:sz w:val="24"/>
          <w:szCs w:val="24"/>
          <w:lang w:val="en-GB"/>
        </w:rPr>
        <w:t xml:space="preserve"> </w:t>
      </w:r>
      <w:r w:rsidRPr="00BC1ABD">
        <w:rPr>
          <w:rFonts w:cs="Arial"/>
          <w:sz w:val="24"/>
          <w:szCs w:val="24"/>
          <w:lang w:val="en-GB"/>
        </w:rPr>
        <w:t>higher (for example at 15%) will not substantially change the market conditions but it would narrow the number potentially contestable settlements.</w:t>
      </w:r>
    </w:p>
    <w:p w14:paraId="0A882961" w14:textId="0EA9061E" w:rsidR="00A0244C" w:rsidRPr="00BC1ABD" w:rsidRDefault="00A0244C" w:rsidP="00A0244C">
      <w:pPr>
        <w:contextualSpacing/>
        <w:jc w:val="both"/>
        <w:rPr>
          <w:rFonts w:cs="Arial"/>
          <w:sz w:val="24"/>
          <w:szCs w:val="24"/>
          <w:lang w:val="en-GB"/>
        </w:rPr>
      </w:pPr>
      <w:r w:rsidRPr="00BC1ABD">
        <w:rPr>
          <w:rFonts w:cs="Arial"/>
          <w:sz w:val="24"/>
          <w:szCs w:val="24"/>
          <w:lang w:val="en-GB"/>
        </w:rPr>
        <w:t>Therefore, the following three main criteria will need to be cumulatively met in order to consider a particular settlement as likely to be contestable. If all three of these main criteria are not cumulatively met, then the settlement will be considered as lacking evidence of contestability in the absence of proportionate regulatory measures being applied to Magticom:</w:t>
      </w:r>
    </w:p>
    <w:p w14:paraId="24A8368C" w14:textId="68A9AE7D" w:rsidR="00A0244C" w:rsidRPr="00E31C04" w:rsidRDefault="00A0244C" w:rsidP="00E31C04">
      <w:pPr>
        <w:pStyle w:val="ListParagraph"/>
        <w:numPr>
          <w:ilvl w:val="0"/>
          <w:numId w:val="104"/>
        </w:numPr>
        <w:jc w:val="both"/>
        <w:rPr>
          <w:rFonts w:cs="Arial"/>
          <w:sz w:val="24"/>
          <w:szCs w:val="24"/>
          <w:lang w:val="en-GB"/>
        </w:rPr>
      </w:pPr>
      <w:r w:rsidRPr="00E31C04">
        <w:rPr>
          <w:rFonts w:cs="Arial"/>
          <w:sz w:val="24"/>
          <w:szCs w:val="24"/>
          <w:lang w:val="en-GB"/>
        </w:rPr>
        <w:t xml:space="preserve">The presence in the relevant settlement of 3 or more active </w:t>
      </w:r>
      <w:r w:rsidR="00F026B4">
        <w:rPr>
          <w:rFonts w:cs="Arial"/>
          <w:sz w:val="24"/>
          <w:szCs w:val="24"/>
          <w:lang w:val="en-GB"/>
        </w:rPr>
        <w:t>FTTx</w:t>
      </w:r>
      <w:r w:rsidRPr="00E31C04">
        <w:rPr>
          <w:rFonts w:cs="Arial"/>
          <w:sz w:val="24"/>
          <w:szCs w:val="24"/>
          <w:lang w:val="en-GB"/>
        </w:rPr>
        <w:t xml:space="preserve"> network operators</w:t>
      </w:r>
    </w:p>
    <w:p w14:paraId="64415733" w14:textId="03EC1A20" w:rsidR="00A0244C" w:rsidRPr="00E31C04" w:rsidRDefault="00A0244C" w:rsidP="00E31C04">
      <w:pPr>
        <w:pStyle w:val="ListParagraph"/>
        <w:numPr>
          <w:ilvl w:val="0"/>
          <w:numId w:val="104"/>
        </w:numPr>
        <w:jc w:val="both"/>
        <w:rPr>
          <w:rFonts w:cs="Arial"/>
          <w:sz w:val="24"/>
          <w:szCs w:val="24"/>
          <w:lang w:val="en-GB"/>
        </w:rPr>
      </w:pPr>
      <w:r w:rsidRPr="00E31C04">
        <w:rPr>
          <w:rFonts w:cs="Arial"/>
          <w:sz w:val="24"/>
          <w:szCs w:val="24"/>
          <w:lang w:val="en-GB"/>
        </w:rPr>
        <w:t>Magticom</w:t>
      </w:r>
      <w:r w:rsidR="009B5544" w:rsidRPr="00E31C04">
        <w:rPr>
          <w:rFonts w:cs="Arial"/>
          <w:sz w:val="24"/>
          <w:szCs w:val="24"/>
          <w:lang w:val="en-GB"/>
        </w:rPr>
        <w:t xml:space="preserve">’s share of </w:t>
      </w:r>
      <w:r w:rsidR="00F026B4">
        <w:rPr>
          <w:rFonts w:cs="Arial"/>
          <w:sz w:val="24"/>
          <w:szCs w:val="24"/>
          <w:lang w:val="en-GB"/>
        </w:rPr>
        <w:t>FTTx</w:t>
      </w:r>
      <w:r w:rsidR="009B5544" w:rsidRPr="00E31C04">
        <w:rPr>
          <w:rFonts w:cs="Arial"/>
          <w:sz w:val="24"/>
          <w:szCs w:val="24"/>
          <w:lang w:val="en-GB"/>
        </w:rPr>
        <w:t xml:space="preserve"> broadband access subscribers is </w:t>
      </w:r>
      <w:r w:rsidRPr="00E31C04">
        <w:rPr>
          <w:rFonts w:cs="Arial"/>
          <w:sz w:val="24"/>
          <w:szCs w:val="24"/>
          <w:lang w:val="en-GB"/>
        </w:rPr>
        <w:t xml:space="preserve">less than 40% based on fixed broadband access </w:t>
      </w:r>
      <w:r w:rsidR="00F026B4">
        <w:rPr>
          <w:rFonts w:cs="Arial"/>
          <w:sz w:val="24"/>
          <w:szCs w:val="24"/>
          <w:lang w:val="en-GB"/>
        </w:rPr>
        <w:t>FTTx</w:t>
      </w:r>
      <w:r w:rsidRPr="00E31C04">
        <w:rPr>
          <w:rFonts w:cs="Arial"/>
          <w:sz w:val="24"/>
          <w:szCs w:val="24"/>
          <w:lang w:val="en-GB"/>
        </w:rPr>
        <w:t xml:space="preserve"> subscribers</w:t>
      </w:r>
    </w:p>
    <w:p w14:paraId="5A80F48B" w14:textId="2586069D" w:rsidR="00A0244C" w:rsidRPr="00E31C04" w:rsidRDefault="00A0244C" w:rsidP="00E31C04">
      <w:pPr>
        <w:pStyle w:val="ListParagraph"/>
        <w:numPr>
          <w:ilvl w:val="0"/>
          <w:numId w:val="104"/>
        </w:numPr>
        <w:jc w:val="both"/>
        <w:rPr>
          <w:rFonts w:cs="Arial"/>
          <w:sz w:val="24"/>
          <w:szCs w:val="24"/>
          <w:lang w:val="en-GB"/>
        </w:rPr>
      </w:pPr>
      <w:r w:rsidRPr="00E31C04">
        <w:rPr>
          <w:rFonts w:cs="Arial"/>
          <w:sz w:val="24"/>
          <w:szCs w:val="24"/>
          <w:lang w:val="en-GB"/>
        </w:rPr>
        <w:t xml:space="preserve">The second and third operators (in terms of their </w:t>
      </w:r>
      <w:r w:rsidR="009B5544" w:rsidRPr="00E31C04">
        <w:rPr>
          <w:rFonts w:cs="Arial"/>
          <w:sz w:val="24"/>
          <w:szCs w:val="24"/>
          <w:lang w:val="en-GB"/>
        </w:rPr>
        <w:t xml:space="preserve">share of </w:t>
      </w:r>
      <w:r w:rsidR="00F026B4">
        <w:rPr>
          <w:rFonts w:cs="Arial"/>
          <w:sz w:val="24"/>
          <w:szCs w:val="24"/>
          <w:lang w:val="en-GB"/>
        </w:rPr>
        <w:t>FTTx</w:t>
      </w:r>
      <w:r w:rsidR="009B5544" w:rsidRPr="00E31C04">
        <w:rPr>
          <w:rFonts w:cs="Arial"/>
          <w:sz w:val="24"/>
          <w:szCs w:val="24"/>
          <w:lang w:val="en-GB"/>
        </w:rPr>
        <w:t xml:space="preserve"> broadband access subscribers</w:t>
      </w:r>
      <w:r w:rsidRPr="00E31C04">
        <w:rPr>
          <w:rFonts w:cs="Arial"/>
          <w:sz w:val="24"/>
          <w:szCs w:val="24"/>
          <w:lang w:val="en-GB"/>
        </w:rPr>
        <w:t xml:space="preserve">) both possess at least 10% </w:t>
      </w:r>
      <w:r w:rsidR="0005187E" w:rsidRPr="00E31C04">
        <w:rPr>
          <w:rFonts w:cs="Arial"/>
          <w:sz w:val="24"/>
          <w:szCs w:val="24"/>
          <w:lang w:val="en-GB"/>
        </w:rPr>
        <w:t xml:space="preserve">share of </w:t>
      </w:r>
      <w:r w:rsidR="00F026B4">
        <w:rPr>
          <w:rFonts w:cs="Arial"/>
          <w:sz w:val="24"/>
          <w:szCs w:val="24"/>
          <w:lang w:val="en-GB"/>
        </w:rPr>
        <w:t>FTTx</w:t>
      </w:r>
      <w:r w:rsidR="0005187E" w:rsidRPr="00E31C04">
        <w:rPr>
          <w:rFonts w:cs="Arial"/>
          <w:sz w:val="24"/>
          <w:szCs w:val="24"/>
          <w:lang w:val="en-GB"/>
        </w:rPr>
        <w:t xml:space="preserve"> broadband access subscribers</w:t>
      </w:r>
      <w:r w:rsidR="00321048">
        <w:rPr>
          <w:rFonts w:cs="Arial"/>
          <w:sz w:val="24"/>
          <w:szCs w:val="24"/>
          <w:lang w:val="en-GB"/>
        </w:rPr>
        <w:t xml:space="preserve"> </w:t>
      </w:r>
      <w:r w:rsidR="00F026B4">
        <w:rPr>
          <w:rFonts w:cs="Arial"/>
          <w:sz w:val="24"/>
          <w:szCs w:val="24"/>
          <w:lang w:val="en-GB"/>
        </w:rPr>
        <w:t>FTTx</w:t>
      </w:r>
      <w:r w:rsidRPr="00E31C04">
        <w:rPr>
          <w:rFonts w:cs="Arial"/>
          <w:sz w:val="24"/>
          <w:szCs w:val="24"/>
          <w:lang w:val="en-GB"/>
        </w:rPr>
        <w:t xml:space="preserve">. The </w:t>
      </w:r>
      <w:r w:rsidR="0005187E" w:rsidRPr="00E31C04">
        <w:rPr>
          <w:rFonts w:cs="Arial"/>
          <w:sz w:val="24"/>
          <w:szCs w:val="24"/>
          <w:lang w:val="en-GB"/>
        </w:rPr>
        <w:t xml:space="preserve">share of </w:t>
      </w:r>
      <w:r w:rsidR="00F026B4">
        <w:rPr>
          <w:rFonts w:cs="Arial"/>
          <w:sz w:val="24"/>
          <w:szCs w:val="24"/>
          <w:lang w:val="en-GB"/>
        </w:rPr>
        <w:t>FTTx</w:t>
      </w:r>
      <w:r w:rsidR="0005187E" w:rsidRPr="00E31C04">
        <w:rPr>
          <w:rFonts w:cs="Arial"/>
          <w:sz w:val="24"/>
          <w:szCs w:val="24"/>
          <w:lang w:val="en-GB"/>
        </w:rPr>
        <w:t xml:space="preserve"> broadband access subscribers </w:t>
      </w:r>
      <w:r w:rsidRPr="00E31C04">
        <w:rPr>
          <w:rFonts w:cs="Arial"/>
          <w:sz w:val="24"/>
          <w:szCs w:val="24"/>
          <w:lang w:val="en-GB"/>
        </w:rPr>
        <w:t>is also considered relevant to be used as a proxy for the network coverage achieved by the second and third operators.</w:t>
      </w:r>
    </w:p>
    <w:p w14:paraId="203256AF" w14:textId="49F9EDCE" w:rsidR="00A0244C" w:rsidRPr="00BC1ABD" w:rsidRDefault="00A0244C" w:rsidP="00A0244C">
      <w:pPr>
        <w:adjustRightInd w:val="0"/>
        <w:spacing w:after="240"/>
        <w:jc w:val="both"/>
        <w:rPr>
          <w:rFonts w:cs="Arial"/>
          <w:bCs/>
          <w:sz w:val="24"/>
          <w:szCs w:val="24"/>
          <w:lang w:val="en-GB"/>
        </w:rPr>
      </w:pPr>
      <w:r w:rsidRPr="00BC1ABD">
        <w:rPr>
          <w:rFonts w:cs="Arial"/>
          <w:bCs/>
          <w:sz w:val="24"/>
          <w:szCs w:val="24"/>
          <w:lang w:val="en-GB"/>
        </w:rPr>
        <w:t>In addit</w:t>
      </w:r>
      <w:r w:rsidR="009B4BCD">
        <w:rPr>
          <w:rFonts w:cs="Arial"/>
          <w:bCs/>
          <w:sz w:val="24"/>
          <w:szCs w:val="24"/>
          <w:lang w:val="en-GB"/>
        </w:rPr>
        <w:t>i</w:t>
      </w:r>
      <w:r w:rsidRPr="00BC1ABD">
        <w:rPr>
          <w:rFonts w:cs="Arial"/>
          <w:bCs/>
          <w:sz w:val="24"/>
          <w:szCs w:val="24"/>
          <w:lang w:val="en-GB"/>
        </w:rPr>
        <w:t>on, the following additional criteria will be used in the geographical segmentation.</w:t>
      </w:r>
    </w:p>
    <w:p w14:paraId="4634376A" w14:textId="77777777" w:rsidR="00A0244C" w:rsidRPr="00BC1ABD" w:rsidRDefault="00A0244C" w:rsidP="00A0244C">
      <w:pPr>
        <w:numPr>
          <w:ilvl w:val="0"/>
          <w:numId w:val="33"/>
        </w:numPr>
        <w:contextualSpacing/>
        <w:rPr>
          <w:rFonts w:cs="Arial"/>
          <w:bCs/>
          <w:sz w:val="24"/>
          <w:szCs w:val="24"/>
          <w:lang w:val="en-GB"/>
        </w:rPr>
      </w:pPr>
      <w:r w:rsidRPr="00BC1ABD">
        <w:rPr>
          <w:rFonts w:cs="Arial"/>
          <w:bCs/>
          <w:sz w:val="24"/>
          <w:szCs w:val="24"/>
          <w:lang w:val="en-GB"/>
        </w:rPr>
        <w:t>The size of settlements based on population</w:t>
      </w:r>
    </w:p>
    <w:p w14:paraId="5C3EAE0E" w14:textId="29EDFC8E" w:rsidR="00A0244C" w:rsidRPr="00BC1ABD" w:rsidRDefault="00A0244C" w:rsidP="0005187E">
      <w:pPr>
        <w:numPr>
          <w:ilvl w:val="0"/>
          <w:numId w:val="33"/>
        </w:numPr>
        <w:contextualSpacing/>
        <w:rPr>
          <w:rFonts w:cs="Arial"/>
          <w:bCs/>
          <w:sz w:val="24"/>
          <w:szCs w:val="24"/>
          <w:lang w:val="en-GB"/>
        </w:rPr>
      </w:pPr>
      <w:r w:rsidRPr="00BC1ABD">
        <w:rPr>
          <w:rFonts w:cs="Arial"/>
          <w:bCs/>
          <w:sz w:val="24"/>
          <w:szCs w:val="24"/>
          <w:lang w:val="en-GB"/>
        </w:rPr>
        <w:t xml:space="preserve">Trends in </w:t>
      </w:r>
      <w:r w:rsidR="0005187E">
        <w:rPr>
          <w:rFonts w:cs="Arial"/>
          <w:bCs/>
          <w:sz w:val="24"/>
          <w:szCs w:val="24"/>
          <w:lang w:val="en-GB"/>
        </w:rPr>
        <w:t xml:space="preserve">the respective </w:t>
      </w:r>
      <w:r w:rsidR="0005187E" w:rsidRPr="0005187E">
        <w:rPr>
          <w:rFonts w:cs="Arial"/>
          <w:bCs/>
          <w:sz w:val="24"/>
          <w:szCs w:val="24"/>
          <w:lang w:val="en-GB"/>
        </w:rPr>
        <w:t>share</w:t>
      </w:r>
      <w:r w:rsidR="0005187E">
        <w:rPr>
          <w:rFonts w:cs="Arial"/>
          <w:bCs/>
          <w:sz w:val="24"/>
          <w:szCs w:val="24"/>
          <w:lang w:val="en-GB"/>
        </w:rPr>
        <w:t>s</w:t>
      </w:r>
      <w:r w:rsidR="0005187E" w:rsidRPr="0005187E">
        <w:rPr>
          <w:rFonts w:cs="Arial"/>
          <w:bCs/>
          <w:sz w:val="24"/>
          <w:szCs w:val="24"/>
          <w:lang w:val="en-GB"/>
        </w:rPr>
        <w:t xml:space="preserve"> of </w:t>
      </w:r>
      <w:r w:rsidR="00F026B4">
        <w:rPr>
          <w:rFonts w:cs="Arial"/>
          <w:bCs/>
          <w:sz w:val="24"/>
          <w:szCs w:val="24"/>
          <w:lang w:val="en-GB"/>
        </w:rPr>
        <w:t>FTTx</w:t>
      </w:r>
      <w:r w:rsidR="0005187E" w:rsidRPr="0005187E">
        <w:rPr>
          <w:rFonts w:cs="Arial"/>
          <w:bCs/>
          <w:sz w:val="24"/>
          <w:szCs w:val="24"/>
          <w:lang w:val="en-GB"/>
        </w:rPr>
        <w:t xml:space="preserve"> broadband access subscribers</w:t>
      </w:r>
    </w:p>
    <w:p w14:paraId="6BA8330A" w14:textId="77777777" w:rsidR="00A0244C" w:rsidRPr="00BC1ABD" w:rsidRDefault="00A0244C" w:rsidP="00A0244C">
      <w:pPr>
        <w:numPr>
          <w:ilvl w:val="0"/>
          <w:numId w:val="33"/>
        </w:numPr>
        <w:contextualSpacing/>
        <w:rPr>
          <w:rFonts w:cs="Arial"/>
          <w:bCs/>
          <w:sz w:val="24"/>
          <w:szCs w:val="24"/>
          <w:lang w:val="en-GB"/>
        </w:rPr>
      </w:pPr>
      <w:r w:rsidRPr="00BC1ABD">
        <w:rPr>
          <w:rFonts w:cs="Arial"/>
          <w:bCs/>
          <w:sz w:val="24"/>
          <w:szCs w:val="24"/>
          <w:lang w:val="en-GB"/>
        </w:rPr>
        <w:t>The coverage of networks based on premises passed</w:t>
      </w:r>
    </w:p>
    <w:p w14:paraId="2EBAEC50" w14:textId="77777777" w:rsidR="00A0244C" w:rsidRPr="00BC1ABD" w:rsidRDefault="00A0244C" w:rsidP="00A0244C">
      <w:pPr>
        <w:ind w:left="720"/>
        <w:contextualSpacing/>
        <w:rPr>
          <w:rFonts w:cs="Arial"/>
          <w:bCs/>
          <w:sz w:val="24"/>
          <w:szCs w:val="24"/>
          <w:lang w:val="en-GB"/>
        </w:rPr>
      </w:pPr>
    </w:p>
    <w:p w14:paraId="54087F45" w14:textId="77777777" w:rsidR="00A0244C" w:rsidRPr="00BC1ABD" w:rsidRDefault="00A0244C" w:rsidP="00A0244C">
      <w:pPr>
        <w:jc w:val="both"/>
        <w:rPr>
          <w:rFonts w:cs="Arial"/>
          <w:sz w:val="24"/>
          <w:szCs w:val="24"/>
          <w:lang w:val="en-GB"/>
        </w:rPr>
      </w:pPr>
      <w:r w:rsidRPr="00BC1ABD">
        <w:rPr>
          <w:rFonts w:cs="Arial"/>
          <w:sz w:val="24"/>
          <w:szCs w:val="24"/>
          <w:lang w:val="en-GB"/>
        </w:rPr>
        <w:t>a) The size of the settlement</w:t>
      </w:r>
    </w:p>
    <w:p w14:paraId="65075B79" w14:textId="78D241B2" w:rsidR="00A0244C" w:rsidRPr="00BC1ABD" w:rsidRDefault="00A0244C" w:rsidP="00A0244C">
      <w:pPr>
        <w:jc w:val="both"/>
        <w:rPr>
          <w:rFonts w:cs="Arial"/>
          <w:sz w:val="24"/>
          <w:szCs w:val="24"/>
          <w:lang w:val="en-GB"/>
        </w:rPr>
      </w:pPr>
      <w:r w:rsidRPr="00BC1ABD">
        <w:rPr>
          <w:rFonts w:cs="Arial"/>
          <w:sz w:val="24"/>
          <w:szCs w:val="24"/>
          <w:lang w:val="en-GB"/>
        </w:rPr>
        <w:t xml:space="preserve">The reasoning based on applying the main cumulative criteria above should additionally be checked prior to considering settlements of more than 100,000 inhabitants (there are four settlements of this size in Georgia). Larger settlements cannot be covered from one </w:t>
      </w:r>
      <w:r w:rsidR="00F026B4">
        <w:rPr>
          <w:rFonts w:cs="Arial"/>
          <w:sz w:val="24"/>
          <w:szCs w:val="24"/>
          <w:lang w:val="en-GB"/>
        </w:rPr>
        <w:t>FTTx</w:t>
      </w:r>
      <w:r w:rsidRPr="00BC1ABD">
        <w:rPr>
          <w:rFonts w:cs="Arial"/>
          <w:sz w:val="24"/>
          <w:szCs w:val="24"/>
          <w:lang w:val="en-GB"/>
        </w:rPr>
        <w:t xml:space="preserve"> optical distribution frame. Some smaller network operators may only be present in parts of these cities, for example in the city centre. To cover the whole of a city with </w:t>
      </w:r>
      <w:r w:rsidR="00F026B4">
        <w:rPr>
          <w:rFonts w:cs="Arial"/>
          <w:sz w:val="24"/>
          <w:szCs w:val="24"/>
          <w:lang w:val="en-GB"/>
        </w:rPr>
        <w:t>FTTx</w:t>
      </w:r>
      <w:r w:rsidRPr="00BC1ABD">
        <w:rPr>
          <w:rFonts w:cs="Arial"/>
          <w:sz w:val="24"/>
          <w:szCs w:val="24"/>
          <w:lang w:val="en-GB"/>
        </w:rPr>
        <w:t xml:space="preserve"> would require significant additional investments. If the SMP operator was not regulated, investment options on the ladder of investment could be lost for smaller operators wishing to expand their subscriber base in the remaining areas of the city. In smaller settlements, this is unlikely to be the case, since distances are shorter and the majority of premises in a settlement can be covered from one </w:t>
      </w:r>
      <w:r w:rsidR="00F026B4">
        <w:rPr>
          <w:rFonts w:cs="Arial"/>
          <w:sz w:val="24"/>
          <w:szCs w:val="24"/>
          <w:lang w:val="en-GB"/>
        </w:rPr>
        <w:t>FTTx</w:t>
      </w:r>
      <w:r w:rsidRPr="00BC1ABD">
        <w:rPr>
          <w:rFonts w:cs="Arial"/>
          <w:sz w:val="24"/>
          <w:szCs w:val="24"/>
          <w:lang w:val="en-GB"/>
        </w:rPr>
        <w:t xml:space="preserve"> optical distribution frame.</w:t>
      </w:r>
    </w:p>
    <w:p w14:paraId="664D0FE4" w14:textId="2CFDF345" w:rsidR="00A0244C" w:rsidRPr="00BC1ABD" w:rsidRDefault="00A0244C" w:rsidP="00A0244C">
      <w:pPr>
        <w:jc w:val="both"/>
        <w:rPr>
          <w:rFonts w:cs="Arial"/>
          <w:sz w:val="24"/>
          <w:szCs w:val="24"/>
          <w:lang w:val="en-GB"/>
        </w:rPr>
      </w:pPr>
      <w:r w:rsidRPr="00BC1ABD">
        <w:rPr>
          <w:rFonts w:cs="Arial"/>
          <w:sz w:val="24"/>
          <w:szCs w:val="24"/>
          <w:lang w:val="en-GB"/>
        </w:rPr>
        <w:t xml:space="preserve">Another aspect is the distribution of subscribers within the largest settlements. A 10%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195B2F">
        <w:rPr>
          <w:rFonts w:cs="Arial"/>
          <w:sz w:val="24"/>
          <w:szCs w:val="24"/>
          <w:lang w:val="en-GB"/>
        </w:rPr>
        <w:t xml:space="preserve"> </w:t>
      </w:r>
      <w:r w:rsidRPr="00BC1ABD">
        <w:rPr>
          <w:rFonts w:cs="Arial"/>
          <w:sz w:val="24"/>
          <w:szCs w:val="24"/>
          <w:lang w:val="en-GB"/>
        </w:rPr>
        <w:t>could be achieved even in the case where the operator is present only in part of the city, for example in a suburban part. In the EU, regulators generally have access to reliable infrastructure data giving network termination points in all premises. With this data it is possible to assess competition conditions in each geographical area. Reliable and comprehensive infrastructure data is not available in Georgia</w:t>
      </w:r>
      <w:r w:rsidRPr="00A81276">
        <w:rPr>
          <w:sz w:val="24"/>
          <w:lang w:val="en-GB"/>
        </w:rPr>
        <w:t>. Settlements are not conveniently in homogeneous groups.</w:t>
      </w:r>
      <w:r w:rsidRPr="00A81276">
        <w:rPr>
          <w:rFonts w:cs="Arial"/>
          <w:sz w:val="24"/>
          <w:szCs w:val="24"/>
          <w:lang w:val="en-GB"/>
        </w:rPr>
        <w:t xml:space="preserve"> Tbilisi</w:t>
      </w:r>
      <w:r w:rsidRPr="00BC1ABD">
        <w:rPr>
          <w:rFonts w:cs="Arial"/>
          <w:sz w:val="24"/>
          <w:szCs w:val="24"/>
          <w:lang w:val="en-GB"/>
        </w:rPr>
        <w:t xml:space="preserve"> has a population over 1 million and there are other settlements without any inhabitants. In the four settlements with over 100,000 </w:t>
      </w:r>
      <w:r w:rsidR="00E31C04" w:rsidRPr="00BC1ABD">
        <w:rPr>
          <w:rFonts w:cs="Arial"/>
          <w:sz w:val="24"/>
          <w:szCs w:val="24"/>
          <w:lang w:val="en-GB"/>
        </w:rPr>
        <w:t>population,</w:t>
      </w:r>
      <w:r w:rsidRPr="00BC1ABD">
        <w:rPr>
          <w:rFonts w:cs="Arial"/>
          <w:sz w:val="24"/>
          <w:szCs w:val="24"/>
          <w:lang w:val="en-GB"/>
        </w:rPr>
        <w:t xml:space="preserve"> it is unlikely that operators are evenly distributed. Each </w:t>
      </w:r>
      <w:r w:rsidR="00F026B4">
        <w:rPr>
          <w:rFonts w:cs="Arial"/>
          <w:sz w:val="24"/>
          <w:szCs w:val="24"/>
          <w:lang w:val="en-GB"/>
        </w:rPr>
        <w:t>FTTx</w:t>
      </w:r>
      <w:r w:rsidRPr="00BC1ABD">
        <w:rPr>
          <w:rFonts w:cs="Arial"/>
          <w:sz w:val="24"/>
          <w:szCs w:val="24"/>
          <w:lang w:val="en-GB"/>
        </w:rPr>
        <w:t xml:space="preserve"> operator will have different coverage characteristics in each city.</w:t>
      </w:r>
    </w:p>
    <w:p w14:paraId="35677CFD" w14:textId="77777777" w:rsidR="00A0244C" w:rsidRPr="00BC1ABD" w:rsidRDefault="00A0244C" w:rsidP="00A0244C">
      <w:pPr>
        <w:jc w:val="both"/>
        <w:rPr>
          <w:rFonts w:cs="Arial"/>
          <w:sz w:val="24"/>
          <w:szCs w:val="24"/>
          <w:lang w:val="en-GB"/>
        </w:rPr>
      </w:pPr>
      <w:r w:rsidRPr="00BC1ABD">
        <w:rPr>
          <w:rFonts w:cs="Arial"/>
          <w:sz w:val="24"/>
          <w:szCs w:val="24"/>
          <w:lang w:val="en-GB"/>
        </w:rPr>
        <w:t>The known population distribution (using Geostat data) in settlements in Georgia is as follows</w:t>
      </w:r>
    </w:p>
    <w:p w14:paraId="5E32C39C" w14:textId="77777777" w:rsidR="00A0244C" w:rsidRPr="00BC1ABD" w:rsidRDefault="00A0244C" w:rsidP="00722085">
      <w:pPr>
        <w:numPr>
          <w:ilvl w:val="0"/>
          <w:numId w:val="43"/>
        </w:numPr>
        <w:contextualSpacing/>
        <w:jc w:val="both"/>
        <w:rPr>
          <w:rFonts w:cs="Arial"/>
          <w:sz w:val="24"/>
          <w:szCs w:val="24"/>
          <w:lang w:val="en-GB"/>
        </w:rPr>
      </w:pPr>
      <w:r w:rsidRPr="00BC1ABD">
        <w:rPr>
          <w:rFonts w:cs="Arial"/>
          <w:sz w:val="24"/>
          <w:szCs w:val="24"/>
          <w:lang w:val="en-GB"/>
        </w:rPr>
        <w:t>Tbilisi with more than 1,000,000 inhabitants</w:t>
      </w:r>
    </w:p>
    <w:p w14:paraId="5C871F5F" w14:textId="77777777" w:rsidR="00A0244C" w:rsidRPr="00BC1ABD" w:rsidRDefault="00A0244C" w:rsidP="00722085">
      <w:pPr>
        <w:numPr>
          <w:ilvl w:val="0"/>
          <w:numId w:val="43"/>
        </w:numPr>
        <w:contextualSpacing/>
        <w:jc w:val="both"/>
        <w:rPr>
          <w:rFonts w:cs="Arial"/>
          <w:sz w:val="24"/>
          <w:szCs w:val="24"/>
          <w:lang w:val="en-GB"/>
        </w:rPr>
      </w:pPr>
      <w:r w:rsidRPr="00BC1ABD">
        <w:rPr>
          <w:rFonts w:cs="Arial"/>
          <w:sz w:val="24"/>
          <w:szCs w:val="24"/>
          <w:lang w:val="en-GB"/>
        </w:rPr>
        <w:t>Three cities between 100,000 and 200,000 inhabitants (Batumi, Kutaisi and Rustavi)</w:t>
      </w:r>
    </w:p>
    <w:p w14:paraId="046E8982" w14:textId="00339CBF" w:rsidR="00A0244C" w:rsidRPr="00225D40" w:rsidRDefault="00A0244C">
      <w:pPr>
        <w:numPr>
          <w:ilvl w:val="0"/>
          <w:numId w:val="43"/>
        </w:numPr>
        <w:contextualSpacing/>
        <w:jc w:val="both"/>
        <w:rPr>
          <w:rFonts w:cs="Arial"/>
          <w:sz w:val="24"/>
          <w:szCs w:val="24"/>
          <w:lang w:val="en-GB"/>
        </w:rPr>
      </w:pPr>
      <w:r w:rsidRPr="00225D40">
        <w:rPr>
          <w:rFonts w:cs="Arial"/>
          <w:sz w:val="24"/>
          <w:szCs w:val="24"/>
          <w:lang w:val="en-GB"/>
        </w:rPr>
        <w:t>Settlements wi</w:t>
      </w:r>
      <w:r w:rsidRPr="00C96399">
        <w:rPr>
          <w:rFonts w:cs="Arial"/>
          <w:sz w:val="24"/>
          <w:szCs w:val="24"/>
          <w:lang w:val="en-GB"/>
        </w:rPr>
        <w:t>th 50,000 inhabitants or less</w:t>
      </w:r>
      <w:r w:rsidR="00C96399">
        <w:rPr>
          <w:rStyle w:val="FootnoteReference"/>
          <w:rFonts w:cs="Arial"/>
          <w:sz w:val="24"/>
          <w:szCs w:val="24"/>
          <w:lang w:val="en-GB"/>
        </w:rPr>
        <w:footnoteReference w:id="99"/>
      </w:r>
      <w:r w:rsidRPr="00225D40">
        <w:rPr>
          <w:rFonts w:cs="Arial"/>
          <w:sz w:val="24"/>
          <w:szCs w:val="24"/>
          <w:lang w:val="en-GB"/>
        </w:rPr>
        <w:t>.</w:t>
      </w:r>
    </w:p>
    <w:p w14:paraId="1F9DE0AC" w14:textId="77777777" w:rsidR="00A0244C" w:rsidRPr="00BC1ABD" w:rsidRDefault="00A0244C" w:rsidP="00A0244C">
      <w:pPr>
        <w:ind w:left="720"/>
        <w:contextualSpacing/>
        <w:jc w:val="both"/>
        <w:rPr>
          <w:rFonts w:cs="Arial"/>
          <w:sz w:val="24"/>
          <w:szCs w:val="24"/>
          <w:lang w:val="en-GB"/>
        </w:rPr>
      </w:pPr>
    </w:p>
    <w:p w14:paraId="548C3CDF" w14:textId="45B3FF49" w:rsidR="00E75657" w:rsidRDefault="00A0244C" w:rsidP="00A0244C">
      <w:pPr>
        <w:jc w:val="both"/>
        <w:rPr>
          <w:rFonts w:cs="Arial"/>
          <w:sz w:val="24"/>
          <w:szCs w:val="24"/>
          <w:lang w:val="en-GB"/>
        </w:rPr>
      </w:pPr>
      <w:r w:rsidRPr="00BC1ABD">
        <w:rPr>
          <w:rFonts w:cs="Arial"/>
          <w:sz w:val="24"/>
          <w:szCs w:val="24"/>
          <w:lang w:val="en-GB"/>
        </w:rPr>
        <w:t xml:space="preserve">For a single operator to serve a potential subscriber base of 10,000 typically would require a single optical distribution frame. So, for illustration, a settlement with </w:t>
      </w:r>
      <w:r w:rsidR="004503AC">
        <w:rPr>
          <w:rFonts w:cs="Arial"/>
          <w:sz w:val="24"/>
          <w:szCs w:val="24"/>
          <w:lang w:val="en-GB"/>
        </w:rPr>
        <w:t>10</w:t>
      </w:r>
      <w:r w:rsidR="004503AC" w:rsidRPr="00BC1ABD">
        <w:rPr>
          <w:rFonts w:cs="Arial"/>
          <w:sz w:val="24"/>
          <w:szCs w:val="24"/>
          <w:lang w:val="en-GB"/>
        </w:rPr>
        <w:t>0</w:t>
      </w:r>
      <w:r w:rsidRPr="00BC1ABD">
        <w:rPr>
          <w:rFonts w:cs="Arial"/>
          <w:sz w:val="24"/>
          <w:szCs w:val="24"/>
          <w:lang w:val="en-GB"/>
        </w:rPr>
        <w:t xml:space="preserve">,000 population (approximately </w:t>
      </w:r>
      <w:r w:rsidR="004503AC">
        <w:rPr>
          <w:rFonts w:cs="Arial"/>
          <w:sz w:val="24"/>
          <w:szCs w:val="24"/>
          <w:lang w:val="en-GB"/>
        </w:rPr>
        <w:t>4</w:t>
      </w:r>
      <w:r w:rsidR="004503AC" w:rsidRPr="00BC1ABD">
        <w:rPr>
          <w:rFonts w:cs="Arial"/>
          <w:sz w:val="24"/>
          <w:szCs w:val="24"/>
          <w:lang w:val="en-GB"/>
        </w:rPr>
        <w:t>0</w:t>
      </w:r>
      <w:r w:rsidRPr="00BC1ABD">
        <w:rPr>
          <w:rFonts w:cs="Arial"/>
          <w:sz w:val="24"/>
          <w:szCs w:val="24"/>
          <w:lang w:val="en-GB"/>
        </w:rPr>
        <w:t xml:space="preserve">,000 households) would require an operator to deploy </w:t>
      </w:r>
      <w:r w:rsidR="00F026B4">
        <w:rPr>
          <w:rFonts w:cs="Arial"/>
          <w:sz w:val="24"/>
          <w:szCs w:val="24"/>
          <w:lang w:val="en-GB"/>
        </w:rPr>
        <w:t>FTTx</w:t>
      </w:r>
      <w:r w:rsidRPr="00BC1ABD">
        <w:rPr>
          <w:rFonts w:cs="Arial"/>
          <w:sz w:val="24"/>
          <w:szCs w:val="24"/>
          <w:lang w:val="en-GB"/>
        </w:rPr>
        <w:t xml:space="preserve"> networks based on </w:t>
      </w:r>
      <w:r w:rsidR="00E75657">
        <w:rPr>
          <w:rFonts w:cs="Arial"/>
          <w:sz w:val="24"/>
          <w:szCs w:val="24"/>
          <w:lang w:val="en-GB"/>
        </w:rPr>
        <w:t>more</w:t>
      </w:r>
      <w:r w:rsidR="004503AC" w:rsidRPr="00BC1ABD">
        <w:rPr>
          <w:rFonts w:cs="Arial"/>
          <w:sz w:val="24"/>
          <w:szCs w:val="24"/>
          <w:lang w:val="en-GB"/>
        </w:rPr>
        <w:t xml:space="preserve"> </w:t>
      </w:r>
      <w:r w:rsidRPr="00BC1ABD">
        <w:rPr>
          <w:rFonts w:cs="Arial"/>
          <w:sz w:val="24"/>
          <w:szCs w:val="24"/>
          <w:lang w:val="en-GB"/>
        </w:rPr>
        <w:t>optical distribution frames, each one serving different parts of the settlement.</w:t>
      </w:r>
      <w:r w:rsidR="002937C3">
        <w:rPr>
          <w:rFonts w:cs="Arial"/>
          <w:sz w:val="24"/>
          <w:szCs w:val="24"/>
          <w:lang w:val="en-GB"/>
        </w:rPr>
        <w:t xml:space="preserve"> </w:t>
      </w:r>
    </w:p>
    <w:p w14:paraId="3333B8FA" w14:textId="7C3422BD" w:rsidR="00A0244C" w:rsidRPr="00BC1ABD" w:rsidRDefault="00E75657" w:rsidP="00A0244C">
      <w:pPr>
        <w:jc w:val="both"/>
        <w:rPr>
          <w:rFonts w:cs="Arial"/>
          <w:sz w:val="24"/>
          <w:szCs w:val="24"/>
          <w:lang w:val="en-GB"/>
        </w:rPr>
      </w:pPr>
      <w:r w:rsidRPr="00BC1ABD">
        <w:rPr>
          <w:rFonts w:cs="Arial"/>
          <w:sz w:val="24"/>
          <w:szCs w:val="24"/>
          <w:lang w:val="en-GB"/>
        </w:rPr>
        <w:t xml:space="preserve">In the case of the largest settlements (for the purposes of this analysis, this means settlements with over 100,000 population) an operator which is present with an optical distribution frame in its central office in one part of a city, is not necessary present in the other parts of the city. Due to the limitations of the OLT modular port sizes and split ratios employed, other parts of the city may be out of the realistic range of an operator’s single optical distribution frame. This means that it is possible that some parts within the largest settlements have different competition conditions than other parts. In Georgia there are 4 cities with more than 100,000 inhabitants, where this problem may arise. In the absence of any detailed (premises level) data for these largest cities, it is considered that in </w:t>
      </w:r>
      <w:r w:rsidR="00592449">
        <w:rPr>
          <w:rFonts w:cs="Arial"/>
          <w:sz w:val="24"/>
          <w:szCs w:val="24"/>
          <w:lang w:val="en-GB"/>
        </w:rPr>
        <w:t>analysing</w:t>
      </w:r>
      <w:r w:rsidRPr="00BC1ABD">
        <w:rPr>
          <w:rFonts w:cs="Arial"/>
          <w:sz w:val="24"/>
          <w:szCs w:val="24"/>
          <w:lang w:val="en-GB"/>
        </w:rPr>
        <w:t xml:space="preserve"> the competitive conditions within these cities, special criteria will need to be taken into account.</w:t>
      </w:r>
      <w:r w:rsidR="00974F95">
        <w:rPr>
          <w:rFonts w:cs="Arial"/>
          <w:sz w:val="24"/>
          <w:szCs w:val="24"/>
          <w:lang w:val="en-GB"/>
        </w:rPr>
        <w:t xml:space="preserve"> </w:t>
      </w:r>
      <w:r>
        <w:rPr>
          <w:rFonts w:cs="Arial"/>
          <w:sz w:val="24"/>
          <w:szCs w:val="24"/>
          <w:lang w:val="en-GB"/>
        </w:rPr>
        <w:t>Therefore i</w:t>
      </w:r>
      <w:r w:rsidR="00A0244C" w:rsidRPr="00BC1ABD">
        <w:rPr>
          <w:rFonts w:cs="Arial"/>
          <w:sz w:val="24"/>
          <w:szCs w:val="24"/>
          <w:lang w:val="en-GB"/>
        </w:rPr>
        <w:t xml:space="preserve">t is considered that settlements with more than 100,000 inhabitants should be analysed separately in the case that main set of criteria above are cumulatively fulfilled (three or more </w:t>
      </w:r>
      <w:r w:rsidR="00F026B4">
        <w:rPr>
          <w:rFonts w:cs="Arial"/>
          <w:sz w:val="24"/>
          <w:szCs w:val="24"/>
          <w:lang w:val="en-GB"/>
        </w:rPr>
        <w:t>FTTx</w:t>
      </w:r>
      <w:r w:rsidR="00A0244C" w:rsidRPr="00BC1ABD">
        <w:rPr>
          <w:rFonts w:cs="Arial"/>
          <w:sz w:val="24"/>
          <w:szCs w:val="24"/>
          <w:lang w:val="en-GB"/>
        </w:rPr>
        <w:t xml:space="preserve"> networks, Magticom</w:t>
      </w:r>
      <w:r w:rsidR="0005187E">
        <w:rPr>
          <w:rFonts w:cs="Arial"/>
          <w:sz w:val="24"/>
          <w:szCs w:val="24"/>
          <w:lang w:val="en-GB"/>
        </w:rPr>
        <w:t xml:space="preserve">’s share of </w:t>
      </w:r>
      <w:r w:rsidR="00F026B4">
        <w:rPr>
          <w:rFonts w:cs="Arial"/>
          <w:sz w:val="24"/>
          <w:szCs w:val="24"/>
          <w:lang w:val="en-GB"/>
        </w:rPr>
        <w:t>FTTx</w:t>
      </w:r>
      <w:r w:rsidR="0005187E" w:rsidRPr="00BC1ABD">
        <w:rPr>
          <w:rFonts w:cs="Arial"/>
          <w:sz w:val="24"/>
          <w:szCs w:val="24"/>
          <w:lang w:val="en-GB"/>
        </w:rPr>
        <w:t xml:space="preserve"> broadband access subscribers</w:t>
      </w:r>
      <w:r w:rsidR="00A0244C" w:rsidRPr="00BC1ABD">
        <w:rPr>
          <w:rFonts w:cs="Arial"/>
          <w:sz w:val="24"/>
          <w:szCs w:val="24"/>
          <w:lang w:val="en-GB"/>
        </w:rPr>
        <w:t xml:space="preserve"> is below 40% and the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195B2F">
        <w:rPr>
          <w:rFonts w:cs="Arial"/>
          <w:sz w:val="24"/>
          <w:szCs w:val="24"/>
          <w:lang w:val="en-GB"/>
        </w:rPr>
        <w:t xml:space="preserve"> </w:t>
      </w:r>
      <w:r w:rsidR="00A0244C" w:rsidRPr="00BC1ABD">
        <w:rPr>
          <w:rFonts w:cs="Arial"/>
          <w:sz w:val="24"/>
          <w:szCs w:val="24"/>
          <w:lang w:val="en-GB"/>
        </w:rPr>
        <w:t>of the second and third operators is at least 10%).</w:t>
      </w:r>
    </w:p>
    <w:p w14:paraId="624C0A9C" w14:textId="4C70F850" w:rsidR="00A0244C" w:rsidRPr="00BC1ABD" w:rsidRDefault="00A0244C" w:rsidP="00A0244C">
      <w:pPr>
        <w:jc w:val="both"/>
        <w:rPr>
          <w:rFonts w:cs="Arial"/>
          <w:sz w:val="24"/>
          <w:szCs w:val="24"/>
          <w:lang w:val="en-GB"/>
        </w:rPr>
      </w:pPr>
      <w:r w:rsidRPr="00BC1ABD">
        <w:rPr>
          <w:rFonts w:cs="Arial"/>
          <w:sz w:val="24"/>
          <w:szCs w:val="24"/>
          <w:lang w:val="en-GB"/>
        </w:rPr>
        <w:t xml:space="preserve">b) Trends in </w:t>
      </w:r>
      <w:r w:rsidR="0005187E">
        <w:rPr>
          <w:rFonts w:cs="Arial"/>
          <w:sz w:val="24"/>
          <w:szCs w:val="24"/>
          <w:lang w:val="en-GB"/>
        </w:rPr>
        <w:t xml:space="preserve">respective shares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per settlement</w:t>
      </w:r>
    </w:p>
    <w:p w14:paraId="626BD8CC" w14:textId="7725BA1F" w:rsidR="00BF51E0" w:rsidRPr="00BC1ABD" w:rsidRDefault="00BF51E0" w:rsidP="00BF51E0">
      <w:pPr>
        <w:jc w:val="both"/>
        <w:rPr>
          <w:rFonts w:cs="Arial"/>
          <w:sz w:val="24"/>
          <w:szCs w:val="24"/>
          <w:lang w:val="en-GB"/>
        </w:rPr>
      </w:pPr>
      <w:r w:rsidRPr="00BC1ABD">
        <w:rPr>
          <w:rFonts w:cs="Arial"/>
          <w:sz w:val="24"/>
          <w:szCs w:val="24"/>
          <w:lang w:val="en-GB"/>
        </w:rPr>
        <w:t>Settlements with approximately 20,000 inhabitants are considered to have the potential for around 8,000 subscribers. In these settlements</w:t>
      </w:r>
      <w:r w:rsidR="002937C3">
        <w:rPr>
          <w:rFonts w:cs="Arial"/>
          <w:sz w:val="24"/>
          <w:szCs w:val="24"/>
          <w:lang w:val="en-GB"/>
        </w:rPr>
        <w:t xml:space="preserve"> (or </w:t>
      </w:r>
      <w:r w:rsidR="00592449">
        <w:rPr>
          <w:rFonts w:cs="Arial"/>
          <w:sz w:val="24"/>
          <w:szCs w:val="24"/>
          <w:lang w:val="en-GB"/>
        </w:rPr>
        <w:t>larger ones</w:t>
      </w:r>
      <w:r w:rsidR="002937C3">
        <w:rPr>
          <w:rFonts w:cs="Arial"/>
          <w:sz w:val="24"/>
          <w:szCs w:val="24"/>
          <w:lang w:val="en-GB"/>
        </w:rPr>
        <w:t>)</w:t>
      </w:r>
      <w:r w:rsidRPr="00BC1ABD">
        <w:rPr>
          <w:rFonts w:cs="Arial"/>
          <w:sz w:val="24"/>
          <w:szCs w:val="24"/>
          <w:lang w:val="en-GB"/>
        </w:rPr>
        <w:t>, trends can be reasonably assessed because small, random changes would not affect the consideration of contestability.</w:t>
      </w:r>
      <w:r w:rsidR="00195B2F">
        <w:rPr>
          <w:rFonts w:cs="Arial"/>
          <w:sz w:val="24"/>
          <w:szCs w:val="24"/>
          <w:lang w:val="en-GB"/>
        </w:rPr>
        <w:t xml:space="preserve"> </w:t>
      </w:r>
    </w:p>
    <w:p w14:paraId="1A4000EE" w14:textId="2B2AE7CF" w:rsidR="00A0244C" w:rsidRPr="00BC1ABD" w:rsidRDefault="00A0244C" w:rsidP="00A0244C">
      <w:pPr>
        <w:jc w:val="both"/>
        <w:rPr>
          <w:rFonts w:cs="Arial"/>
          <w:sz w:val="24"/>
          <w:szCs w:val="24"/>
          <w:lang w:val="en-GB"/>
        </w:rPr>
      </w:pPr>
      <w:r w:rsidRPr="00BC1ABD">
        <w:rPr>
          <w:rFonts w:cs="Arial"/>
          <w:sz w:val="24"/>
          <w:szCs w:val="24"/>
          <w:lang w:val="en-GB"/>
        </w:rPr>
        <w:t xml:space="preserve">To assess contestability with a forward-looking perspective, trends need to be analysed in settlements at least for those settlements above 20,000 inhabitants. If within the next 3 years these settlements tend towards contestability, it means that Magticom’s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w:t>
      </w:r>
      <w:r w:rsidRPr="00BC1ABD">
        <w:rPr>
          <w:rFonts w:cs="Arial"/>
          <w:sz w:val="24"/>
          <w:szCs w:val="24"/>
          <w:lang w:val="en-GB"/>
        </w:rPr>
        <w:t xml:space="preserve">would have to reduce below 40% and at least two other operators would have to be present with at least 10%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Pr="00BC1ABD">
        <w:rPr>
          <w:rFonts w:cs="Arial"/>
          <w:sz w:val="24"/>
          <w:szCs w:val="24"/>
          <w:lang w:val="en-GB"/>
        </w:rPr>
        <w:t>. If this is the case, settlement can be deemed conditionally contestable.</w:t>
      </w:r>
    </w:p>
    <w:p w14:paraId="062F6D98" w14:textId="65C60526" w:rsidR="00A0244C" w:rsidRPr="00BC1ABD" w:rsidRDefault="00A0244C" w:rsidP="00A0244C">
      <w:pPr>
        <w:jc w:val="both"/>
        <w:rPr>
          <w:rFonts w:cs="Arial"/>
          <w:sz w:val="24"/>
          <w:szCs w:val="24"/>
          <w:lang w:val="en-GB"/>
        </w:rPr>
      </w:pPr>
      <w:r w:rsidRPr="00BC1ABD">
        <w:rPr>
          <w:rFonts w:cs="Arial"/>
          <w:sz w:val="24"/>
          <w:szCs w:val="24"/>
          <w:lang w:val="en-GB"/>
        </w:rPr>
        <w:t xml:space="preserve">c) </w:t>
      </w:r>
      <w:r w:rsidR="00F026B4">
        <w:rPr>
          <w:rFonts w:cs="Arial"/>
          <w:sz w:val="24"/>
          <w:szCs w:val="24"/>
          <w:lang w:val="en-GB"/>
        </w:rPr>
        <w:t>FTTx</w:t>
      </w:r>
      <w:r w:rsidRPr="00BC1ABD">
        <w:rPr>
          <w:rFonts w:cs="Arial"/>
          <w:sz w:val="24"/>
          <w:szCs w:val="24"/>
          <w:lang w:val="en-GB"/>
        </w:rPr>
        <w:t xml:space="preserve"> network coverage (premises passed)</w:t>
      </w:r>
    </w:p>
    <w:p w14:paraId="648C24B4" w14:textId="0B42B34F" w:rsidR="00A0244C" w:rsidRPr="00BC1ABD" w:rsidRDefault="00A0244C" w:rsidP="00A0244C">
      <w:pPr>
        <w:jc w:val="both"/>
        <w:rPr>
          <w:rFonts w:cs="Arial"/>
          <w:sz w:val="24"/>
          <w:szCs w:val="24"/>
          <w:lang w:val="en-GB"/>
        </w:rPr>
      </w:pPr>
      <w:r w:rsidRPr="00BC1ABD">
        <w:rPr>
          <w:rFonts w:cs="Arial"/>
          <w:sz w:val="24"/>
          <w:szCs w:val="24"/>
          <w:lang w:val="en-GB"/>
        </w:rPr>
        <w:t xml:space="preserve">It is also possible to estimate the contestability of an area by considering the number of premises passed by the </w:t>
      </w:r>
      <w:r w:rsidR="00F026B4">
        <w:rPr>
          <w:rFonts w:cs="Arial"/>
          <w:sz w:val="24"/>
          <w:szCs w:val="24"/>
          <w:lang w:val="en-GB"/>
        </w:rPr>
        <w:t>FTTx</w:t>
      </w:r>
      <w:r w:rsidRPr="00BC1ABD">
        <w:rPr>
          <w:rFonts w:cs="Arial"/>
          <w:sz w:val="24"/>
          <w:szCs w:val="24"/>
          <w:lang w:val="en-GB"/>
        </w:rPr>
        <w:t xml:space="preserve"> operators and their deployment plans for the coming years. Constructing an </w:t>
      </w:r>
      <w:r w:rsidR="00F026B4">
        <w:rPr>
          <w:rFonts w:cs="Arial"/>
          <w:sz w:val="24"/>
          <w:szCs w:val="24"/>
          <w:lang w:val="en-GB"/>
        </w:rPr>
        <w:t>FTTx</w:t>
      </w:r>
      <w:r w:rsidRPr="00BC1ABD">
        <w:rPr>
          <w:rFonts w:cs="Arial"/>
          <w:sz w:val="24"/>
          <w:szCs w:val="24"/>
          <w:lang w:val="en-GB"/>
        </w:rPr>
        <w:t xml:space="preserve"> network is the biggest single cost related to serving the fixed broadband access market. Competing operators have the possibility of contesting a settlement by simply exploiting their </w:t>
      </w:r>
      <w:r w:rsidR="00F026B4">
        <w:rPr>
          <w:rFonts w:cs="Arial"/>
          <w:sz w:val="24"/>
          <w:szCs w:val="24"/>
          <w:lang w:val="en-GB"/>
        </w:rPr>
        <w:t>FTTx</w:t>
      </w:r>
      <w:r w:rsidRPr="00BC1ABD">
        <w:rPr>
          <w:rFonts w:cs="Arial"/>
          <w:sz w:val="24"/>
          <w:szCs w:val="24"/>
          <w:lang w:val="en-GB"/>
        </w:rPr>
        <w:t xml:space="preserve"> coverage, so the market in the settlement has the potential to have effective competition. Since the (at this point theoretical) conditions for a settlement to be contestable is </w:t>
      </w:r>
      <w:r w:rsidR="0005187E" w:rsidRPr="00BC1ABD">
        <w:rPr>
          <w:rFonts w:cs="Arial"/>
          <w:sz w:val="24"/>
          <w:szCs w:val="24"/>
          <w:lang w:val="en-GB"/>
        </w:rPr>
        <w:t>Magticom</w:t>
      </w:r>
      <w:r w:rsidR="0005187E">
        <w:rPr>
          <w:rFonts w:cs="Arial"/>
          <w:sz w:val="24"/>
          <w:szCs w:val="24"/>
          <w:lang w:val="en-GB"/>
        </w:rPr>
        <w:t>’s</w:t>
      </w:r>
      <w:r w:rsidR="0005187E" w:rsidRPr="00BC1ABD">
        <w:rPr>
          <w:rFonts w:cs="Arial"/>
          <w:sz w:val="24"/>
          <w:szCs w:val="24"/>
          <w:lang w:val="en-GB"/>
        </w:rPr>
        <w:t xml:space="preserve">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w:t>
      </w:r>
      <w:r w:rsidRPr="00BC1ABD">
        <w:rPr>
          <w:rFonts w:cs="Arial"/>
          <w:sz w:val="24"/>
          <w:szCs w:val="24"/>
          <w:lang w:val="en-GB"/>
        </w:rPr>
        <w:t>be</w:t>
      </w:r>
      <w:r w:rsidR="0005187E">
        <w:rPr>
          <w:rFonts w:cs="Arial"/>
          <w:sz w:val="24"/>
          <w:szCs w:val="24"/>
          <w:lang w:val="en-GB"/>
        </w:rPr>
        <w:t>ing</w:t>
      </w:r>
      <w:r w:rsidRPr="00BC1ABD">
        <w:rPr>
          <w:rFonts w:cs="Arial"/>
          <w:sz w:val="24"/>
          <w:szCs w:val="24"/>
          <w:lang w:val="en-GB"/>
        </w:rPr>
        <w:t xml:space="preserve"> less than 40% and for there to be at least two other </w:t>
      </w:r>
      <w:r w:rsidR="00F026B4">
        <w:rPr>
          <w:rFonts w:cs="Arial"/>
          <w:sz w:val="24"/>
          <w:szCs w:val="24"/>
          <w:lang w:val="en-GB"/>
        </w:rPr>
        <w:t>FTTx</w:t>
      </w:r>
      <w:r w:rsidRPr="00BC1ABD">
        <w:rPr>
          <w:rFonts w:cs="Arial"/>
          <w:sz w:val="24"/>
          <w:szCs w:val="24"/>
          <w:lang w:val="en-GB"/>
        </w:rPr>
        <w:t xml:space="preserve"> operators with</w:t>
      </w:r>
      <w:r w:rsidR="0005187E">
        <w:rPr>
          <w:rFonts w:cs="Arial"/>
          <w:sz w:val="24"/>
          <w:szCs w:val="24"/>
          <w:lang w:val="en-GB"/>
        </w:rPr>
        <w:t xml:space="preserve"> a</w:t>
      </w:r>
      <w:r w:rsidRPr="00BC1ABD">
        <w:rPr>
          <w:rFonts w:cs="Arial"/>
          <w:sz w:val="24"/>
          <w:szCs w:val="24"/>
          <w:lang w:val="en-GB"/>
        </w:rPr>
        <w:t xml:space="preserve">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of </w:t>
      </w:r>
      <w:r w:rsidRPr="00BC1ABD">
        <w:rPr>
          <w:rFonts w:cs="Arial"/>
          <w:sz w:val="24"/>
          <w:szCs w:val="24"/>
          <w:lang w:val="en-GB"/>
        </w:rPr>
        <w:t>at least 10%, it can be concluded that other operators could have the ability to contest up to 60% of the market. If less than 60% of premises are passed by the competitors, then expanding their network coverage can be achieved only with significant additional investment. It is considered that the minimum (cumulative) theoretical criteria are:</w:t>
      </w:r>
    </w:p>
    <w:p w14:paraId="6F68E7FA" w14:textId="3C5DC1BB" w:rsidR="00A0244C" w:rsidRPr="00BC1ABD" w:rsidRDefault="00A0244C" w:rsidP="004A4CD7">
      <w:pPr>
        <w:pStyle w:val="ListParagraph"/>
        <w:numPr>
          <w:ilvl w:val="0"/>
          <w:numId w:val="105"/>
        </w:numPr>
        <w:jc w:val="both"/>
        <w:rPr>
          <w:rFonts w:cs="Arial"/>
          <w:sz w:val="24"/>
          <w:szCs w:val="24"/>
          <w:lang w:val="en-GB"/>
        </w:rPr>
      </w:pPr>
      <w:r w:rsidRPr="00BC1ABD">
        <w:rPr>
          <w:rFonts w:cs="Arial"/>
          <w:sz w:val="24"/>
          <w:szCs w:val="24"/>
          <w:lang w:val="en-GB"/>
        </w:rPr>
        <w:t xml:space="preserve">The largest competitor to Magticom needs to have an </w:t>
      </w:r>
      <w:r w:rsidR="00F026B4">
        <w:rPr>
          <w:rFonts w:cs="Arial"/>
          <w:sz w:val="24"/>
          <w:szCs w:val="24"/>
          <w:lang w:val="en-GB"/>
        </w:rPr>
        <w:t>FTTx</w:t>
      </w:r>
      <w:r w:rsidRPr="00BC1ABD">
        <w:rPr>
          <w:rFonts w:cs="Arial"/>
          <w:sz w:val="24"/>
          <w:szCs w:val="24"/>
          <w:lang w:val="en-GB"/>
        </w:rPr>
        <w:t xml:space="preserve"> coverage of at least 50% of the premises in the settlement, and </w:t>
      </w:r>
    </w:p>
    <w:p w14:paraId="4CDDA290" w14:textId="28115444" w:rsidR="004A4CD7" w:rsidRPr="004A4CD7" w:rsidRDefault="00A0244C" w:rsidP="00A0244C">
      <w:pPr>
        <w:pStyle w:val="ListParagraph"/>
        <w:numPr>
          <w:ilvl w:val="0"/>
          <w:numId w:val="105"/>
        </w:numPr>
        <w:jc w:val="both"/>
        <w:rPr>
          <w:rFonts w:cs="Arial"/>
          <w:sz w:val="24"/>
          <w:szCs w:val="24"/>
          <w:lang w:val="en-GB"/>
        </w:rPr>
      </w:pPr>
      <w:r w:rsidRPr="00BC1ABD">
        <w:rPr>
          <w:rFonts w:cs="Arial"/>
          <w:sz w:val="24"/>
          <w:szCs w:val="24"/>
          <w:lang w:val="en-GB"/>
        </w:rPr>
        <w:t xml:space="preserve">Another operator has at least 10% </w:t>
      </w:r>
      <w:r w:rsidR="00F026B4">
        <w:rPr>
          <w:rFonts w:cs="Arial"/>
          <w:sz w:val="24"/>
          <w:szCs w:val="24"/>
          <w:lang w:val="en-GB"/>
        </w:rPr>
        <w:t>FTTx</w:t>
      </w:r>
      <w:r w:rsidRPr="00BC1ABD">
        <w:rPr>
          <w:rFonts w:cs="Arial"/>
          <w:sz w:val="24"/>
          <w:szCs w:val="24"/>
          <w:lang w:val="en-GB"/>
        </w:rPr>
        <w:t xml:space="preserve"> coverage (together the second and third </w:t>
      </w:r>
      <w:r w:rsidRPr="004A4CD7">
        <w:rPr>
          <w:rFonts w:cs="Arial"/>
          <w:sz w:val="24"/>
          <w:szCs w:val="24"/>
          <w:lang w:val="en-GB"/>
        </w:rPr>
        <w:t>operators have 60%).</w:t>
      </w:r>
      <w:r w:rsidR="00233274" w:rsidRPr="004A4CD7">
        <w:rPr>
          <w:rFonts w:cs="Arial"/>
          <w:sz w:val="24"/>
          <w:szCs w:val="24"/>
          <w:lang w:val="en-GB"/>
        </w:rPr>
        <w:t xml:space="preserve"> </w:t>
      </w:r>
      <w:r w:rsidR="00B23EF7" w:rsidRPr="004A4CD7">
        <w:rPr>
          <w:rFonts w:cs="Arial"/>
          <w:sz w:val="24"/>
          <w:szCs w:val="24"/>
          <w:lang w:val="en-GB"/>
        </w:rPr>
        <w:t>An o</w:t>
      </w:r>
      <w:r w:rsidR="00233274" w:rsidRPr="004A4CD7">
        <w:rPr>
          <w:rFonts w:cs="Arial"/>
          <w:sz w:val="24"/>
          <w:szCs w:val="24"/>
          <w:lang w:val="en-GB"/>
        </w:rPr>
        <w:t xml:space="preserve">perator with </w:t>
      </w:r>
      <w:r w:rsidR="00B23EF7" w:rsidRPr="004A4CD7">
        <w:rPr>
          <w:rFonts w:cs="Arial"/>
          <w:sz w:val="24"/>
          <w:szCs w:val="24"/>
          <w:lang w:val="en-GB"/>
        </w:rPr>
        <w:t xml:space="preserve">a </w:t>
      </w:r>
      <w:r w:rsidR="00233274" w:rsidRPr="004A4CD7">
        <w:rPr>
          <w:rFonts w:cs="Arial"/>
          <w:sz w:val="24"/>
          <w:szCs w:val="24"/>
          <w:lang w:val="en-GB"/>
        </w:rPr>
        <w:t>coverage below 10% does</w:t>
      </w:r>
      <w:r w:rsidR="00592449" w:rsidRPr="004A4CD7">
        <w:rPr>
          <w:rFonts w:cs="Arial"/>
          <w:sz w:val="24"/>
          <w:szCs w:val="24"/>
          <w:lang w:val="en-GB"/>
        </w:rPr>
        <w:t xml:space="preserve"> not</w:t>
      </w:r>
      <w:r w:rsidR="00B23EF7" w:rsidRPr="004A4CD7">
        <w:rPr>
          <w:rFonts w:cs="Arial"/>
          <w:sz w:val="24"/>
          <w:szCs w:val="24"/>
          <w:lang w:val="en-GB"/>
        </w:rPr>
        <w:t>, at first glance,</w:t>
      </w:r>
      <w:r w:rsidR="00233274" w:rsidRPr="004A4CD7">
        <w:rPr>
          <w:rFonts w:cs="Arial"/>
          <w:sz w:val="24"/>
          <w:szCs w:val="24"/>
          <w:lang w:val="en-GB"/>
        </w:rPr>
        <w:t xml:space="preserve"> have </w:t>
      </w:r>
      <w:r w:rsidR="00B23EF7" w:rsidRPr="004A4CD7">
        <w:rPr>
          <w:rFonts w:cs="Arial"/>
          <w:sz w:val="24"/>
          <w:szCs w:val="24"/>
          <w:lang w:val="en-GB"/>
        </w:rPr>
        <w:t>a s</w:t>
      </w:r>
      <w:r w:rsidR="00592449" w:rsidRPr="004A4CD7">
        <w:rPr>
          <w:rFonts w:cs="Arial"/>
          <w:sz w:val="24"/>
          <w:szCs w:val="24"/>
          <w:lang w:val="en-GB"/>
        </w:rPr>
        <w:t>ignificant</w:t>
      </w:r>
      <w:r w:rsidR="00233274" w:rsidRPr="004A4CD7">
        <w:rPr>
          <w:rFonts w:cs="Arial"/>
          <w:sz w:val="24"/>
          <w:szCs w:val="24"/>
          <w:lang w:val="en-GB"/>
        </w:rPr>
        <w:t xml:space="preserve"> impact on competition </w:t>
      </w:r>
      <w:r w:rsidR="00B23EF7" w:rsidRPr="004A4CD7">
        <w:rPr>
          <w:rFonts w:cs="Arial"/>
          <w:sz w:val="24"/>
          <w:szCs w:val="24"/>
          <w:lang w:val="en-GB"/>
        </w:rPr>
        <w:t>because it can</w:t>
      </w:r>
      <w:r w:rsidR="00592449" w:rsidRPr="004A4CD7">
        <w:rPr>
          <w:rFonts w:cs="Arial"/>
          <w:sz w:val="24"/>
          <w:szCs w:val="24"/>
          <w:lang w:val="en-GB"/>
        </w:rPr>
        <w:t>not</w:t>
      </w:r>
      <w:r w:rsidR="00B23EF7" w:rsidRPr="004A4CD7">
        <w:rPr>
          <w:rFonts w:cs="Arial"/>
          <w:sz w:val="24"/>
          <w:szCs w:val="24"/>
          <w:lang w:val="en-GB"/>
        </w:rPr>
        <w:t xml:space="preserve"> – in the absence of the possibility of </w:t>
      </w:r>
      <w:r w:rsidR="00592449" w:rsidRPr="004A4CD7">
        <w:rPr>
          <w:rFonts w:cs="Arial"/>
          <w:sz w:val="24"/>
          <w:szCs w:val="24"/>
          <w:lang w:val="en-GB"/>
        </w:rPr>
        <w:t xml:space="preserve">wholesale </w:t>
      </w:r>
      <w:r w:rsidR="00B23EF7" w:rsidRPr="004A4CD7">
        <w:rPr>
          <w:rFonts w:cs="Arial"/>
          <w:sz w:val="24"/>
          <w:szCs w:val="24"/>
          <w:lang w:val="en-GB"/>
        </w:rPr>
        <w:t xml:space="preserve">access – threaten the position of </w:t>
      </w:r>
      <w:r w:rsidR="00592449" w:rsidRPr="004A4CD7">
        <w:rPr>
          <w:rFonts w:cs="Arial"/>
          <w:sz w:val="24"/>
          <w:szCs w:val="24"/>
          <w:lang w:val="en-GB"/>
        </w:rPr>
        <w:t>Magticom</w:t>
      </w:r>
      <w:r w:rsidR="00B23EF7" w:rsidRPr="004A4CD7">
        <w:rPr>
          <w:rFonts w:cs="Arial"/>
          <w:sz w:val="24"/>
          <w:szCs w:val="24"/>
          <w:lang w:val="en-GB"/>
        </w:rPr>
        <w:t xml:space="preserve"> </w:t>
      </w:r>
      <w:r w:rsidR="00592449" w:rsidRPr="004A4CD7">
        <w:rPr>
          <w:rFonts w:cs="Arial"/>
          <w:sz w:val="24"/>
          <w:szCs w:val="24"/>
          <w:lang w:val="en-GB"/>
        </w:rPr>
        <w:t>by</w:t>
      </w:r>
      <w:r w:rsidR="00B23EF7" w:rsidRPr="004A4CD7">
        <w:rPr>
          <w:rFonts w:cs="Arial"/>
          <w:sz w:val="24"/>
          <w:szCs w:val="24"/>
          <w:lang w:val="en-GB"/>
        </w:rPr>
        <w:t xml:space="preserve"> </w:t>
      </w:r>
      <w:r w:rsidR="00592449" w:rsidRPr="004A4CD7">
        <w:rPr>
          <w:rFonts w:cs="Arial"/>
          <w:sz w:val="24"/>
          <w:szCs w:val="24"/>
          <w:lang w:val="en-GB"/>
        </w:rPr>
        <w:t>gaining</w:t>
      </w:r>
      <w:r w:rsidR="00B23EF7" w:rsidRPr="004A4CD7">
        <w:rPr>
          <w:rFonts w:cs="Arial"/>
          <w:sz w:val="24"/>
          <w:szCs w:val="24"/>
          <w:lang w:val="en-GB"/>
        </w:rPr>
        <w:t xml:space="preserve"> significantly more </w:t>
      </w:r>
      <w:r w:rsidR="00592449" w:rsidRPr="004A4CD7">
        <w:rPr>
          <w:rFonts w:cs="Arial"/>
          <w:sz w:val="24"/>
          <w:szCs w:val="24"/>
          <w:lang w:val="en-GB"/>
        </w:rPr>
        <w:t>subscribers</w:t>
      </w:r>
      <w:r w:rsidR="00B23EF7" w:rsidRPr="004A4CD7">
        <w:rPr>
          <w:rFonts w:cs="Arial"/>
          <w:sz w:val="24"/>
          <w:szCs w:val="24"/>
          <w:lang w:val="en-GB"/>
        </w:rPr>
        <w:t xml:space="preserve"> in the area.</w:t>
      </w:r>
    </w:p>
    <w:p w14:paraId="3CADCC1B" w14:textId="46626CCB" w:rsidR="00A0244C" w:rsidRPr="00BC1ABD" w:rsidRDefault="00A0244C" w:rsidP="00A0244C">
      <w:pPr>
        <w:jc w:val="both"/>
        <w:rPr>
          <w:rFonts w:cs="Arial"/>
          <w:sz w:val="24"/>
          <w:szCs w:val="24"/>
          <w:lang w:val="en-GB"/>
        </w:rPr>
      </w:pPr>
      <w:r w:rsidRPr="00BC1ABD">
        <w:rPr>
          <w:rFonts w:cs="Arial"/>
          <w:sz w:val="24"/>
          <w:szCs w:val="24"/>
          <w:lang w:val="en-GB"/>
        </w:rPr>
        <w:t>However, these theoretical minima are unlikely to work in practi</w:t>
      </w:r>
      <w:r w:rsidR="00592449">
        <w:rPr>
          <w:rFonts w:cs="Arial"/>
          <w:sz w:val="24"/>
          <w:szCs w:val="24"/>
          <w:lang w:val="en-GB"/>
        </w:rPr>
        <w:t>c</w:t>
      </w:r>
      <w:r w:rsidRPr="00BC1ABD">
        <w:rPr>
          <w:rFonts w:cs="Arial"/>
          <w:sz w:val="24"/>
          <w:szCs w:val="24"/>
          <w:lang w:val="en-GB"/>
        </w:rPr>
        <w:t xml:space="preserve">e because it is considered impossible for an operator to connect every premise passed and (due to a likely overlapping of the network coverage between </w:t>
      </w:r>
      <w:r w:rsidR="00F026B4">
        <w:rPr>
          <w:rFonts w:cs="Arial"/>
          <w:sz w:val="24"/>
          <w:szCs w:val="24"/>
          <w:lang w:val="en-GB"/>
        </w:rPr>
        <w:t>FTTx</w:t>
      </w:r>
      <w:r w:rsidRPr="00BC1ABD">
        <w:rPr>
          <w:rFonts w:cs="Arial"/>
          <w:sz w:val="24"/>
          <w:szCs w:val="24"/>
          <w:lang w:val="en-GB"/>
        </w:rPr>
        <w:t xml:space="preserve"> operators), the thresholds have to be modified to:</w:t>
      </w:r>
    </w:p>
    <w:p w14:paraId="727BF9C7" w14:textId="6949D013" w:rsidR="00A0244C" w:rsidRPr="00BC1ABD" w:rsidRDefault="00A0244C" w:rsidP="004A4CD7">
      <w:pPr>
        <w:pStyle w:val="ListParagraph"/>
        <w:numPr>
          <w:ilvl w:val="0"/>
          <w:numId w:val="105"/>
        </w:numPr>
        <w:jc w:val="both"/>
        <w:rPr>
          <w:rFonts w:cs="Arial"/>
          <w:sz w:val="24"/>
          <w:szCs w:val="24"/>
          <w:lang w:val="en-GB"/>
        </w:rPr>
      </w:pPr>
      <w:r w:rsidRPr="00BC1ABD">
        <w:rPr>
          <w:rFonts w:cs="Arial"/>
          <w:sz w:val="24"/>
          <w:szCs w:val="24"/>
          <w:lang w:val="en-GB"/>
        </w:rPr>
        <w:t xml:space="preserve">The largest competitor to Magticom needs to have an </w:t>
      </w:r>
      <w:r w:rsidR="00F026B4">
        <w:rPr>
          <w:rFonts w:cs="Arial"/>
          <w:sz w:val="24"/>
          <w:szCs w:val="24"/>
          <w:lang w:val="en-GB"/>
        </w:rPr>
        <w:t>FTTx</w:t>
      </w:r>
      <w:r w:rsidRPr="00BC1ABD">
        <w:rPr>
          <w:rFonts w:cs="Arial"/>
          <w:sz w:val="24"/>
          <w:szCs w:val="24"/>
          <w:lang w:val="en-GB"/>
        </w:rPr>
        <w:t xml:space="preserve"> coverage of at least 80% of the premises in the settlement, and</w:t>
      </w:r>
    </w:p>
    <w:p w14:paraId="0461F7C5" w14:textId="1EA7BADE" w:rsidR="00A0244C" w:rsidRPr="004A4CD7" w:rsidRDefault="00A0244C" w:rsidP="004A4CD7">
      <w:pPr>
        <w:pStyle w:val="ListParagraph"/>
        <w:numPr>
          <w:ilvl w:val="0"/>
          <w:numId w:val="105"/>
        </w:numPr>
        <w:jc w:val="both"/>
        <w:rPr>
          <w:rFonts w:cs="Arial"/>
          <w:sz w:val="24"/>
          <w:szCs w:val="24"/>
          <w:lang w:val="en-GB"/>
        </w:rPr>
      </w:pPr>
      <w:r w:rsidRPr="00BC1ABD">
        <w:rPr>
          <w:rFonts w:cs="Arial"/>
          <w:sz w:val="24"/>
          <w:szCs w:val="24"/>
          <w:lang w:val="en-GB"/>
        </w:rPr>
        <w:t xml:space="preserve">Another operator has at least 20% </w:t>
      </w:r>
      <w:r w:rsidR="00F026B4">
        <w:rPr>
          <w:rFonts w:cs="Arial"/>
          <w:sz w:val="24"/>
          <w:szCs w:val="24"/>
          <w:lang w:val="en-GB"/>
        </w:rPr>
        <w:t>FTTx</w:t>
      </w:r>
      <w:r w:rsidRPr="00BC1ABD">
        <w:rPr>
          <w:rFonts w:cs="Arial"/>
          <w:sz w:val="24"/>
          <w:szCs w:val="24"/>
          <w:lang w:val="en-GB"/>
        </w:rPr>
        <w:t xml:space="preserve"> coverage (together the second and third operators have between 80% and 100% coverage)</w:t>
      </w:r>
    </w:p>
    <w:p w14:paraId="3D6AEE6C" w14:textId="7E54C8B8" w:rsidR="00A0244C" w:rsidRPr="00BC1ABD" w:rsidRDefault="00A0244C" w:rsidP="00A0244C">
      <w:pPr>
        <w:spacing w:after="240"/>
        <w:contextualSpacing/>
        <w:jc w:val="both"/>
        <w:rPr>
          <w:rFonts w:cs="Arial"/>
          <w:sz w:val="24"/>
          <w:szCs w:val="24"/>
          <w:lang w:val="en-GB"/>
        </w:rPr>
      </w:pPr>
      <w:r w:rsidRPr="00BC1ABD">
        <w:rPr>
          <w:rFonts w:cs="Arial"/>
          <w:sz w:val="24"/>
          <w:szCs w:val="24"/>
          <w:lang w:val="en-GB"/>
        </w:rPr>
        <w:t>In addition to these main (cumulative) criteria</w:t>
      </w:r>
      <w:r w:rsidR="0005187E">
        <w:rPr>
          <w:rFonts w:cs="Arial"/>
          <w:sz w:val="24"/>
          <w:szCs w:val="24"/>
          <w:lang w:val="en-GB"/>
        </w:rPr>
        <w:t xml:space="preserve"> of the share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w:t>
      </w:r>
      <w:r w:rsidR="0005187E" w:rsidRPr="00BC1ABD">
        <w:rPr>
          <w:rFonts w:cs="Arial"/>
          <w:sz w:val="24"/>
          <w:szCs w:val="24"/>
          <w:lang w:val="en-GB"/>
        </w:rPr>
        <w:t xml:space="preserve">and </w:t>
      </w:r>
      <w:r w:rsidR="0005187E">
        <w:rPr>
          <w:rFonts w:cs="Arial"/>
          <w:sz w:val="24"/>
          <w:szCs w:val="24"/>
          <w:lang w:val="en-GB"/>
        </w:rPr>
        <w:t xml:space="preserve">network </w:t>
      </w:r>
      <w:r w:rsidR="0005187E" w:rsidRPr="00BC1ABD">
        <w:rPr>
          <w:rFonts w:cs="Arial"/>
          <w:sz w:val="24"/>
          <w:szCs w:val="24"/>
          <w:lang w:val="en-GB"/>
        </w:rPr>
        <w:t>coverage</w:t>
      </w:r>
      <w:r w:rsidRPr="00BC1ABD">
        <w:rPr>
          <w:rFonts w:cs="Arial"/>
          <w:sz w:val="24"/>
          <w:szCs w:val="24"/>
          <w:lang w:val="en-GB"/>
        </w:rPr>
        <w:t>, the following additional criteria will need to be applied in order to consider certain specific settlements for contestability:</w:t>
      </w:r>
    </w:p>
    <w:p w14:paraId="4A49855E" w14:textId="77777777" w:rsidR="00A0244C" w:rsidRPr="00BC1ABD" w:rsidRDefault="00A0244C" w:rsidP="00722085">
      <w:pPr>
        <w:pStyle w:val="ListParagraph"/>
        <w:numPr>
          <w:ilvl w:val="0"/>
          <w:numId w:val="47"/>
        </w:numPr>
        <w:spacing w:after="240"/>
        <w:jc w:val="both"/>
        <w:rPr>
          <w:rFonts w:cs="Arial"/>
          <w:sz w:val="24"/>
          <w:szCs w:val="24"/>
          <w:lang w:val="en-GB"/>
        </w:rPr>
      </w:pPr>
      <w:r w:rsidRPr="00BC1ABD">
        <w:rPr>
          <w:rFonts w:cs="Arial"/>
          <w:sz w:val="24"/>
          <w:szCs w:val="24"/>
          <w:lang w:val="en-GB"/>
        </w:rPr>
        <w:t xml:space="preserve">The size of a settlement is more than 100,000 inhabitants </w:t>
      </w:r>
    </w:p>
    <w:p w14:paraId="018E42B7" w14:textId="3D3C0930" w:rsidR="00A0244C" w:rsidRPr="00BC1ABD" w:rsidRDefault="00A0244C" w:rsidP="00722085">
      <w:pPr>
        <w:pStyle w:val="ListParagraph"/>
        <w:numPr>
          <w:ilvl w:val="0"/>
          <w:numId w:val="47"/>
        </w:numPr>
        <w:spacing w:after="240"/>
        <w:jc w:val="both"/>
        <w:rPr>
          <w:rFonts w:cs="Arial"/>
          <w:sz w:val="24"/>
          <w:szCs w:val="24"/>
          <w:lang w:val="en-GB"/>
        </w:rPr>
      </w:pPr>
      <w:r w:rsidRPr="00BC1ABD">
        <w:rPr>
          <w:rFonts w:cs="Arial"/>
          <w:sz w:val="24"/>
          <w:szCs w:val="24"/>
          <w:lang w:val="en-GB"/>
        </w:rPr>
        <w:t xml:space="preserve">Trends in the market show that the market tends towards contestability </w:t>
      </w:r>
      <w:r w:rsidR="00233274">
        <w:rPr>
          <w:rFonts w:cs="Arial"/>
          <w:sz w:val="24"/>
          <w:szCs w:val="24"/>
          <w:lang w:val="en-GB"/>
        </w:rPr>
        <w:t xml:space="preserve">in settlements </w:t>
      </w:r>
      <w:r w:rsidR="00592449">
        <w:rPr>
          <w:rFonts w:cs="Arial"/>
          <w:sz w:val="24"/>
          <w:szCs w:val="24"/>
          <w:lang w:val="en-GB"/>
        </w:rPr>
        <w:t>larger</w:t>
      </w:r>
      <w:r w:rsidR="00233274">
        <w:rPr>
          <w:rFonts w:cs="Arial"/>
          <w:sz w:val="24"/>
          <w:szCs w:val="24"/>
          <w:lang w:val="en-GB"/>
        </w:rPr>
        <w:t xml:space="preserve"> than 20</w:t>
      </w:r>
      <w:r w:rsidR="00592449">
        <w:rPr>
          <w:rFonts w:cs="Arial"/>
          <w:sz w:val="24"/>
          <w:szCs w:val="24"/>
          <w:lang w:val="en-GB"/>
        </w:rPr>
        <w:t>,</w:t>
      </w:r>
      <w:r w:rsidR="00233274">
        <w:rPr>
          <w:rFonts w:cs="Arial"/>
          <w:sz w:val="24"/>
          <w:szCs w:val="24"/>
          <w:lang w:val="en-GB"/>
        </w:rPr>
        <w:t xml:space="preserve">000 inhabitants </w:t>
      </w:r>
      <w:r w:rsidRPr="00BC1ABD">
        <w:rPr>
          <w:rFonts w:cs="Arial"/>
          <w:sz w:val="24"/>
          <w:szCs w:val="24"/>
          <w:lang w:val="en-GB"/>
        </w:rPr>
        <w:t xml:space="preserve">by achieving </w:t>
      </w:r>
      <w:r w:rsidR="00233274">
        <w:rPr>
          <w:rFonts w:cs="Arial"/>
          <w:sz w:val="24"/>
          <w:szCs w:val="24"/>
          <w:lang w:val="en-GB"/>
        </w:rPr>
        <w:t xml:space="preserve">defined thresholds for </w:t>
      </w:r>
      <w:r w:rsidR="00592449">
        <w:rPr>
          <w:rFonts w:cs="Arial"/>
          <w:sz w:val="24"/>
          <w:szCs w:val="24"/>
          <w:lang w:val="en-GB"/>
        </w:rPr>
        <w:t xml:space="preserve">a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w:t>
      </w:r>
      <w:r w:rsidR="00233274">
        <w:rPr>
          <w:rFonts w:cs="Arial"/>
          <w:sz w:val="24"/>
          <w:szCs w:val="24"/>
          <w:lang w:val="en-GB"/>
        </w:rPr>
        <w:t>in the ne</w:t>
      </w:r>
      <w:r w:rsidR="0005187E">
        <w:rPr>
          <w:rFonts w:cs="Arial"/>
          <w:sz w:val="24"/>
          <w:szCs w:val="24"/>
          <w:lang w:val="en-GB"/>
        </w:rPr>
        <w:t>x</w:t>
      </w:r>
      <w:r w:rsidR="00233274">
        <w:rPr>
          <w:rFonts w:cs="Arial"/>
          <w:sz w:val="24"/>
          <w:szCs w:val="24"/>
          <w:lang w:val="en-GB"/>
        </w:rPr>
        <w:t>t three year</w:t>
      </w:r>
      <w:r w:rsidR="00592449">
        <w:rPr>
          <w:rFonts w:cs="Arial"/>
          <w:sz w:val="24"/>
          <w:szCs w:val="24"/>
          <w:lang w:val="en-GB"/>
        </w:rPr>
        <w:t>s</w:t>
      </w:r>
      <w:r w:rsidR="00233274">
        <w:rPr>
          <w:rFonts w:cs="Arial"/>
          <w:sz w:val="24"/>
          <w:szCs w:val="24"/>
          <w:lang w:val="en-GB"/>
        </w:rPr>
        <w:t>: Magticom</w:t>
      </w:r>
      <w:r w:rsidR="0005187E">
        <w:rPr>
          <w:rFonts w:cs="Arial"/>
          <w:sz w:val="24"/>
          <w:szCs w:val="24"/>
          <w:lang w:val="en-GB"/>
        </w:rPr>
        <w:t xml:space="preserve">’s share of </w:t>
      </w:r>
      <w:r w:rsidR="00F026B4">
        <w:rPr>
          <w:rFonts w:cs="Arial"/>
          <w:sz w:val="24"/>
          <w:szCs w:val="24"/>
          <w:lang w:val="en-GB"/>
        </w:rPr>
        <w:t>FTTx</w:t>
      </w:r>
      <w:r w:rsidR="0005187E" w:rsidRPr="00BC1ABD">
        <w:rPr>
          <w:rFonts w:cs="Arial"/>
          <w:sz w:val="24"/>
          <w:szCs w:val="24"/>
          <w:lang w:val="en-GB"/>
        </w:rPr>
        <w:t xml:space="preserve"> broadband access subscribers</w:t>
      </w:r>
      <w:r w:rsidR="00233274">
        <w:rPr>
          <w:rFonts w:cs="Arial"/>
          <w:sz w:val="24"/>
          <w:szCs w:val="24"/>
          <w:lang w:val="en-GB"/>
        </w:rPr>
        <w:t xml:space="preserve"> </w:t>
      </w:r>
      <w:r w:rsidR="0005187E">
        <w:rPr>
          <w:rFonts w:cs="Arial"/>
          <w:sz w:val="24"/>
          <w:szCs w:val="24"/>
          <w:lang w:val="en-GB"/>
        </w:rPr>
        <w:t>is</w:t>
      </w:r>
      <w:r w:rsidR="00233274">
        <w:rPr>
          <w:rFonts w:cs="Arial"/>
          <w:sz w:val="24"/>
          <w:szCs w:val="24"/>
          <w:lang w:val="en-GB"/>
        </w:rPr>
        <w:t xml:space="preserve"> less than 40% and </w:t>
      </w:r>
      <w:r w:rsidR="0005187E">
        <w:rPr>
          <w:rFonts w:cs="Arial"/>
          <w:sz w:val="24"/>
          <w:szCs w:val="24"/>
          <w:lang w:val="en-GB"/>
        </w:rPr>
        <w:t>t</w:t>
      </w:r>
      <w:r w:rsidR="00233274">
        <w:rPr>
          <w:rFonts w:cs="Arial"/>
          <w:sz w:val="24"/>
          <w:szCs w:val="24"/>
          <w:lang w:val="en-GB"/>
        </w:rPr>
        <w:t>he third largest competitor in the settlement</w:t>
      </w:r>
      <w:r w:rsidR="0005187E">
        <w:rPr>
          <w:rFonts w:cs="Arial"/>
          <w:sz w:val="24"/>
          <w:szCs w:val="24"/>
          <w:lang w:val="en-GB"/>
        </w:rPr>
        <w:t xml:space="preserve"> share is </w:t>
      </w:r>
      <w:r w:rsidR="0005187E" w:rsidRPr="00BC1ABD">
        <w:rPr>
          <w:rFonts w:cs="Arial"/>
          <w:sz w:val="24"/>
          <w:szCs w:val="24"/>
          <w:lang w:val="en-GB"/>
        </w:rPr>
        <w:t>at least a 10%</w:t>
      </w:r>
    </w:p>
    <w:p w14:paraId="49A2189B" w14:textId="09B81ABC" w:rsidR="00A0244C" w:rsidRPr="00BC1ABD" w:rsidRDefault="00A0244C" w:rsidP="00722085">
      <w:pPr>
        <w:pStyle w:val="ListParagraph"/>
        <w:numPr>
          <w:ilvl w:val="0"/>
          <w:numId w:val="47"/>
        </w:numPr>
        <w:spacing w:after="240"/>
        <w:jc w:val="both"/>
        <w:rPr>
          <w:rFonts w:cs="Arial"/>
          <w:sz w:val="24"/>
          <w:szCs w:val="24"/>
          <w:lang w:val="en-GB"/>
        </w:rPr>
      </w:pPr>
      <w:r w:rsidRPr="00BC1ABD">
        <w:rPr>
          <w:rFonts w:cs="Arial"/>
          <w:sz w:val="24"/>
          <w:szCs w:val="24"/>
          <w:lang w:val="en-GB"/>
        </w:rPr>
        <w:t xml:space="preserve">Coverage of </w:t>
      </w:r>
      <w:r w:rsidR="00F026B4">
        <w:rPr>
          <w:rFonts w:cs="Arial"/>
          <w:sz w:val="24"/>
          <w:szCs w:val="24"/>
          <w:lang w:val="en-GB"/>
        </w:rPr>
        <w:t>FTTx</w:t>
      </w:r>
      <w:r w:rsidRPr="00BC1ABD">
        <w:rPr>
          <w:rFonts w:cs="Arial"/>
          <w:sz w:val="24"/>
          <w:szCs w:val="24"/>
          <w:lang w:val="en-GB"/>
        </w:rPr>
        <w:t xml:space="preserve"> infrastructure (premises passed) achieves at least 80% for the second largest operator and 20% for the third.</w:t>
      </w:r>
    </w:p>
    <w:p w14:paraId="6A96E001" w14:textId="77777777" w:rsidR="00A0244C" w:rsidRPr="00BC1ABD" w:rsidRDefault="00A0244C" w:rsidP="00033EBE">
      <w:pPr>
        <w:pStyle w:val="Heading2"/>
        <w:numPr>
          <w:ilvl w:val="1"/>
          <w:numId w:val="88"/>
        </w:numPr>
        <w:spacing w:after="240"/>
        <w:rPr>
          <w:lang w:val="en-GB"/>
        </w:rPr>
      </w:pPr>
      <w:bookmarkStart w:id="293" w:name="_Toc169258969"/>
      <w:r w:rsidRPr="00BC1ABD">
        <w:rPr>
          <w:lang w:val="en-GB"/>
        </w:rPr>
        <w:t>Risk assessment of the criteria</w:t>
      </w:r>
      <w:bookmarkEnd w:id="287"/>
      <w:bookmarkEnd w:id="293"/>
    </w:p>
    <w:p w14:paraId="391C68AC" w14:textId="73CB90DB"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w:t>
      </w:r>
      <w:r w:rsidR="00A15A4B" w:rsidRPr="00BC1ABD">
        <w:rPr>
          <w:rFonts w:cs="Arial"/>
          <w:sz w:val="24"/>
          <w:szCs w:val="24"/>
          <w:lang w:val="en-GB"/>
        </w:rPr>
        <w:t>above-described</w:t>
      </w:r>
      <w:r w:rsidRPr="00BC1ABD">
        <w:rPr>
          <w:rFonts w:cs="Arial"/>
          <w:sz w:val="24"/>
          <w:szCs w:val="24"/>
          <w:lang w:val="en-GB"/>
        </w:rPr>
        <w:t xml:space="preserve"> set of criteria has its limitations, which are assessed in this section. Some of the limitations affect only a negligible part of the market and where appropriate, limitations can be overcome with additional criteria being applied.</w:t>
      </w:r>
    </w:p>
    <w:p w14:paraId="11E84DF4" w14:textId="77777777"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94" w:name="_Toc169258970"/>
      <w:r w:rsidRPr="00F028B0">
        <w:rPr>
          <w:rFonts w:asciiTheme="minorHAnsi" w:hAnsiTheme="minorHAnsi" w:cstheme="minorHAnsi"/>
          <w:b w:val="0"/>
          <w:bCs w:val="0"/>
          <w:sz w:val="24"/>
          <w:szCs w:val="24"/>
          <w:lang w:val="en-GB"/>
        </w:rPr>
        <w:t>Settlements without fibre network are not affected</w:t>
      </w:r>
      <w:bookmarkEnd w:id="294"/>
    </w:p>
    <w:p w14:paraId="1803375A" w14:textId="7D4645D0"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Settlements without </w:t>
      </w:r>
      <w:r w:rsidR="00F026B4">
        <w:rPr>
          <w:rFonts w:cs="Arial"/>
          <w:sz w:val="24"/>
          <w:szCs w:val="24"/>
          <w:lang w:val="en-GB"/>
        </w:rPr>
        <w:t>FTTx</w:t>
      </w:r>
      <w:r w:rsidRPr="00BC1ABD">
        <w:rPr>
          <w:rFonts w:cs="Arial"/>
          <w:sz w:val="24"/>
          <w:szCs w:val="24"/>
          <w:lang w:val="en-GB"/>
        </w:rPr>
        <w:t xml:space="preserve"> networks are not considered part of the higher-speed fixed broadband access market</w:t>
      </w:r>
      <w:r w:rsidR="00846280">
        <w:rPr>
          <w:rFonts w:cs="Arial"/>
          <w:sz w:val="24"/>
          <w:szCs w:val="24"/>
          <w:lang w:val="en-GB"/>
        </w:rPr>
        <w:t xml:space="preserve">. </w:t>
      </w:r>
      <w:r w:rsidRPr="00BC1ABD">
        <w:rPr>
          <w:rFonts w:cs="Arial"/>
          <w:sz w:val="24"/>
          <w:szCs w:val="24"/>
          <w:lang w:val="en-GB"/>
        </w:rPr>
        <w:t xml:space="preserve">Where other technologies are present, the basic fixed broadband access market has been considered to be competitive and therefore not susceptible to </w:t>
      </w:r>
      <w:r w:rsidRPr="00BC1ABD">
        <w:rPr>
          <w:rFonts w:cs="Arial"/>
          <w:i/>
          <w:iCs/>
          <w:sz w:val="24"/>
          <w:szCs w:val="24"/>
          <w:lang w:val="en-GB"/>
        </w:rPr>
        <w:t>ex-ante</w:t>
      </w:r>
      <w:r w:rsidRPr="00BC1ABD">
        <w:rPr>
          <w:rFonts w:cs="Arial"/>
          <w:sz w:val="24"/>
          <w:szCs w:val="24"/>
          <w:lang w:val="en-GB"/>
        </w:rPr>
        <w:t xml:space="preserve"> regulation.</w:t>
      </w:r>
    </w:p>
    <w:p w14:paraId="4E6F2387" w14:textId="10900125"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Where no backhaul exists from any operator, the Open</w:t>
      </w:r>
      <w:r w:rsidR="00C4166A">
        <w:rPr>
          <w:rFonts w:cs="Arial"/>
          <w:sz w:val="24"/>
          <w:szCs w:val="24"/>
          <w:lang w:val="en-GB"/>
        </w:rPr>
        <w:t xml:space="preserve"> </w:t>
      </w:r>
      <w:r w:rsidRPr="00BC1ABD">
        <w:rPr>
          <w:rFonts w:cs="Arial"/>
          <w:sz w:val="24"/>
          <w:szCs w:val="24"/>
          <w:lang w:val="en-GB"/>
        </w:rPr>
        <w:t xml:space="preserve">Net project (funded by the State Program on Broadband Infrastructure) will establish a fibre-based backhaul connection. In these more remote villages, Magticom, like any operator, will be able to expand its national presence by deploying </w:t>
      </w:r>
      <w:r w:rsidR="00F026B4">
        <w:rPr>
          <w:rFonts w:cs="Arial"/>
          <w:sz w:val="24"/>
          <w:szCs w:val="24"/>
          <w:lang w:val="en-GB"/>
        </w:rPr>
        <w:t>FTTx</w:t>
      </w:r>
      <w:r w:rsidRPr="00BC1ABD">
        <w:rPr>
          <w:rFonts w:cs="Arial"/>
          <w:sz w:val="24"/>
          <w:szCs w:val="24"/>
          <w:lang w:val="en-GB"/>
        </w:rPr>
        <w:t xml:space="preserve"> networks within these settlements.</w:t>
      </w:r>
    </w:p>
    <w:p w14:paraId="18B2D5DA" w14:textId="579176F1" w:rsidR="00A0244C" w:rsidRPr="00F028B0" w:rsidRDefault="00001B69"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95" w:name="_Toc169258971"/>
      <w:r w:rsidRPr="00F028B0">
        <w:rPr>
          <w:rFonts w:asciiTheme="minorHAnsi" w:hAnsiTheme="minorHAnsi" w:cstheme="minorHAnsi"/>
          <w:b w:val="0"/>
          <w:bCs w:val="0"/>
          <w:sz w:val="24"/>
          <w:szCs w:val="24"/>
          <w:lang w:val="en-GB"/>
        </w:rPr>
        <w:t xml:space="preserve">Settlements where other operators have more </w:t>
      </w:r>
      <w:r w:rsidR="00F026B4">
        <w:rPr>
          <w:rFonts w:asciiTheme="minorHAnsi" w:hAnsiTheme="minorHAnsi" w:cstheme="minorHAnsi"/>
          <w:b w:val="0"/>
          <w:bCs w:val="0"/>
          <w:sz w:val="24"/>
          <w:szCs w:val="24"/>
          <w:lang w:val="en-GB"/>
        </w:rPr>
        <w:t>FTTx</w:t>
      </w:r>
      <w:r w:rsidR="00F524F2" w:rsidRPr="00F028B0">
        <w:rPr>
          <w:rFonts w:asciiTheme="minorHAnsi" w:hAnsiTheme="minorHAnsi" w:cstheme="minorHAnsi"/>
          <w:b w:val="0"/>
          <w:bCs w:val="0"/>
          <w:sz w:val="24"/>
          <w:szCs w:val="24"/>
          <w:lang w:val="en-GB"/>
        </w:rPr>
        <w:t xml:space="preserve"> </w:t>
      </w:r>
      <w:r w:rsidRPr="00F028B0">
        <w:rPr>
          <w:rFonts w:asciiTheme="minorHAnsi" w:hAnsiTheme="minorHAnsi" w:cstheme="minorHAnsi"/>
          <w:b w:val="0"/>
          <w:bCs w:val="0"/>
          <w:sz w:val="24"/>
          <w:szCs w:val="24"/>
          <w:lang w:val="en-GB"/>
        </w:rPr>
        <w:t>subscribers than Magticom</w:t>
      </w:r>
      <w:bookmarkEnd w:id="295"/>
    </w:p>
    <w:p w14:paraId="1FC2BD93" w14:textId="3B9AA61E"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In settlements where Magticom is present but </w:t>
      </w:r>
      <w:r w:rsidR="00F524F2" w:rsidRPr="00BC1ABD">
        <w:rPr>
          <w:rFonts w:cs="Arial"/>
          <w:sz w:val="24"/>
          <w:szCs w:val="24"/>
          <w:lang w:val="en-GB"/>
        </w:rPr>
        <w:t xml:space="preserve">other operators have more </w:t>
      </w:r>
      <w:r w:rsidR="00F026B4">
        <w:rPr>
          <w:rFonts w:cs="Arial"/>
          <w:sz w:val="24"/>
          <w:szCs w:val="24"/>
          <w:lang w:val="en-GB"/>
        </w:rPr>
        <w:t>FTTx</w:t>
      </w:r>
      <w:r w:rsidR="00F524F2" w:rsidRPr="00BC1ABD">
        <w:rPr>
          <w:rFonts w:cs="Arial"/>
          <w:sz w:val="24"/>
          <w:szCs w:val="24"/>
          <w:lang w:val="en-GB"/>
        </w:rPr>
        <w:t xml:space="preserve"> subscribers than Magticom</w:t>
      </w:r>
      <w:r w:rsidRPr="00BC1ABD">
        <w:rPr>
          <w:rFonts w:cs="Arial"/>
          <w:sz w:val="24"/>
          <w:szCs w:val="24"/>
          <w:lang w:val="en-GB"/>
        </w:rPr>
        <w:t xml:space="preserve">, it is considered that a threshold of 40%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subscribers</w:t>
      </w:r>
      <w:r w:rsidR="008C375B">
        <w:rPr>
          <w:rFonts w:cs="Arial"/>
          <w:sz w:val="24"/>
          <w:szCs w:val="24"/>
          <w:lang w:val="en-GB"/>
        </w:rPr>
        <w:t xml:space="preserve"> </w:t>
      </w:r>
      <w:r w:rsidRPr="00BC1ABD">
        <w:rPr>
          <w:rFonts w:cs="Arial"/>
          <w:sz w:val="24"/>
          <w:szCs w:val="24"/>
          <w:lang w:val="en-GB"/>
        </w:rPr>
        <w:t>should be used. In settlements where Magticom</w:t>
      </w:r>
      <w:r w:rsidR="0005187E">
        <w:rPr>
          <w:rFonts w:cs="Arial"/>
          <w:sz w:val="24"/>
          <w:szCs w:val="24"/>
          <w:lang w:val="en-GB"/>
        </w:rPr>
        <w:t>’s</w:t>
      </w:r>
      <w:r w:rsidR="00195B2F">
        <w:rPr>
          <w:rFonts w:cs="Arial"/>
          <w:sz w:val="24"/>
          <w:szCs w:val="24"/>
          <w:lang w:val="en-GB"/>
        </w:rPr>
        <w:t xml:space="preserve"> </w:t>
      </w:r>
      <w:r w:rsidR="0005187E">
        <w:rPr>
          <w:rFonts w:cs="Arial"/>
          <w:sz w:val="24"/>
          <w:szCs w:val="24"/>
          <w:lang w:val="en-GB"/>
        </w:rPr>
        <w:t xml:space="preserve">share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is</w:t>
      </w:r>
      <w:r w:rsidRPr="00BC1ABD">
        <w:rPr>
          <w:rFonts w:cs="Arial"/>
          <w:sz w:val="24"/>
          <w:szCs w:val="24"/>
          <w:lang w:val="en-GB"/>
        </w:rPr>
        <w:t xml:space="preserve"> less than 40%, or is not present at all, </w:t>
      </w:r>
      <w:r w:rsidR="00174008" w:rsidRPr="00BC1ABD">
        <w:rPr>
          <w:rFonts w:cs="Arial"/>
          <w:sz w:val="24"/>
          <w:szCs w:val="24"/>
          <w:lang w:val="en-GB"/>
        </w:rPr>
        <w:t>Magticom is not the leading operator in terms of subscribers</w:t>
      </w:r>
      <w:r w:rsidR="00174008" w:rsidRPr="00BC1ABD" w:rsidDel="00174008">
        <w:rPr>
          <w:rFonts w:cs="Arial"/>
          <w:sz w:val="24"/>
          <w:szCs w:val="24"/>
          <w:lang w:val="en-GB"/>
        </w:rPr>
        <w:t xml:space="preserve"> </w:t>
      </w:r>
      <w:r w:rsidRPr="00BC1ABD">
        <w:rPr>
          <w:rFonts w:cs="Arial"/>
          <w:sz w:val="24"/>
          <w:szCs w:val="24"/>
          <w:lang w:val="en-GB"/>
        </w:rPr>
        <w:t>within that settlement.</w:t>
      </w:r>
    </w:p>
    <w:p w14:paraId="0CEF7EC8" w14:textId="17E9DEDC"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In settlements where Magticom is present, it is relatively easy for it to expand its coverage, since it has already established a backhaul connection and an optical distribution frame with associated active equipment for extending </w:t>
      </w:r>
      <w:r w:rsidR="00F026B4">
        <w:rPr>
          <w:rFonts w:cs="Arial"/>
          <w:sz w:val="24"/>
          <w:szCs w:val="24"/>
          <w:lang w:val="en-GB"/>
        </w:rPr>
        <w:t>FTTx</w:t>
      </w:r>
      <w:r w:rsidRPr="00BC1ABD">
        <w:rPr>
          <w:rFonts w:cs="Arial"/>
          <w:sz w:val="24"/>
          <w:szCs w:val="24"/>
          <w:lang w:val="en-GB"/>
        </w:rPr>
        <w:t xml:space="preserve"> fixed broadband services into the settlement. It is therefore considered that there is no reason to exempt Magticom from </w:t>
      </w:r>
      <w:r w:rsidRPr="00BC1ABD">
        <w:rPr>
          <w:rFonts w:cs="Arial"/>
          <w:i/>
          <w:iCs/>
          <w:sz w:val="24"/>
          <w:szCs w:val="24"/>
          <w:lang w:val="en-GB"/>
        </w:rPr>
        <w:t>ex-ante</w:t>
      </w:r>
      <w:r w:rsidRPr="00BC1ABD">
        <w:rPr>
          <w:rFonts w:cs="Arial"/>
          <w:sz w:val="24"/>
          <w:szCs w:val="24"/>
          <w:lang w:val="en-GB"/>
        </w:rPr>
        <w:t xml:space="preserve"> wholesale local and central access obligations in settlements where Magticom is present but with less than 40%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subscribers</w:t>
      </w:r>
      <w:r w:rsidRPr="00BC1ABD">
        <w:rPr>
          <w:rFonts w:cs="Arial"/>
          <w:sz w:val="24"/>
          <w:szCs w:val="24"/>
          <w:lang w:val="en-GB"/>
        </w:rPr>
        <w:t xml:space="preserve">. </w:t>
      </w:r>
    </w:p>
    <w:p w14:paraId="4FEF7CB7" w14:textId="6B690ABB" w:rsidR="005029D9" w:rsidRPr="00BC1ABD" w:rsidRDefault="00A0244C" w:rsidP="00A0244C">
      <w:pPr>
        <w:adjustRightInd w:val="0"/>
        <w:spacing w:after="240"/>
        <w:jc w:val="both"/>
        <w:rPr>
          <w:rFonts w:cs="Arial"/>
          <w:sz w:val="24"/>
          <w:szCs w:val="24"/>
          <w:lang w:val="en-GB"/>
        </w:rPr>
      </w:pPr>
      <w:r w:rsidRPr="00BC1ABD">
        <w:rPr>
          <w:rFonts w:cs="Arial"/>
          <w:sz w:val="24"/>
          <w:szCs w:val="24"/>
          <w:lang w:val="en-GB"/>
        </w:rPr>
        <w:t>There are 13 settlements with 260,986 inhabitants, where Magticom</w:t>
      </w:r>
      <w:r w:rsidR="008C375B">
        <w:rPr>
          <w:rFonts w:cs="Arial"/>
          <w:sz w:val="24"/>
          <w:szCs w:val="24"/>
          <w:lang w:val="en-GB"/>
        </w:rPr>
        <w:t xml:space="preserve">’s share of </w:t>
      </w:r>
      <w:r w:rsidR="008C375B" w:rsidRPr="00BC1ABD">
        <w:rPr>
          <w:rFonts w:cs="Arial"/>
          <w:sz w:val="24"/>
          <w:szCs w:val="24"/>
          <w:lang w:val="en-GB"/>
        </w:rPr>
        <w:t>broadband subscribers</w:t>
      </w:r>
      <w:r w:rsidR="008C375B">
        <w:rPr>
          <w:rFonts w:cs="Arial"/>
          <w:sz w:val="24"/>
          <w:szCs w:val="24"/>
          <w:lang w:val="en-GB"/>
        </w:rPr>
        <w:t xml:space="preserve"> is </w:t>
      </w:r>
      <w:r w:rsidRPr="00BC1ABD">
        <w:rPr>
          <w:rFonts w:cs="Arial"/>
          <w:sz w:val="24"/>
          <w:szCs w:val="24"/>
          <w:lang w:val="en-GB"/>
        </w:rPr>
        <w:t xml:space="preserve">less than 40% and </w:t>
      </w:r>
      <w:r w:rsidR="008C375B" w:rsidRPr="00BC1ABD">
        <w:rPr>
          <w:rFonts w:cs="Arial"/>
          <w:sz w:val="24"/>
          <w:szCs w:val="24"/>
          <w:lang w:val="en-GB"/>
        </w:rPr>
        <w:t>Silkne</w:t>
      </w:r>
      <w:r w:rsidR="009B0B19">
        <w:rPr>
          <w:rFonts w:cs="Arial"/>
          <w:sz w:val="24"/>
          <w:szCs w:val="24"/>
          <w:lang w:val="en-GB"/>
        </w:rPr>
        <w:t>t</w:t>
      </w:r>
      <w:r w:rsidR="008C375B">
        <w:rPr>
          <w:rFonts w:cs="Arial"/>
          <w:sz w:val="24"/>
          <w:szCs w:val="24"/>
          <w:lang w:val="en-GB"/>
        </w:rPr>
        <w:t>’s is</w:t>
      </w:r>
      <w:r w:rsidR="008C375B" w:rsidRPr="00BC1ABD">
        <w:rPr>
          <w:rFonts w:cs="Arial"/>
          <w:sz w:val="24"/>
          <w:szCs w:val="24"/>
          <w:lang w:val="en-GB"/>
        </w:rPr>
        <w:t xml:space="preserve"> </w:t>
      </w:r>
      <w:r w:rsidRPr="00BC1ABD">
        <w:rPr>
          <w:rFonts w:cs="Arial"/>
          <w:sz w:val="24"/>
          <w:szCs w:val="24"/>
          <w:lang w:val="en-GB"/>
        </w:rPr>
        <w:t xml:space="preserve">more than 50%. One of these is Batumi with 152,839 inhabitants, which, since its population is over 100,000 has been designated as requiring separate treatment (see Chapter </w:t>
      </w:r>
      <w:r w:rsidR="005A79E7">
        <w:rPr>
          <w:rFonts w:cs="Arial"/>
          <w:sz w:val="24"/>
          <w:szCs w:val="24"/>
          <w:lang w:val="en-GB"/>
        </w:rPr>
        <w:t>6</w:t>
      </w:r>
      <w:r w:rsidRPr="00BC1ABD">
        <w:rPr>
          <w:rFonts w:cs="Arial"/>
          <w:sz w:val="24"/>
          <w:szCs w:val="24"/>
          <w:lang w:val="en-GB"/>
        </w:rPr>
        <w:t xml:space="preserve">.2). In the remaining 12 settlements there are a total of 108,147 inhabitants, which is less than 3% of the population of Georgia. Even in those settlements the number of premises passed by Magticom (37,845) rivals Silknet’s (41,446) and so it is considered that Magticom could expand its </w:t>
      </w:r>
      <w:r w:rsidR="00F026B4">
        <w:rPr>
          <w:rFonts w:cs="Arial"/>
          <w:sz w:val="24"/>
          <w:szCs w:val="24"/>
          <w:lang w:val="en-GB"/>
        </w:rPr>
        <w:t>FTTx</w:t>
      </w:r>
      <w:r w:rsidRPr="00BC1ABD">
        <w:rPr>
          <w:rFonts w:cs="Arial"/>
          <w:sz w:val="24"/>
          <w:szCs w:val="24"/>
          <w:lang w:val="en-GB"/>
        </w:rPr>
        <w:t xml:space="preserve"> network relatively easily.</w:t>
      </w:r>
    </w:p>
    <w:p w14:paraId="49249448" w14:textId="6DBB5F8A"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96" w:name="_Toc169258972"/>
      <w:r w:rsidRPr="00F028B0">
        <w:rPr>
          <w:rFonts w:asciiTheme="minorHAnsi" w:hAnsiTheme="minorHAnsi" w:cstheme="minorHAnsi"/>
          <w:b w:val="0"/>
          <w:bCs w:val="0"/>
          <w:sz w:val="24"/>
          <w:szCs w:val="24"/>
          <w:lang w:val="en-GB"/>
        </w:rPr>
        <w:t xml:space="preserve">The risks in settlements where Magticom is not present but other </w:t>
      </w:r>
      <w:r w:rsidR="00F026B4">
        <w:rPr>
          <w:rFonts w:asciiTheme="minorHAnsi" w:hAnsiTheme="minorHAnsi" w:cstheme="minorHAnsi"/>
          <w:b w:val="0"/>
          <w:bCs w:val="0"/>
          <w:sz w:val="24"/>
          <w:szCs w:val="24"/>
          <w:lang w:val="en-GB"/>
        </w:rPr>
        <w:t>FTTx</w:t>
      </w:r>
      <w:r w:rsidRPr="00F028B0">
        <w:rPr>
          <w:rFonts w:asciiTheme="minorHAnsi" w:hAnsiTheme="minorHAnsi" w:cstheme="minorHAnsi"/>
          <w:b w:val="0"/>
          <w:bCs w:val="0"/>
          <w:sz w:val="24"/>
          <w:szCs w:val="24"/>
          <w:lang w:val="en-GB"/>
        </w:rPr>
        <w:t xml:space="preserve"> operators exist</w:t>
      </w:r>
      <w:bookmarkEnd w:id="296"/>
    </w:p>
    <w:p w14:paraId="1B596FCA" w14:textId="3637939B" w:rsidR="00A0244C" w:rsidRPr="00BC1ABD" w:rsidRDefault="00A0244C" w:rsidP="00A0244C">
      <w:pPr>
        <w:pStyle w:val="Caption"/>
        <w:jc w:val="center"/>
        <w:rPr>
          <w:rFonts w:cs="Arial"/>
          <w:b/>
          <w:sz w:val="24"/>
          <w:szCs w:val="24"/>
          <w:lang w:val="en-GB"/>
        </w:rPr>
      </w:pPr>
      <w:bookmarkStart w:id="297" w:name="_Toc152931408"/>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57</w:t>
      </w:r>
      <w:r w:rsidRPr="00BC1ABD">
        <w:rPr>
          <w:lang w:val="en-GB"/>
        </w:rPr>
        <w:fldChar w:fldCharType="end"/>
      </w:r>
      <w:r w:rsidRPr="00BC1ABD">
        <w:rPr>
          <w:lang w:val="en-GB"/>
        </w:rPr>
        <w:t>: Assessment of settlements where Magticom is not present, but other operators are</w:t>
      </w:r>
      <w:bookmarkEnd w:id="297"/>
    </w:p>
    <w:tbl>
      <w:tblPr>
        <w:tblW w:w="8460" w:type="dxa"/>
        <w:tblCellMar>
          <w:left w:w="70" w:type="dxa"/>
          <w:right w:w="70" w:type="dxa"/>
        </w:tblCellMar>
        <w:tblLook w:val="04A0" w:firstRow="1" w:lastRow="0" w:firstColumn="1" w:lastColumn="0" w:noHBand="0" w:noVBand="1"/>
      </w:tblPr>
      <w:tblGrid>
        <w:gridCol w:w="2380"/>
        <w:gridCol w:w="1520"/>
        <w:gridCol w:w="1520"/>
        <w:gridCol w:w="1520"/>
        <w:gridCol w:w="1520"/>
      </w:tblGrid>
      <w:tr w:rsidR="00A0244C" w:rsidRPr="00BC1ABD" w14:paraId="37F67036" w14:textId="77777777" w:rsidTr="007354E3">
        <w:trPr>
          <w:trHeight w:val="615"/>
        </w:trPr>
        <w:tc>
          <w:tcPr>
            <w:tcW w:w="2380" w:type="dxa"/>
            <w:tcBorders>
              <w:top w:val="single" w:sz="12" w:space="0" w:color="auto"/>
              <w:left w:val="single" w:sz="12" w:space="0" w:color="auto"/>
              <w:bottom w:val="single" w:sz="4" w:space="0" w:color="auto"/>
              <w:right w:val="single" w:sz="4" w:space="0" w:color="auto"/>
            </w:tcBorders>
            <w:shd w:val="clear" w:color="000000" w:fill="5B9BD5"/>
            <w:noWrap/>
            <w:vAlign w:val="bottom"/>
            <w:hideMark/>
          </w:tcPr>
          <w:p w14:paraId="512265DC"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The biggest operator</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2FAA7BB8"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No of settlements</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3A5910AB"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Population</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05E14D43"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Households</w:t>
            </w:r>
          </w:p>
        </w:tc>
        <w:tc>
          <w:tcPr>
            <w:tcW w:w="1520" w:type="dxa"/>
            <w:tcBorders>
              <w:top w:val="single" w:sz="12" w:space="0" w:color="auto"/>
              <w:left w:val="nil"/>
              <w:bottom w:val="single" w:sz="4" w:space="0" w:color="auto"/>
              <w:right w:val="single" w:sz="12" w:space="0" w:color="auto"/>
            </w:tcBorders>
            <w:shd w:val="clear" w:color="000000" w:fill="5B9BD5"/>
            <w:vAlign w:val="bottom"/>
            <w:hideMark/>
          </w:tcPr>
          <w:p w14:paraId="2F5DAE5A" w14:textId="5000D4E3"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 xml:space="preserve">No of </w:t>
            </w:r>
            <w:r w:rsidR="00F026B4">
              <w:rPr>
                <w:rFonts w:eastAsia="Times New Roman" w:cs="Calibri"/>
                <w:b/>
                <w:bCs/>
                <w:color w:val="000000"/>
                <w:lang w:val="en-GB" w:eastAsia="sl-SI"/>
              </w:rPr>
              <w:t>FTTx</w:t>
            </w:r>
            <w:r w:rsidRPr="00BC1ABD">
              <w:rPr>
                <w:rFonts w:eastAsia="Times New Roman" w:cs="Calibri"/>
                <w:b/>
                <w:bCs/>
                <w:color w:val="000000"/>
                <w:lang w:val="en-GB" w:eastAsia="sl-SI"/>
              </w:rPr>
              <w:t xml:space="preserve"> subscribers</w:t>
            </w:r>
          </w:p>
        </w:tc>
      </w:tr>
      <w:tr w:rsidR="00A0244C" w:rsidRPr="00BC1ABD" w14:paraId="442F0AE4" w14:textId="77777777" w:rsidTr="007354E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043BA655"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Silknet</w:t>
            </w:r>
          </w:p>
        </w:tc>
        <w:tc>
          <w:tcPr>
            <w:tcW w:w="1520" w:type="dxa"/>
            <w:tcBorders>
              <w:top w:val="nil"/>
              <w:left w:val="nil"/>
              <w:bottom w:val="single" w:sz="4" w:space="0" w:color="auto"/>
              <w:right w:val="single" w:sz="4" w:space="0" w:color="auto"/>
            </w:tcBorders>
            <w:shd w:val="clear" w:color="auto" w:fill="auto"/>
            <w:vAlign w:val="bottom"/>
            <w:hideMark/>
          </w:tcPr>
          <w:p w14:paraId="7F68AEC4"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w:t>
            </w:r>
          </w:p>
        </w:tc>
        <w:tc>
          <w:tcPr>
            <w:tcW w:w="1520" w:type="dxa"/>
            <w:tcBorders>
              <w:top w:val="nil"/>
              <w:left w:val="nil"/>
              <w:bottom w:val="single" w:sz="4" w:space="0" w:color="auto"/>
              <w:right w:val="single" w:sz="4" w:space="0" w:color="auto"/>
            </w:tcBorders>
            <w:shd w:val="clear" w:color="auto" w:fill="auto"/>
            <w:vAlign w:val="bottom"/>
            <w:hideMark/>
          </w:tcPr>
          <w:p w14:paraId="6E0595A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501</w:t>
            </w:r>
          </w:p>
        </w:tc>
        <w:tc>
          <w:tcPr>
            <w:tcW w:w="1520" w:type="dxa"/>
            <w:tcBorders>
              <w:top w:val="nil"/>
              <w:left w:val="nil"/>
              <w:bottom w:val="single" w:sz="4" w:space="0" w:color="auto"/>
              <w:right w:val="single" w:sz="4" w:space="0" w:color="auto"/>
            </w:tcBorders>
            <w:shd w:val="clear" w:color="auto" w:fill="auto"/>
            <w:vAlign w:val="bottom"/>
            <w:hideMark/>
          </w:tcPr>
          <w:p w14:paraId="674A283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192</w:t>
            </w:r>
          </w:p>
        </w:tc>
        <w:tc>
          <w:tcPr>
            <w:tcW w:w="1520" w:type="dxa"/>
            <w:tcBorders>
              <w:top w:val="nil"/>
              <w:left w:val="nil"/>
              <w:bottom w:val="single" w:sz="4" w:space="0" w:color="auto"/>
              <w:right w:val="single" w:sz="12" w:space="0" w:color="auto"/>
            </w:tcBorders>
            <w:shd w:val="clear" w:color="auto" w:fill="auto"/>
            <w:vAlign w:val="bottom"/>
            <w:hideMark/>
          </w:tcPr>
          <w:p w14:paraId="22F5A10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w:t>
            </w:r>
          </w:p>
        </w:tc>
      </w:tr>
      <w:tr w:rsidR="00A0244C" w:rsidRPr="00BC1ABD" w14:paraId="4068A625" w14:textId="77777777" w:rsidTr="007354E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5BC1B102"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Skytel</w:t>
            </w:r>
          </w:p>
        </w:tc>
        <w:tc>
          <w:tcPr>
            <w:tcW w:w="1520" w:type="dxa"/>
            <w:tcBorders>
              <w:top w:val="nil"/>
              <w:left w:val="nil"/>
              <w:bottom w:val="single" w:sz="4" w:space="0" w:color="auto"/>
              <w:right w:val="single" w:sz="4" w:space="0" w:color="auto"/>
            </w:tcBorders>
            <w:shd w:val="clear" w:color="auto" w:fill="auto"/>
            <w:vAlign w:val="bottom"/>
            <w:hideMark/>
          </w:tcPr>
          <w:p w14:paraId="30B06DF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108</w:t>
            </w:r>
          </w:p>
        </w:tc>
        <w:tc>
          <w:tcPr>
            <w:tcW w:w="1520" w:type="dxa"/>
            <w:tcBorders>
              <w:top w:val="nil"/>
              <w:left w:val="nil"/>
              <w:bottom w:val="single" w:sz="4" w:space="0" w:color="auto"/>
              <w:right w:val="single" w:sz="4" w:space="0" w:color="auto"/>
            </w:tcBorders>
            <w:shd w:val="clear" w:color="auto" w:fill="auto"/>
            <w:vAlign w:val="bottom"/>
            <w:hideMark/>
          </w:tcPr>
          <w:p w14:paraId="7B76BD0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60,326</w:t>
            </w:r>
          </w:p>
        </w:tc>
        <w:tc>
          <w:tcPr>
            <w:tcW w:w="1520" w:type="dxa"/>
            <w:tcBorders>
              <w:top w:val="nil"/>
              <w:left w:val="nil"/>
              <w:bottom w:val="single" w:sz="4" w:space="0" w:color="auto"/>
              <w:right w:val="single" w:sz="4" w:space="0" w:color="auto"/>
            </w:tcBorders>
            <w:shd w:val="clear" w:color="auto" w:fill="auto"/>
            <w:vAlign w:val="bottom"/>
            <w:hideMark/>
          </w:tcPr>
          <w:p w14:paraId="153F50E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19,072</w:t>
            </w:r>
          </w:p>
        </w:tc>
        <w:tc>
          <w:tcPr>
            <w:tcW w:w="1520" w:type="dxa"/>
            <w:tcBorders>
              <w:top w:val="nil"/>
              <w:left w:val="nil"/>
              <w:bottom w:val="single" w:sz="4" w:space="0" w:color="auto"/>
              <w:right w:val="single" w:sz="12" w:space="0" w:color="auto"/>
            </w:tcBorders>
            <w:shd w:val="clear" w:color="auto" w:fill="auto"/>
            <w:vAlign w:val="bottom"/>
            <w:hideMark/>
          </w:tcPr>
          <w:p w14:paraId="3910466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6,854</w:t>
            </w:r>
          </w:p>
        </w:tc>
      </w:tr>
      <w:tr w:rsidR="00A0244C" w:rsidRPr="00BC1ABD" w14:paraId="31E19AB2" w14:textId="77777777" w:rsidTr="007354E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09BAA80B"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Akhali Kselebi Group</w:t>
            </w:r>
          </w:p>
        </w:tc>
        <w:tc>
          <w:tcPr>
            <w:tcW w:w="1520" w:type="dxa"/>
            <w:tcBorders>
              <w:top w:val="nil"/>
              <w:left w:val="nil"/>
              <w:bottom w:val="single" w:sz="4" w:space="0" w:color="auto"/>
              <w:right w:val="single" w:sz="4" w:space="0" w:color="auto"/>
            </w:tcBorders>
            <w:shd w:val="clear" w:color="auto" w:fill="auto"/>
            <w:vAlign w:val="bottom"/>
            <w:hideMark/>
          </w:tcPr>
          <w:p w14:paraId="58CD763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w:t>
            </w:r>
          </w:p>
        </w:tc>
        <w:tc>
          <w:tcPr>
            <w:tcW w:w="1520" w:type="dxa"/>
            <w:tcBorders>
              <w:top w:val="nil"/>
              <w:left w:val="nil"/>
              <w:bottom w:val="single" w:sz="4" w:space="0" w:color="auto"/>
              <w:right w:val="single" w:sz="4" w:space="0" w:color="auto"/>
            </w:tcBorders>
            <w:shd w:val="clear" w:color="auto" w:fill="auto"/>
            <w:vAlign w:val="bottom"/>
            <w:hideMark/>
          </w:tcPr>
          <w:p w14:paraId="5D3D6CC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547</w:t>
            </w:r>
          </w:p>
        </w:tc>
        <w:tc>
          <w:tcPr>
            <w:tcW w:w="1520" w:type="dxa"/>
            <w:tcBorders>
              <w:top w:val="nil"/>
              <w:left w:val="nil"/>
              <w:bottom w:val="single" w:sz="4" w:space="0" w:color="auto"/>
              <w:right w:val="single" w:sz="4" w:space="0" w:color="auto"/>
            </w:tcBorders>
            <w:shd w:val="clear" w:color="auto" w:fill="auto"/>
            <w:vAlign w:val="bottom"/>
            <w:hideMark/>
          </w:tcPr>
          <w:p w14:paraId="1883FD9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166</w:t>
            </w:r>
          </w:p>
        </w:tc>
        <w:tc>
          <w:tcPr>
            <w:tcW w:w="1520" w:type="dxa"/>
            <w:tcBorders>
              <w:top w:val="nil"/>
              <w:left w:val="nil"/>
              <w:bottom w:val="single" w:sz="4" w:space="0" w:color="auto"/>
              <w:right w:val="single" w:sz="12" w:space="0" w:color="auto"/>
            </w:tcBorders>
            <w:shd w:val="clear" w:color="auto" w:fill="auto"/>
            <w:vAlign w:val="bottom"/>
            <w:hideMark/>
          </w:tcPr>
          <w:p w14:paraId="1AA4732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33</w:t>
            </w:r>
          </w:p>
        </w:tc>
      </w:tr>
      <w:tr w:rsidR="00A0244C" w:rsidRPr="00BC1ABD" w14:paraId="7413D90E" w14:textId="77777777" w:rsidTr="007354E3">
        <w:trPr>
          <w:trHeight w:val="315"/>
        </w:trPr>
        <w:tc>
          <w:tcPr>
            <w:tcW w:w="2380" w:type="dxa"/>
            <w:tcBorders>
              <w:top w:val="nil"/>
              <w:left w:val="single" w:sz="12" w:space="0" w:color="auto"/>
              <w:bottom w:val="nil"/>
              <w:right w:val="single" w:sz="4" w:space="0" w:color="auto"/>
            </w:tcBorders>
            <w:shd w:val="clear" w:color="auto" w:fill="auto"/>
            <w:noWrap/>
            <w:vAlign w:val="bottom"/>
            <w:hideMark/>
          </w:tcPr>
          <w:p w14:paraId="36F8731C"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Other</w:t>
            </w:r>
          </w:p>
        </w:tc>
        <w:tc>
          <w:tcPr>
            <w:tcW w:w="1520" w:type="dxa"/>
            <w:tcBorders>
              <w:top w:val="nil"/>
              <w:left w:val="nil"/>
              <w:bottom w:val="nil"/>
              <w:right w:val="single" w:sz="4" w:space="0" w:color="auto"/>
            </w:tcBorders>
            <w:shd w:val="clear" w:color="auto" w:fill="auto"/>
            <w:vAlign w:val="bottom"/>
            <w:hideMark/>
          </w:tcPr>
          <w:p w14:paraId="7464C7D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281</w:t>
            </w:r>
          </w:p>
        </w:tc>
        <w:tc>
          <w:tcPr>
            <w:tcW w:w="1520" w:type="dxa"/>
            <w:tcBorders>
              <w:top w:val="nil"/>
              <w:left w:val="nil"/>
              <w:bottom w:val="nil"/>
              <w:right w:val="single" w:sz="4" w:space="0" w:color="auto"/>
            </w:tcBorders>
            <w:shd w:val="clear" w:color="auto" w:fill="auto"/>
            <w:vAlign w:val="bottom"/>
            <w:hideMark/>
          </w:tcPr>
          <w:p w14:paraId="59539F0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153,384</w:t>
            </w:r>
          </w:p>
        </w:tc>
        <w:tc>
          <w:tcPr>
            <w:tcW w:w="1520" w:type="dxa"/>
            <w:tcBorders>
              <w:top w:val="nil"/>
              <w:left w:val="nil"/>
              <w:bottom w:val="nil"/>
              <w:right w:val="single" w:sz="4" w:space="0" w:color="auto"/>
            </w:tcBorders>
            <w:shd w:val="clear" w:color="auto" w:fill="auto"/>
            <w:vAlign w:val="bottom"/>
            <w:hideMark/>
          </w:tcPr>
          <w:p w14:paraId="7808CF9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41,462</w:t>
            </w:r>
          </w:p>
        </w:tc>
        <w:tc>
          <w:tcPr>
            <w:tcW w:w="1520" w:type="dxa"/>
            <w:tcBorders>
              <w:top w:val="nil"/>
              <w:left w:val="nil"/>
              <w:bottom w:val="nil"/>
              <w:right w:val="single" w:sz="12" w:space="0" w:color="auto"/>
            </w:tcBorders>
            <w:shd w:val="clear" w:color="auto" w:fill="auto"/>
            <w:vAlign w:val="bottom"/>
            <w:hideMark/>
          </w:tcPr>
          <w:p w14:paraId="0510E45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21,936</w:t>
            </w:r>
          </w:p>
        </w:tc>
      </w:tr>
      <w:tr w:rsidR="00A0244C" w:rsidRPr="00BC1ABD" w14:paraId="11CD76B1" w14:textId="77777777" w:rsidTr="007354E3">
        <w:trPr>
          <w:trHeight w:val="330"/>
        </w:trPr>
        <w:tc>
          <w:tcPr>
            <w:tcW w:w="2380"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387AE1ED"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SUM</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5D3A140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392</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181FC6C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214,758</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1618D56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60,892</w:t>
            </w:r>
          </w:p>
        </w:tc>
        <w:tc>
          <w:tcPr>
            <w:tcW w:w="1520" w:type="dxa"/>
            <w:tcBorders>
              <w:top w:val="single" w:sz="12" w:space="0" w:color="auto"/>
              <w:left w:val="nil"/>
              <w:bottom w:val="single" w:sz="12" w:space="0" w:color="auto"/>
              <w:right w:val="single" w:sz="12" w:space="0" w:color="auto"/>
            </w:tcBorders>
            <w:shd w:val="clear" w:color="auto" w:fill="auto"/>
            <w:vAlign w:val="bottom"/>
            <w:hideMark/>
          </w:tcPr>
          <w:p w14:paraId="51BE6FA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28,825</w:t>
            </w:r>
          </w:p>
        </w:tc>
      </w:tr>
      <w:tr w:rsidR="00A0244C" w:rsidRPr="00BC1ABD" w14:paraId="39162AB6" w14:textId="77777777" w:rsidTr="007354E3">
        <w:trPr>
          <w:trHeight w:val="330"/>
        </w:trPr>
        <w:tc>
          <w:tcPr>
            <w:tcW w:w="2380" w:type="dxa"/>
            <w:tcBorders>
              <w:top w:val="nil"/>
              <w:left w:val="single" w:sz="12" w:space="0" w:color="auto"/>
              <w:bottom w:val="single" w:sz="12" w:space="0" w:color="auto"/>
              <w:right w:val="single" w:sz="4" w:space="0" w:color="auto"/>
            </w:tcBorders>
            <w:shd w:val="clear" w:color="auto" w:fill="auto"/>
            <w:noWrap/>
            <w:vAlign w:val="bottom"/>
            <w:hideMark/>
          </w:tcPr>
          <w:p w14:paraId="124F19CD"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 of the national market</w:t>
            </w:r>
          </w:p>
        </w:tc>
        <w:tc>
          <w:tcPr>
            <w:tcW w:w="1520" w:type="dxa"/>
            <w:tcBorders>
              <w:top w:val="nil"/>
              <w:left w:val="nil"/>
              <w:bottom w:val="single" w:sz="12" w:space="0" w:color="auto"/>
              <w:right w:val="single" w:sz="4" w:space="0" w:color="auto"/>
            </w:tcBorders>
            <w:shd w:val="clear" w:color="auto" w:fill="auto"/>
            <w:vAlign w:val="bottom"/>
            <w:hideMark/>
          </w:tcPr>
          <w:p w14:paraId="7F9D9B7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10.7%</w:t>
            </w:r>
          </w:p>
        </w:tc>
        <w:tc>
          <w:tcPr>
            <w:tcW w:w="1520" w:type="dxa"/>
            <w:tcBorders>
              <w:top w:val="nil"/>
              <w:left w:val="nil"/>
              <w:bottom w:val="single" w:sz="12" w:space="0" w:color="auto"/>
              <w:right w:val="single" w:sz="4" w:space="0" w:color="auto"/>
            </w:tcBorders>
            <w:shd w:val="clear" w:color="auto" w:fill="auto"/>
            <w:vAlign w:val="bottom"/>
            <w:hideMark/>
          </w:tcPr>
          <w:p w14:paraId="5C624E2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5.8%</w:t>
            </w:r>
          </w:p>
        </w:tc>
        <w:tc>
          <w:tcPr>
            <w:tcW w:w="1520" w:type="dxa"/>
            <w:tcBorders>
              <w:top w:val="nil"/>
              <w:left w:val="nil"/>
              <w:bottom w:val="single" w:sz="12" w:space="0" w:color="auto"/>
              <w:right w:val="single" w:sz="4" w:space="0" w:color="auto"/>
            </w:tcBorders>
            <w:shd w:val="clear" w:color="auto" w:fill="auto"/>
            <w:vAlign w:val="bottom"/>
            <w:hideMark/>
          </w:tcPr>
          <w:p w14:paraId="425D9FF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4.9%</w:t>
            </w:r>
          </w:p>
        </w:tc>
        <w:tc>
          <w:tcPr>
            <w:tcW w:w="1520" w:type="dxa"/>
            <w:tcBorders>
              <w:top w:val="nil"/>
              <w:left w:val="nil"/>
              <w:bottom w:val="single" w:sz="12" w:space="0" w:color="auto"/>
              <w:right w:val="single" w:sz="4" w:space="0" w:color="auto"/>
            </w:tcBorders>
            <w:shd w:val="clear" w:color="auto" w:fill="auto"/>
            <w:vAlign w:val="bottom"/>
            <w:hideMark/>
          </w:tcPr>
          <w:p w14:paraId="1CCE802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3.5%</w:t>
            </w:r>
          </w:p>
        </w:tc>
      </w:tr>
    </w:tbl>
    <w:p w14:paraId="22714EDA" w14:textId="77777777" w:rsidR="00A0244C" w:rsidRPr="00BC1ABD" w:rsidRDefault="00A0244C" w:rsidP="00A0244C">
      <w:pPr>
        <w:jc w:val="center"/>
        <w:rPr>
          <w:rFonts w:cs="Arial"/>
          <w:sz w:val="4"/>
          <w:szCs w:val="4"/>
          <w:lang w:val="en-GB"/>
        </w:rPr>
      </w:pPr>
    </w:p>
    <w:p w14:paraId="6FEAC6A7"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1CD3DD1F" w14:textId="0940796A"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settlements shown in Figure </w:t>
      </w:r>
      <w:r w:rsidR="00644A4F">
        <w:rPr>
          <w:sz w:val="24"/>
          <w:lang w:val="en-GB"/>
        </w:rPr>
        <w:t>56</w:t>
      </w:r>
      <w:r w:rsidRPr="00BC1ABD">
        <w:rPr>
          <w:rFonts w:cs="Arial"/>
          <w:sz w:val="24"/>
          <w:szCs w:val="24"/>
          <w:lang w:val="en-GB"/>
        </w:rPr>
        <w:t xml:space="preserve"> represent only a small part of the Georgian market (5.8% of the population). Around 72% of those settlements (281 settlements out of 392) are covered by small, independent operators (‘Other’ in Figure </w:t>
      </w:r>
      <w:r w:rsidR="000241A0">
        <w:rPr>
          <w:rFonts w:cs="Arial"/>
          <w:sz w:val="24"/>
          <w:szCs w:val="24"/>
          <w:lang w:val="en-GB"/>
        </w:rPr>
        <w:t>56</w:t>
      </w:r>
      <w:r w:rsidRPr="00BC1ABD">
        <w:rPr>
          <w:rFonts w:cs="Arial"/>
          <w:sz w:val="24"/>
          <w:szCs w:val="24"/>
          <w:lang w:val="en-GB"/>
        </w:rPr>
        <w:t xml:space="preserve">). 60,326 </w:t>
      </w:r>
      <w:r w:rsidR="0098656A">
        <w:rPr>
          <w:rFonts w:cs="Arial"/>
          <w:sz w:val="24"/>
          <w:szCs w:val="24"/>
          <w:lang w:val="en-GB"/>
        </w:rPr>
        <w:t>inhabitants</w:t>
      </w:r>
      <w:r w:rsidR="0098656A" w:rsidRPr="00BC1ABD">
        <w:rPr>
          <w:rFonts w:cs="Arial"/>
          <w:sz w:val="24"/>
          <w:szCs w:val="24"/>
          <w:lang w:val="en-GB"/>
        </w:rPr>
        <w:t xml:space="preserve"> </w:t>
      </w:r>
      <w:r w:rsidRPr="00BC1ABD">
        <w:rPr>
          <w:rFonts w:cs="Arial"/>
          <w:sz w:val="24"/>
          <w:szCs w:val="24"/>
          <w:lang w:val="en-GB"/>
        </w:rPr>
        <w:t xml:space="preserve">are in settlements, where Skytel is the biggest operator. Silknet, as the second largest national operator in Georgia, is only present in 2 (very small) settlements where Magticom is not present. </w:t>
      </w:r>
      <w:r w:rsidR="001A02CA">
        <w:rPr>
          <w:rFonts w:cs="Arial"/>
          <w:sz w:val="24"/>
          <w:szCs w:val="24"/>
          <w:lang w:val="en-GB"/>
        </w:rPr>
        <w:t>Akhali Kselebi</w:t>
      </w:r>
      <w:r w:rsidRPr="00BC1ABD">
        <w:rPr>
          <w:rFonts w:cs="Arial"/>
          <w:sz w:val="24"/>
          <w:szCs w:val="24"/>
          <w:lang w:val="en-GB"/>
        </w:rPr>
        <w:t xml:space="preserve"> is the biggest operator only in one settlement.</w:t>
      </w:r>
    </w:p>
    <w:p w14:paraId="743E135D" w14:textId="79894EF2" w:rsidR="00A0244C" w:rsidRPr="00BC1ABD" w:rsidRDefault="00A0244C" w:rsidP="00A0244C">
      <w:pPr>
        <w:adjustRightInd w:val="0"/>
        <w:spacing w:after="240"/>
        <w:jc w:val="both"/>
        <w:rPr>
          <w:rFonts w:cs="Arial"/>
          <w:sz w:val="24"/>
          <w:szCs w:val="24"/>
          <w:lang w:val="en-GB"/>
        </w:rPr>
      </w:pPr>
      <w:r w:rsidRPr="004B6C56">
        <w:rPr>
          <w:rFonts w:cs="Arial"/>
          <w:sz w:val="24"/>
          <w:szCs w:val="24"/>
          <w:lang w:val="en-GB"/>
        </w:rPr>
        <w:t xml:space="preserve">Smaller operators (‘Other’) are a very heterogeneous group but they have in common that they cannot </w:t>
      </w:r>
      <w:r w:rsidR="009B0B19" w:rsidRPr="004B6C56">
        <w:rPr>
          <w:rFonts w:cs="Arial"/>
          <w:sz w:val="24"/>
          <w:szCs w:val="24"/>
          <w:lang w:val="en-GB"/>
        </w:rPr>
        <w:t xml:space="preserve">provide any competitive constraint </w:t>
      </w:r>
      <w:r w:rsidRPr="004B6C56">
        <w:rPr>
          <w:rFonts w:cs="Arial"/>
          <w:sz w:val="24"/>
          <w:szCs w:val="24"/>
          <w:lang w:val="en-GB"/>
        </w:rPr>
        <w:t>to Magticom</w:t>
      </w:r>
      <w:r w:rsidR="009B0B19" w:rsidRPr="004B6C56">
        <w:rPr>
          <w:rFonts w:cs="Arial"/>
          <w:sz w:val="24"/>
          <w:szCs w:val="24"/>
          <w:lang w:val="en-GB"/>
        </w:rPr>
        <w:t xml:space="preserve"> </w:t>
      </w:r>
      <w:r w:rsidRPr="004B6C56">
        <w:rPr>
          <w:rFonts w:cs="Arial"/>
          <w:sz w:val="24"/>
          <w:szCs w:val="24"/>
          <w:lang w:val="en-GB"/>
        </w:rPr>
        <w:t>within the forward-looking time horizon of this market analysis</w:t>
      </w:r>
      <w:r w:rsidR="009B0B19" w:rsidRPr="004B6C56">
        <w:rPr>
          <w:rFonts w:cs="Arial"/>
          <w:sz w:val="24"/>
          <w:szCs w:val="24"/>
          <w:lang w:val="en-GB"/>
        </w:rPr>
        <w:t>. E</w:t>
      </w:r>
      <w:r w:rsidRPr="004B6C56">
        <w:rPr>
          <w:rFonts w:cs="Arial"/>
          <w:sz w:val="24"/>
          <w:szCs w:val="24"/>
          <w:lang w:val="en-GB"/>
        </w:rPr>
        <w:t>ven if there was significant consolidation amongst these smaller players</w:t>
      </w:r>
      <w:r w:rsidR="009B0B19" w:rsidRPr="004B6C56">
        <w:rPr>
          <w:rFonts w:cs="Arial"/>
          <w:sz w:val="24"/>
          <w:szCs w:val="24"/>
          <w:lang w:val="en-GB"/>
        </w:rPr>
        <w:t xml:space="preserve">, the number and population of settlements in which they are among the leading operators would not be substantial enough to force Magticom to abandon its national marketing and pricing strategy to respond to the offers of these smaller players: </w:t>
      </w:r>
      <w:r w:rsidRPr="004B6C56">
        <w:rPr>
          <w:rFonts w:cs="Arial"/>
          <w:sz w:val="24"/>
          <w:szCs w:val="24"/>
          <w:lang w:val="en-GB"/>
        </w:rPr>
        <w:t xml:space="preserve">Skytel has only 6,854 </w:t>
      </w:r>
      <w:r w:rsidR="00F026B4">
        <w:rPr>
          <w:rFonts w:cs="Arial"/>
          <w:sz w:val="24"/>
          <w:szCs w:val="24"/>
          <w:lang w:val="en-GB"/>
        </w:rPr>
        <w:t>FTTx</w:t>
      </w:r>
      <w:r w:rsidRPr="004B6C56">
        <w:rPr>
          <w:rFonts w:cs="Arial"/>
          <w:sz w:val="24"/>
          <w:szCs w:val="24"/>
          <w:lang w:val="en-GB"/>
        </w:rPr>
        <w:t xml:space="preserve"> subscribers in the settlements where it is currently the largest </w:t>
      </w:r>
      <w:r w:rsidR="00F026B4">
        <w:rPr>
          <w:rFonts w:cs="Arial"/>
          <w:sz w:val="24"/>
          <w:szCs w:val="24"/>
          <w:lang w:val="en-GB"/>
        </w:rPr>
        <w:t>FTTx</w:t>
      </w:r>
      <w:r w:rsidRPr="004B6C56">
        <w:rPr>
          <w:rFonts w:cs="Arial"/>
          <w:sz w:val="24"/>
          <w:szCs w:val="24"/>
          <w:lang w:val="en-GB"/>
        </w:rPr>
        <w:t xml:space="preserve"> operator, which is less than 1% of the national retail </w:t>
      </w:r>
      <w:r w:rsidR="00F026B4">
        <w:rPr>
          <w:rFonts w:cs="Arial"/>
          <w:sz w:val="24"/>
          <w:szCs w:val="24"/>
          <w:lang w:val="en-GB"/>
        </w:rPr>
        <w:t>FTTx</w:t>
      </w:r>
      <w:r w:rsidRPr="004B6C56">
        <w:rPr>
          <w:rFonts w:cs="Arial"/>
          <w:sz w:val="24"/>
          <w:szCs w:val="24"/>
          <w:lang w:val="en-GB"/>
        </w:rPr>
        <w:t>-based fixed broadband access market.</w:t>
      </w:r>
      <w:r w:rsidR="009B0B19" w:rsidRPr="009B0B19">
        <w:rPr>
          <w:rFonts w:cs="Arial"/>
          <w:sz w:val="24"/>
          <w:szCs w:val="24"/>
          <w:lang w:val="en-GB"/>
        </w:rPr>
        <w:t xml:space="preserve"> </w:t>
      </w:r>
      <w:r w:rsidRPr="00BC1ABD">
        <w:rPr>
          <w:rFonts w:cs="Arial"/>
          <w:sz w:val="24"/>
          <w:szCs w:val="24"/>
          <w:lang w:val="en-GB"/>
        </w:rPr>
        <w:t xml:space="preserve">There are also 15 settlements (where Magticom is not present) with two </w:t>
      </w:r>
      <w:r w:rsidR="00F026B4">
        <w:rPr>
          <w:rFonts w:cs="Arial"/>
          <w:sz w:val="24"/>
          <w:szCs w:val="24"/>
          <w:lang w:val="en-GB"/>
        </w:rPr>
        <w:t>FTTx</w:t>
      </w:r>
      <w:r w:rsidRPr="00BC1ABD">
        <w:rPr>
          <w:rFonts w:cs="Arial"/>
          <w:sz w:val="24"/>
          <w:szCs w:val="24"/>
          <w:lang w:val="en-GB"/>
        </w:rPr>
        <w:t xml:space="preserve"> operators. These 15 settlements have a total population of only 9,474 inhabitants with only 1,672 </w:t>
      </w:r>
      <w:r w:rsidR="00F026B4">
        <w:rPr>
          <w:rFonts w:cs="Arial"/>
          <w:sz w:val="24"/>
          <w:szCs w:val="24"/>
          <w:lang w:val="en-GB"/>
        </w:rPr>
        <w:t>FTTx</w:t>
      </w:r>
      <w:r w:rsidRPr="00BC1ABD">
        <w:rPr>
          <w:rFonts w:cs="Arial"/>
          <w:sz w:val="24"/>
          <w:szCs w:val="24"/>
          <w:lang w:val="en-GB"/>
        </w:rPr>
        <w:t xml:space="preserve">-based retail fixed broadband access subscriptions, representing only 0.17% of the total </w:t>
      </w:r>
      <w:r w:rsidR="00F026B4">
        <w:rPr>
          <w:rFonts w:cs="Arial"/>
          <w:sz w:val="24"/>
          <w:szCs w:val="24"/>
          <w:lang w:val="en-GB"/>
        </w:rPr>
        <w:t>FTTx</w:t>
      </w:r>
      <w:r w:rsidRPr="00BC1ABD">
        <w:rPr>
          <w:rFonts w:cs="Arial"/>
          <w:sz w:val="24"/>
          <w:szCs w:val="24"/>
          <w:lang w:val="en-GB"/>
        </w:rPr>
        <w:t xml:space="preserve"> broadband subscriptions in Georgia.</w:t>
      </w:r>
    </w:p>
    <w:p w14:paraId="0C79BF77" w14:textId="468AC411" w:rsidR="00A0244C" w:rsidRPr="00BC1ABD" w:rsidRDefault="00A0244C" w:rsidP="00A0244C">
      <w:pPr>
        <w:jc w:val="both"/>
        <w:rPr>
          <w:rFonts w:cs="Arial"/>
          <w:sz w:val="24"/>
          <w:szCs w:val="24"/>
          <w:lang w:val="en-GB"/>
        </w:rPr>
      </w:pPr>
      <w:r w:rsidRPr="00BC1ABD">
        <w:rPr>
          <w:rFonts w:cs="Arial"/>
          <w:sz w:val="24"/>
          <w:szCs w:val="24"/>
          <w:lang w:val="en-GB"/>
        </w:rPr>
        <w:t xml:space="preserve">It is considered that applying </w:t>
      </w:r>
      <w:r w:rsidRPr="00BC1ABD">
        <w:rPr>
          <w:rFonts w:cs="Arial"/>
          <w:i/>
          <w:iCs/>
          <w:sz w:val="24"/>
          <w:szCs w:val="24"/>
          <w:lang w:val="en-GB"/>
        </w:rPr>
        <w:t>ex-ante</w:t>
      </w:r>
      <w:r w:rsidRPr="00BC1ABD">
        <w:rPr>
          <w:rFonts w:cs="Arial"/>
          <w:sz w:val="24"/>
          <w:szCs w:val="24"/>
          <w:lang w:val="en-GB"/>
        </w:rPr>
        <w:t xml:space="preserve"> regulatory measures to another larger operator in a settlement where Magticom</w:t>
      </w:r>
      <w:r w:rsidR="008C375B">
        <w:rPr>
          <w:rFonts w:cs="Arial"/>
          <w:sz w:val="24"/>
          <w:szCs w:val="24"/>
          <w:lang w:val="en-GB"/>
        </w:rPr>
        <w:t xml:space="preserve">’s share of </w:t>
      </w:r>
      <w:r w:rsidR="00F026B4">
        <w:rPr>
          <w:rFonts w:cs="Arial"/>
          <w:sz w:val="24"/>
          <w:szCs w:val="24"/>
          <w:lang w:val="en-GB"/>
        </w:rPr>
        <w:t>FTTx</w:t>
      </w:r>
      <w:r w:rsidR="008C375B" w:rsidRPr="00BC1ABD">
        <w:rPr>
          <w:rFonts w:cs="Arial"/>
          <w:sz w:val="24"/>
          <w:szCs w:val="24"/>
          <w:lang w:val="en-GB"/>
        </w:rPr>
        <w:t xml:space="preserve"> broadband access subscribers</w:t>
      </w:r>
      <w:r w:rsidR="008C375B">
        <w:rPr>
          <w:rFonts w:cs="Arial"/>
          <w:sz w:val="24"/>
          <w:szCs w:val="24"/>
          <w:lang w:val="en-GB"/>
        </w:rPr>
        <w:t xml:space="preserve"> is</w:t>
      </w:r>
      <w:r w:rsidRPr="00BC1ABD">
        <w:rPr>
          <w:rFonts w:cs="Arial"/>
          <w:sz w:val="24"/>
          <w:szCs w:val="24"/>
          <w:lang w:val="en-GB"/>
        </w:rPr>
        <w:t xml:space="preserve"> less than 40%, is not an option for the following main reasons:</w:t>
      </w:r>
    </w:p>
    <w:p w14:paraId="5172BAF2" w14:textId="4AE37710" w:rsidR="00063A11" w:rsidRPr="00BC1ABD" w:rsidRDefault="00592449" w:rsidP="00A0244C">
      <w:pPr>
        <w:pStyle w:val="ListParagraph"/>
        <w:numPr>
          <w:ilvl w:val="0"/>
          <w:numId w:val="26"/>
        </w:numPr>
        <w:jc w:val="both"/>
        <w:rPr>
          <w:rFonts w:cs="Arial"/>
          <w:sz w:val="24"/>
          <w:szCs w:val="24"/>
          <w:lang w:val="en-GB"/>
        </w:rPr>
      </w:pPr>
      <w:r>
        <w:rPr>
          <w:rFonts w:cs="Arial"/>
          <w:sz w:val="24"/>
          <w:szCs w:val="24"/>
          <w:lang w:val="en-GB"/>
        </w:rPr>
        <w:t xml:space="preserve">The </w:t>
      </w:r>
      <w:r w:rsidR="00063A11" w:rsidRPr="00BC1ABD">
        <w:rPr>
          <w:rFonts w:cs="Arial"/>
          <w:sz w:val="24"/>
          <w:szCs w:val="24"/>
          <w:lang w:val="en-GB"/>
        </w:rPr>
        <w:t xml:space="preserve">SMP </w:t>
      </w:r>
      <w:r>
        <w:rPr>
          <w:rFonts w:cs="Arial"/>
          <w:sz w:val="24"/>
          <w:szCs w:val="24"/>
          <w:lang w:val="en-GB"/>
        </w:rPr>
        <w:t xml:space="preserve">status </w:t>
      </w:r>
      <w:r w:rsidR="00063A11" w:rsidRPr="00BC1ABD">
        <w:rPr>
          <w:rFonts w:cs="Arial"/>
          <w:sz w:val="24"/>
          <w:szCs w:val="24"/>
          <w:lang w:val="en-GB"/>
        </w:rPr>
        <w:t>of Magticom is national, in a market with national geographical dimension</w:t>
      </w:r>
    </w:p>
    <w:p w14:paraId="35B2E244" w14:textId="495A89AB" w:rsidR="00A0244C" w:rsidRPr="00BC1ABD" w:rsidRDefault="00A0244C" w:rsidP="00A0244C">
      <w:pPr>
        <w:pStyle w:val="ListParagraph"/>
        <w:numPr>
          <w:ilvl w:val="0"/>
          <w:numId w:val="26"/>
        </w:numPr>
        <w:jc w:val="both"/>
        <w:rPr>
          <w:rFonts w:cs="Arial"/>
          <w:sz w:val="24"/>
          <w:szCs w:val="24"/>
          <w:lang w:val="en-GB"/>
        </w:rPr>
      </w:pPr>
      <w:r w:rsidRPr="00BC1ABD">
        <w:rPr>
          <w:rFonts w:cs="Arial"/>
          <w:sz w:val="24"/>
          <w:szCs w:val="24"/>
          <w:lang w:val="en-GB"/>
        </w:rPr>
        <w:t xml:space="preserve">Smaller operators that have the largest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subscribers</w:t>
      </w:r>
      <w:r w:rsidR="008C375B">
        <w:rPr>
          <w:rFonts w:cs="Arial"/>
          <w:sz w:val="24"/>
          <w:szCs w:val="24"/>
          <w:lang w:val="en-GB"/>
        </w:rPr>
        <w:t xml:space="preserve"> </w:t>
      </w:r>
      <w:r w:rsidRPr="00BC1ABD">
        <w:rPr>
          <w:rFonts w:cs="Arial"/>
          <w:sz w:val="24"/>
          <w:szCs w:val="24"/>
          <w:lang w:val="en-GB"/>
        </w:rPr>
        <w:t>in some small settlements cannot achieve SMP at a national level during the forward-looking time horizon of his market analysis</w:t>
      </w:r>
    </w:p>
    <w:p w14:paraId="2A9F20B9" w14:textId="77777777" w:rsidR="00A0244C" w:rsidRPr="00BC1ABD" w:rsidRDefault="00A0244C" w:rsidP="00A0244C">
      <w:pPr>
        <w:pStyle w:val="ListParagraph"/>
        <w:numPr>
          <w:ilvl w:val="0"/>
          <w:numId w:val="26"/>
        </w:numPr>
        <w:jc w:val="both"/>
        <w:rPr>
          <w:rFonts w:cs="Arial"/>
          <w:sz w:val="24"/>
          <w:szCs w:val="24"/>
          <w:lang w:val="en-GB"/>
        </w:rPr>
      </w:pPr>
      <w:r w:rsidRPr="00BC1ABD">
        <w:rPr>
          <w:rFonts w:cs="Arial"/>
          <w:sz w:val="24"/>
          <w:szCs w:val="24"/>
          <w:lang w:val="en-GB"/>
        </w:rPr>
        <w:t>From the point of view of an access seeker:</w:t>
      </w:r>
    </w:p>
    <w:p w14:paraId="35B720C4" w14:textId="77777777" w:rsidR="00A0244C" w:rsidRPr="00BC1ABD" w:rsidRDefault="00A0244C" w:rsidP="00A0244C">
      <w:pPr>
        <w:pStyle w:val="ListParagraph"/>
        <w:numPr>
          <w:ilvl w:val="1"/>
          <w:numId w:val="26"/>
        </w:numPr>
        <w:jc w:val="both"/>
        <w:rPr>
          <w:rFonts w:cs="Arial"/>
          <w:sz w:val="24"/>
          <w:szCs w:val="24"/>
          <w:lang w:val="en-GB"/>
        </w:rPr>
      </w:pPr>
      <w:r w:rsidRPr="00BC1ABD">
        <w:rPr>
          <w:rFonts w:cs="Arial"/>
          <w:sz w:val="24"/>
          <w:szCs w:val="24"/>
          <w:lang w:val="en-GB"/>
        </w:rPr>
        <w:t>It is not rational for a wholesale access-seeker to construct backhaul connections to reach the networks of smaller operators that are the leading operator in specific settlements</w:t>
      </w:r>
    </w:p>
    <w:p w14:paraId="4D70C496" w14:textId="77777777" w:rsidR="00A0244C" w:rsidRPr="00BC1ABD" w:rsidRDefault="00A0244C" w:rsidP="00A0244C">
      <w:pPr>
        <w:pStyle w:val="ListParagraph"/>
        <w:numPr>
          <w:ilvl w:val="1"/>
          <w:numId w:val="26"/>
        </w:numPr>
        <w:jc w:val="both"/>
        <w:rPr>
          <w:rFonts w:cs="Arial"/>
          <w:sz w:val="24"/>
          <w:szCs w:val="24"/>
          <w:lang w:val="en-GB"/>
        </w:rPr>
      </w:pPr>
      <w:r w:rsidRPr="00BC1ABD">
        <w:rPr>
          <w:rFonts w:cs="Arial"/>
          <w:sz w:val="24"/>
          <w:szCs w:val="24"/>
          <w:lang w:val="en-GB"/>
        </w:rPr>
        <w:t>It is not economically effective to negotiate an agreement and adopt technical specifications to use the network of a small local operator in order to reach only a limited potential number of new subscribers</w:t>
      </w:r>
    </w:p>
    <w:p w14:paraId="7A328FF8" w14:textId="77777777" w:rsidR="00A0244C" w:rsidRPr="00BC1ABD" w:rsidRDefault="00A0244C" w:rsidP="00A0244C">
      <w:pPr>
        <w:pStyle w:val="ListParagraph"/>
        <w:numPr>
          <w:ilvl w:val="0"/>
          <w:numId w:val="26"/>
        </w:numPr>
        <w:jc w:val="both"/>
        <w:rPr>
          <w:rFonts w:cs="Arial"/>
          <w:sz w:val="24"/>
          <w:szCs w:val="24"/>
          <w:lang w:val="en-GB"/>
        </w:rPr>
      </w:pPr>
      <w:r w:rsidRPr="00BC1ABD">
        <w:rPr>
          <w:rFonts w:cs="Arial"/>
          <w:sz w:val="24"/>
          <w:szCs w:val="24"/>
          <w:lang w:val="en-GB"/>
        </w:rPr>
        <w:t>From the point of view of a small local operator, the additional costs required to fulfil regulatory obligations may be too high and may act as a disincentive to their expansion</w:t>
      </w:r>
    </w:p>
    <w:p w14:paraId="00CA295D" w14:textId="56B4FA02" w:rsidR="00A0244C" w:rsidRPr="00BC1ABD" w:rsidRDefault="00A0244C" w:rsidP="00A0244C">
      <w:pPr>
        <w:pStyle w:val="ListParagraph"/>
        <w:numPr>
          <w:ilvl w:val="0"/>
          <w:numId w:val="26"/>
        </w:numPr>
        <w:jc w:val="both"/>
        <w:rPr>
          <w:rFonts w:cs="Arial"/>
          <w:sz w:val="24"/>
          <w:szCs w:val="24"/>
          <w:lang w:val="en-GB"/>
        </w:rPr>
      </w:pPr>
      <w:r w:rsidRPr="00BC1ABD">
        <w:rPr>
          <w:rFonts w:cs="Arial"/>
          <w:sz w:val="24"/>
          <w:szCs w:val="24"/>
          <w:lang w:val="en-GB"/>
        </w:rPr>
        <w:t xml:space="preserve">Magticom can relatively easily expand by deploying additional </w:t>
      </w:r>
      <w:r w:rsidR="00F026B4">
        <w:rPr>
          <w:rFonts w:cs="Arial"/>
          <w:sz w:val="24"/>
          <w:szCs w:val="24"/>
          <w:lang w:val="en-GB"/>
        </w:rPr>
        <w:t>FTTx</w:t>
      </w:r>
      <w:r w:rsidRPr="00BC1ABD">
        <w:rPr>
          <w:rFonts w:cs="Arial"/>
          <w:sz w:val="24"/>
          <w:szCs w:val="24"/>
          <w:lang w:val="en-GB"/>
        </w:rPr>
        <w:t xml:space="preserve"> network coverage in those settlements.</w:t>
      </w:r>
    </w:p>
    <w:p w14:paraId="66A18975" w14:textId="1C4E20C9" w:rsidR="00A0244C" w:rsidRPr="00BC1ABD" w:rsidRDefault="00A0244C" w:rsidP="00A0244C">
      <w:pPr>
        <w:ind w:left="360"/>
        <w:jc w:val="both"/>
        <w:rPr>
          <w:rFonts w:cs="Arial"/>
          <w:sz w:val="24"/>
          <w:szCs w:val="24"/>
          <w:lang w:val="en-GB"/>
        </w:rPr>
      </w:pPr>
      <w:r w:rsidRPr="004D4651">
        <w:rPr>
          <w:rFonts w:cs="Arial"/>
          <w:sz w:val="24"/>
          <w:szCs w:val="24"/>
          <w:lang w:val="en-GB"/>
        </w:rPr>
        <w:t xml:space="preserve">In summary, ex-ante regulatory obligations should only be applied to an operator with SMP, in this case Magticom at a national level. </w:t>
      </w:r>
      <w:r w:rsidR="0060326F" w:rsidRPr="004D4651">
        <w:rPr>
          <w:rFonts w:cs="Arial"/>
          <w:sz w:val="24"/>
          <w:szCs w:val="24"/>
          <w:lang w:val="en-GB"/>
        </w:rPr>
        <w:t xml:space="preserve">There are </w:t>
      </w:r>
      <w:r w:rsidRPr="004D4651">
        <w:rPr>
          <w:rFonts w:cs="Arial"/>
          <w:sz w:val="24"/>
          <w:szCs w:val="24"/>
          <w:lang w:val="en-GB"/>
        </w:rPr>
        <w:t>settlements where Magticom is not present</w:t>
      </w:r>
      <w:r w:rsidR="0060326F" w:rsidRPr="004D4651">
        <w:rPr>
          <w:rFonts w:cs="Arial"/>
          <w:sz w:val="24"/>
          <w:szCs w:val="24"/>
          <w:lang w:val="en-GB"/>
        </w:rPr>
        <w:t xml:space="preserve">, but carving out these settlements </w:t>
      </w:r>
      <w:r w:rsidR="00592449" w:rsidRPr="004D4651">
        <w:rPr>
          <w:rFonts w:cs="Arial"/>
          <w:sz w:val="24"/>
          <w:szCs w:val="24"/>
          <w:lang w:val="en-GB"/>
        </w:rPr>
        <w:t>from t</w:t>
      </w:r>
      <w:r w:rsidR="0060326F" w:rsidRPr="004D4651">
        <w:rPr>
          <w:rFonts w:cs="Arial"/>
          <w:sz w:val="24"/>
          <w:szCs w:val="24"/>
          <w:lang w:val="en-GB"/>
        </w:rPr>
        <w:t xml:space="preserve">he national market definition and designating these settlements as distinct markets would not </w:t>
      </w:r>
      <w:r w:rsidRPr="004D4651">
        <w:rPr>
          <w:rFonts w:cs="Arial"/>
          <w:sz w:val="24"/>
          <w:szCs w:val="24"/>
          <w:lang w:val="en-GB"/>
        </w:rPr>
        <w:t>be proportionate</w:t>
      </w:r>
      <w:r w:rsidR="0060326F" w:rsidRPr="004D4651">
        <w:rPr>
          <w:rFonts w:cs="Arial"/>
          <w:sz w:val="24"/>
          <w:szCs w:val="24"/>
          <w:lang w:val="en-GB"/>
        </w:rPr>
        <w:t xml:space="preserve">. Firstly, because these settlements only represent an insignificant portion of the nationally defined wholesale market for </w:t>
      </w:r>
      <w:r w:rsidR="00F026B4">
        <w:rPr>
          <w:rFonts w:cs="Arial"/>
          <w:sz w:val="24"/>
          <w:szCs w:val="24"/>
          <w:lang w:val="en-GB"/>
        </w:rPr>
        <w:t>FTTx</w:t>
      </w:r>
      <w:r w:rsidR="0060326F" w:rsidRPr="004D4651">
        <w:rPr>
          <w:rFonts w:cs="Arial"/>
          <w:sz w:val="24"/>
          <w:szCs w:val="24"/>
          <w:lang w:val="en-GB"/>
        </w:rPr>
        <w:t xml:space="preserve"> fixed broadband access </w:t>
      </w:r>
      <w:r w:rsidRPr="004D4651">
        <w:rPr>
          <w:rFonts w:cs="Arial"/>
          <w:sz w:val="24"/>
          <w:szCs w:val="24"/>
          <w:lang w:val="en-GB"/>
        </w:rPr>
        <w:t>and</w:t>
      </w:r>
      <w:r w:rsidR="0060326F" w:rsidRPr="004D4651">
        <w:rPr>
          <w:rFonts w:cs="Arial"/>
          <w:sz w:val="24"/>
          <w:szCs w:val="24"/>
          <w:lang w:val="en-GB"/>
        </w:rPr>
        <w:t xml:space="preserve"> secondly</w:t>
      </w:r>
      <w:r w:rsidR="00592449" w:rsidRPr="004D4651">
        <w:rPr>
          <w:rFonts w:cs="Arial"/>
          <w:sz w:val="24"/>
          <w:szCs w:val="24"/>
          <w:lang w:val="en-GB"/>
        </w:rPr>
        <w:t xml:space="preserve"> </w:t>
      </w:r>
      <w:r w:rsidR="0060326F" w:rsidRPr="004D4651">
        <w:rPr>
          <w:rFonts w:cs="Arial"/>
          <w:sz w:val="24"/>
          <w:szCs w:val="24"/>
          <w:lang w:val="en-GB"/>
        </w:rPr>
        <w:t xml:space="preserve">because imposing access remedies on these small operators </w:t>
      </w:r>
      <w:r w:rsidRPr="004D4651">
        <w:rPr>
          <w:rFonts w:cs="Arial"/>
          <w:sz w:val="24"/>
          <w:szCs w:val="24"/>
          <w:lang w:val="en-GB"/>
        </w:rPr>
        <w:t xml:space="preserve">will not improve the overall market </w:t>
      </w:r>
      <w:r w:rsidR="0060326F" w:rsidRPr="004D4651">
        <w:rPr>
          <w:rFonts w:cs="Arial"/>
          <w:sz w:val="24"/>
          <w:szCs w:val="24"/>
          <w:lang w:val="en-GB"/>
        </w:rPr>
        <w:t>competition</w:t>
      </w:r>
      <w:r w:rsidRPr="004D4651">
        <w:rPr>
          <w:rFonts w:cs="Arial"/>
          <w:sz w:val="24"/>
          <w:szCs w:val="24"/>
          <w:lang w:val="en-GB"/>
        </w:rPr>
        <w:t xml:space="preserve">. </w:t>
      </w:r>
      <w:r w:rsidR="0060326F" w:rsidRPr="004D4651">
        <w:rPr>
          <w:rFonts w:cs="Arial"/>
          <w:sz w:val="24"/>
          <w:szCs w:val="24"/>
          <w:lang w:val="en-GB"/>
        </w:rPr>
        <w:t xml:space="preserve">Moreover, </w:t>
      </w:r>
      <w:r w:rsidRPr="004D4651">
        <w:rPr>
          <w:rFonts w:cs="Arial"/>
          <w:sz w:val="24"/>
          <w:szCs w:val="24"/>
          <w:lang w:val="en-GB"/>
        </w:rPr>
        <w:t xml:space="preserve">if regulatory </w:t>
      </w:r>
      <w:r w:rsidR="0060326F" w:rsidRPr="004D4651">
        <w:rPr>
          <w:rFonts w:cs="Arial"/>
          <w:sz w:val="24"/>
          <w:szCs w:val="24"/>
          <w:lang w:val="en-GB"/>
        </w:rPr>
        <w:t xml:space="preserve">access obligations </w:t>
      </w:r>
      <w:r w:rsidRPr="004D4651">
        <w:rPr>
          <w:rFonts w:cs="Arial"/>
          <w:sz w:val="24"/>
          <w:szCs w:val="24"/>
          <w:lang w:val="en-GB"/>
        </w:rPr>
        <w:t>were applied to any</w:t>
      </w:r>
      <w:r w:rsidR="00592449" w:rsidRPr="004D4651">
        <w:rPr>
          <w:rFonts w:cs="Arial"/>
          <w:sz w:val="24"/>
          <w:szCs w:val="24"/>
          <w:lang w:val="en-GB"/>
        </w:rPr>
        <w:t xml:space="preserve"> of</w:t>
      </w:r>
      <w:r w:rsidRPr="004D4651">
        <w:rPr>
          <w:rFonts w:cs="Arial"/>
          <w:sz w:val="24"/>
          <w:szCs w:val="24"/>
          <w:lang w:val="en-GB"/>
        </w:rPr>
        <w:t xml:space="preserve"> </w:t>
      </w:r>
      <w:r w:rsidR="0060326F" w:rsidRPr="004D4651">
        <w:rPr>
          <w:rFonts w:cs="Arial"/>
          <w:sz w:val="24"/>
          <w:szCs w:val="24"/>
          <w:lang w:val="en-GB"/>
        </w:rPr>
        <w:t xml:space="preserve">those small </w:t>
      </w:r>
      <w:r w:rsidRPr="004D4651">
        <w:rPr>
          <w:rFonts w:cs="Arial"/>
          <w:sz w:val="24"/>
          <w:szCs w:val="24"/>
          <w:lang w:val="en-GB"/>
        </w:rPr>
        <w:t>player</w:t>
      </w:r>
      <w:r w:rsidR="0060326F" w:rsidRPr="004D4651">
        <w:rPr>
          <w:rFonts w:cs="Arial"/>
          <w:sz w:val="24"/>
          <w:szCs w:val="24"/>
          <w:lang w:val="en-GB"/>
        </w:rPr>
        <w:t>s</w:t>
      </w:r>
      <w:r w:rsidRPr="004D4651">
        <w:rPr>
          <w:rFonts w:cs="Arial"/>
          <w:sz w:val="24"/>
          <w:szCs w:val="24"/>
          <w:lang w:val="en-GB"/>
        </w:rPr>
        <w:t xml:space="preserve">, this </w:t>
      </w:r>
      <w:r w:rsidR="0060326F" w:rsidRPr="004D4651">
        <w:rPr>
          <w:rFonts w:cs="Arial"/>
          <w:sz w:val="24"/>
          <w:szCs w:val="24"/>
          <w:lang w:val="en-GB"/>
        </w:rPr>
        <w:t xml:space="preserve">could </w:t>
      </w:r>
      <w:r w:rsidRPr="004D4651">
        <w:rPr>
          <w:rFonts w:cs="Arial"/>
          <w:sz w:val="24"/>
          <w:szCs w:val="24"/>
          <w:lang w:val="en-GB"/>
        </w:rPr>
        <w:t xml:space="preserve">act as a disincentive </w:t>
      </w:r>
      <w:r w:rsidR="00592449" w:rsidRPr="004D4651">
        <w:rPr>
          <w:rFonts w:cs="Arial"/>
          <w:sz w:val="24"/>
          <w:szCs w:val="24"/>
          <w:lang w:val="en-GB"/>
        </w:rPr>
        <w:t>to their</w:t>
      </w:r>
      <w:r w:rsidR="0060326F" w:rsidRPr="004D4651">
        <w:rPr>
          <w:rFonts w:cs="Arial"/>
          <w:sz w:val="24"/>
          <w:szCs w:val="24"/>
          <w:lang w:val="en-GB"/>
        </w:rPr>
        <w:t xml:space="preserve"> further expan</w:t>
      </w:r>
      <w:r w:rsidR="00592449" w:rsidRPr="004D4651">
        <w:rPr>
          <w:rFonts w:cs="Arial"/>
          <w:sz w:val="24"/>
          <w:szCs w:val="24"/>
          <w:lang w:val="en-GB"/>
        </w:rPr>
        <w:t>sion</w:t>
      </w:r>
      <w:r w:rsidR="0060326F" w:rsidRPr="004D4651">
        <w:rPr>
          <w:rFonts w:cs="Arial"/>
          <w:sz w:val="24"/>
          <w:szCs w:val="24"/>
          <w:lang w:val="en-GB"/>
        </w:rPr>
        <w:t xml:space="preserve"> </w:t>
      </w:r>
      <w:r w:rsidR="00592449" w:rsidRPr="004D4651">
        <w:rPr>
          <w:rFonts w:cs="Arial"/>
          <w:sz w:val="24"/>
          <w:szCs w:val="24"/>
          <w:lang w:val="en-GB"/>
        </w:rPr>
        <w:t xml:space="preserve">of </w:t>
      </w:r>
      <w:r w:rsidR="0060326F" w:rsidRPr="004D4651">
        <w:rPr>
          <w:rFonts w:cs="Arial"/>
          <w:sz w:val="24"/>
          <w:szCs w:val="24"/>
          <w:lang w:val="en-GB"/>
        </w:rPr>
        <w:t>their networks and services in such peripheral settlements</w:t>
      </w:r>
      <w:r w:rsidRPr="004D4651">
        <w:rPr>
          <w:rFonts w:cs="Arial"/>
          <w:sz w:val="24"/>
          <w:szCs w:val="24"/>
          <w:lang w:val="en-GB"/>
        </w:rPr>
        <w:t>.</w:t>
      </w:r>
    </w:p>
    <w:p w14:paraId="5E2341F1" w14:textId="77777777"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98" w:name="_Toc169258973"/>
      <w:r w:rsidRPr="00F028B0">
        <w:rPr>
          <w:rFonts w:asciiTheme="minorHAnsi" w:hAnsiTheme="minorHAnsi" w:cstheme="minorHAnsi"/>
          <w:b w:val="0"/>
          <w:bCs w:val="0"/>
          <w:sz w:val="24"/>
          <w:szCs w:val="24"/>
          <w:lang w:val="en-GB"/>
        </w:rPr>
        <w:t>Risks caused by data not being detailed enough</w:t>
      </w:r>
      <w:bookmarkEnd w:id="298"/>
    </w:p>
    <w:p w14:paraId="09A5AA33" w14:textId="1E666611"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An assessment of coverage would be completely accurate if all premises with access to an </w:t>
      </w:r>
      <w:r w:rsidR="00F026B4">
        <w:rPr>
          <w:rFonts w:cs="Arial"/>
          <w:sz w:val="24"/>
          <w:szCs w:val="24"/>
          <w:lang w:val="en-GB"/>
        </w:rPr>
        <w:t>FTTx</w:t>
      </w:r>
      <w:r w:rsidRPr="00BC1ABD">
        <w:rPr>
          <w:rFonts w:cs="Arial"/>
          <w:sz w:val="24"/>
          <w:szCs w:val="24"/>
          <w:lang w:val="en-GB"/>
        </w:rPr>
        <w:t xml:space="preserve"> network were recorded on a national infrastructure database. This accurate coverage data is not yet available in Georgia. In other countries, the process of compiling network coverage data is time consuming and takes place over a long period. Such databases use Geographic Information System (GIS) data and need also to be combined with data from other sources such as census data on population and national cadastre.</w:t>
      </w:r>
    </w:p>
    <w:p w14:paraId="337F0C5E" w14:textId="3B286D0A"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chosen unit of geographical segmentation for this market analysis is a Georgian settlement, as defined by the National Statistics Office of Georgia. It is considered that in each settlement, an operator’s </w:t>
      </w:r>
      <w:r w:rsidR="00F026B4">
        <w:rPr>
          <w:rFonts w:cs="Arial"/>
          <w:sz w:val="24"/>
          <w:szCs w:val="24"/>
          <w:lang w:val="en-GB"/>
        </w:rPr>
        <w:t>FTTx</w:t>
      </w:r>
      <w:r w:rsidRPr="00BC1ABD">
        <w:rPr>
          <w:rFonts w:cs="Arial"/>
          <w:sz w:val="24"/>
          <w:szCs w:val="24"/>
          <w:lang w:val="en-GB"/>
        </w:rPr>
        <w:t xml:space="preserve"> network is not evenly distributed over the whole settlement. The network architecture of </w:t>
      </w:r>
      <w:r w:rsidRPr="00E517D9">
        <w:rPr>
          <w:lang w:val="en-US"/>
        </w:rPr>
        <w:t>GPON</w:t>
      </w:r>
      <w:r w:rsidRPr="00BC1ABD">
        <w:rPr>
          <w:rFonts w:cs="Arial"/>
          <w:sz w:val="24"/>
          <w:szCs w:val="24"/>
          <w:lang w:val="en-GB"/>
        </w:rPr>
        <w:t xml:space="preserve"> can reach up to a theoretical maximum of around 16 km</w:t>
      </w:r>
      <w:r w:rsidRPr="00BC1ABD">
        <w:rPr>
          <w:rStyle w:val="FootnoteReference"/>
          <w:rFonts w:cs="Arial"/>
          <w:sz w:val="24"/>
          <w:szCs w:val="24"/>
          <w:lang w:val="en-GB"/>
        </w:rPr>
        <w:footnoteReference w:id="100"/>
      </w:r>
      <w:r w:rsidRPr="00BC1ABD">
        <w:rPr>
          <w:rFonts w:cs="Arial"/>
          <w:sz w:val="24"/>
          <w:szCs w:val="24"/>
          <w:lang w:val="en-GB"/>
        </w:rPr>
        <w:t xml:space="preserve"> from an optical distribution frame. The area defined as the Tbilisi settlement is too large and the population size too great to be served by an </w:t>
      </w:r>
      <w:r w:rsidR="00F026B4">
        <w:rPr>
          <w:rFonts w:cs="Arial"/>
          <w:sz w:val="24"/>
          <w:szCs w:val="24"/>
          <w:lang w:val="en-GB"/>
        </w:rPr>
        <w:t>FTTx</w:t>
      </w:r>
      <w:r w:rsidRPr="00BC1ABD">
        <w:rPr>
          <w:rFonts w:cs="Arial"/>
          <w:sz w:val="24"/>
          <w:szCs w:val="24"/>
          <w:lang w:val="en-GB"/>
        </w:rPr>
        <w:t xml:space="preserve"> network architecture centred on just one location. Other big cities (Batumi, Kutaisi and Rustavi) are smaller and can theoretically be covered from one central location. But in reality, optimal coverage is not achievable because the cables cannot be laid out in an optimal geographical design. The actual range of an optical network is not that of an ideal shape (within a circle with cables radiating from the centre).</w:t>
      </w:r>
    </w:p>
    <w:p w14:paraId="2C0A4193" w14:textId="58DAAC4E"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The modular size of the optical capacity at a central location is also a limiting factor. Normally, an optical line terminal (OLT) unit allows up to 1,024 subscribers</w:t>
      </w:r>
      <w:r w:rsidR="00E75657">
        <w:rPr>
          <w:rFonts w:cs="Arial"/>
          <w:sz w:val="24"/>
          <w:szCs w:val="24"/>
          <w:lang w:val="en-GB"/>
        </w:rPr>
        <w:t xml:space="preserve"> per line card</w:t>
      </w:r>
      <w:r w:rsidRPr="00BC1ABD">
        <w:rPr>
          <w:rFonts w:cs="Arial"/>
          <w:sz w:val="24"/>
          <w:szCs w:val="24"/>
          <w:lang w:val="en-GB"/>
        </w:rPr>
        <w:t xml:space="preserve"> to be connected. The actual number of subscribers depends in practice not only on the number of OLT ports, but also on the </w:t>
      </w:r>
      <w:r w:rsidRPr="00E517D9">
        <w:rPr>
          <w:lang w:val="en-US"/>
        </w:rPr>
        <w:t>split ratio</w:t>
      </w:r>
      <w:r w:rsidRPr="00BC1ABD">
        <w:rPr>
          <w:rStyle w:val="FootnoteReference"/>
          <w:rFonts w:cs="Arial"/>
          <w:sz w:val="24"/>
          <w:szCs w:val="24"/>
          <w:lang w:val="en-GB"/>
        </w:rPr>
        <w:footnoteReference w:id="101"/>
      </w:r>
      <w:r w:rsidRPr="00BC1ABD">
        <w:rPr>
          <w:rFonts w:cs="Arial"/>
          <w:sz w:val="24"/>
          <w:szCs w:val="24"/>
          <w:lang w:val="en-GB"/>
        </w:rPr>
        <w:t xml:space="preserve"> deployed in the network. The higher the split ratio, more subscribers can be connected to an OLT port, but this can only be achieved at the expense of the distance range (due to problems with the power budget) and the bandwidth available for every subscriber.</w:t>
      </w:r>
    </w:p>
    <w:p w14:paraId="20826C8F" w14:textId="7F3F3846"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In the case of the largest settlements (for the purposes of this analysis, this means settlements with over 100,000 population) an operator which is present with an optical distribution frame in its central office in one part of a city, is not necessary present in the other parts of the city. Due to the limitations of the OLT modular port sizes and split ratios employed, other parts of the city may be out of the realistic range of an operator’s single optical distribution frame. This means that it is possible that some parts within the largest settlements have different competition conditions than other parts. In Georgia there are 4 cities with more than 100,000 inhabitants, where this problem may arise. In the absence of any detailed (premises level) data for these largest cities, it is considered that in </w:t>
      </w:r>
      <w:r w:rsidR="00592449">
        <w:rPr>
          <w:rFonts w:cs="Arial"/>
          <w:sz w:val="24"/>
          <w:szCs w:val="24"/>
          <w:lang w:val="en-GB"/>
        </w:rPr>
        <w:t>analysing</w:t>
      </w:r>
      <w:r w:rsidR="00592449" w:rsidRPr="00BC1ABD">
        <w:rPr>
          <w:rFonts w:cs="Arial"/>
          <w:sz w:val="24"/>
          <w:szCs w:val="24"/>
          <w:lang w:val="en-GB"/>
        </w:rPr>
        <w:t xml:space="preserve"> </w:t>
      </w:r>
      <w:r w:rsidRPr="00BC1ABD">
        <w:rPr>
          <w:rFonts w:cs="Arial"/>
          <w:sz w:val="24"/>
          <w:szCs w:val="24"/>
          <w:lang w:val="en-GB"/>
        </w:rPr>
        <w:t>the competitive conditions within these cities, special criteria will need to be taken into account.</w:t>
      </w:r>
    </w:p>
    <w:p w14:paraId="468B80B7" w14:textId="375EE30C"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In smaller settlements the incremental cost of serving new locations (once the operator is present in the settlement) is just the costs of expanding the existing access network. For the largest cities, covering new locations within the city is more similar to setting up a whole new network in a settlement not covered before.</w:t>
      </w:r>
    </w:p>
    <w:p w14:paraId="70D5D35B" w14:textId="62ECBF2C"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Within the largest cities it is not known to what extent the different </w:t>
      </w:r>
      <w:r w:rsidR="00F026B4">
        <w:rPr>
          <w:rFonts w:cs="Arial"/>
          <w:sz w:val="24"/>
          <w:szCs w:val="24"/>
          <w:lang w:val="en-GB"/>
        </w:rPr>
        <w:t>FTTx</w:t>
      </w:r>
      <w:r w:rsidRPr="00BC1ABD">
        <w:rPr>
          <w:rFonts w:cs="Arial"/>
          <w:sz w:val="24"/>
          <w:szCs w:val="24"/>
          <w:lang w:val="en-GB"/>
        </w:rPr>
        <w:t xml:space="preserve"> networks of each operator overlap (without data at premises level). For example it is possible that for some premises, several </w:t>
      </w:r>
      <w:r w:rsidR="00F026B4">
        <w:rPr>
          <w:rFonts w:cs="Arial"/>
          <w:sz w:val="24"/>
          <w:szCs w:val="24"/>
          <w:lang w:val="en-GB"/>
        </w:rPr>
        <w:t>FTTx</w:t>
      </w:r>
      <w:r w:rsidRPr="00BC1ABD">
        <w:rPr>
          <w:rFonts w:cs="Arial"/>
          <w:sz w:val="24"/>
          <w:szCs w:val="24"/>
          <w:lang w:val="en-GB"/>
        </w:rPr>
        <w:t xml:space="preserve"> networks may be available, while at other premises within the same city, there may be no available </w:t>
      </w:r>
      <w:r w:rsidR="00F026B4">
        <w:rPr>
          <w:rFonts w:cs="Arial"/>
          <w:sz w:val="24"/>
          <w:szCs w:val="24"/>
          <w:lang w:val="en-GB"/>
        </w:rPr>
        <w:t>FTTx</w:t>
      </w:r>
      <w:r w:rsidRPr="00BC1ABD">
        <w:rPr>
          <w:rFonts w:cs="Arial"/>
          <w:sz w:val="24"/>
          <w:szCs w:val="24"/>
          <w:lang w:val="en-GB"/>
        </w:rPr>
        <w:t xml:space="preserve"> coverage. In the smaller settlements it has been considered that the competitive conditions throughout the settlement are homogeneous because it would be relatively easy for an existing </w:t>
      </w:r>
      <w:r w:rsidR="00F026B4">
        <w:rPr>
          <w:rFonts w:cs="Arial"/>
          <w:sz w:val="24"/>
          <w:szCs w:val="24"/>
          <w:lang w:val="en-GB"/>
        </w:rPr>
        <w:t>FTTx</w:t>
      </w:r>
      <w:r w:rsidRPr="00BC1ABD">
        <w:rPr>
          <w:rFonts w:cs="Arial"/>
          <w:sz w:val="24"/>
          <w:szCs w:val="24"/>
          <w:lang w:val="en-GB"/>
        </w:rPr>
        <w:t xml:space="preserve"> operator to extend its network coverage within a settlement. In this way, the competitive conditions within a settlement can be analysed and considered as homogeneous and a single regulatory remedy, if appropriate, can be applied. There is therefore a risk that when applying this homogeneity principle to the largest cities (those with a population over 100,000) that the application of a single regulatory remedy could have a differentiated impact in different parts of the city.</w:t>
      </w:r>
    </w:p>
    <w:p w14:paraId="561A32F5"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It is not possible to be able to apply differentiated </w:t>
      </w:r>
      <w:r w:rsidRPr="00BC1ABD">
        <w:rPr>
          <w:rFonts w:cs="Arial"/>
          <w:i/>
          <w:iCs/>
          <w:sz w:val="24"/>
          <w:szCs w:val="24"/>
          <w:lang w:val="en-GB"/>
        </w:rPr>
        <w:t>ex-ante</w:t>
      </w:r>
      <w:r w:rsidRPr="00BC1ABD">
        <w:rPr>
          <w:rFonts w:cs="Arial"/>
          <w:sz w:val="24"/>
          <w:szCs w:val="24"/>
          <w:lang w:val="en-GB"/>
        </w:rPr>
        <w:t xml:space="preserve"> remedies without a greater level of detail within each large settlement.</w:t>
      </w:r>
    </w:p>
    <w:p w14:paraId="4621C63B" w14:textId="77777777"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299" w:name="_Toc169258974"/>
      <w:r w:rsidRPr="00F028B0">
        <w:rPr>
          <w:rFonts w:asciiTheme="minorHAnsi" w:hAnsiTheme="minorHAnsi" w:cstheme="minorHAnsi"/>
          <w:b w:val="0"/>
          <w:bCs w:val="0"/>
          <w:sz w:val="24"/>
          <w:szCs w:val="24"/>
          <w:lang w:val="en-GB"/>
        </w:rPr>
        <w:t>Risk resulting from inaccurate data</w:t>
      </w:r>
      <w:bookmarkEnd w:id="299"/>
    </w:p>
    <w:p w14:paraId="18BEAE7C" w14:textId="4ED10BC8"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During the analysis of </w:t>
      </w:r>
      <w:r w:rsidR="00F026B4">
        <w:rPr>
          <w:rFonts w:cs="Arial"/>
          <w:sz w:val="24"/>
          <w:szCs w:val="24"/>
          <w:lang w:val="en-GB"/>
        </w:rPr>
        <w:t>FTTx</w:t>
      </w:r>
      <w:r w:rsidRPr="00BC1ABD">
        <w:rPr>
          <w:rFonts w:cs="Arial"/>
          <w:sz w:val="24"/>
          <w:szCs w:val="24"/>
          <w:lang w:val="en-GB"/>
        </w:rPr>
        <w:t xml:space="preserve"> network coverage, several datasets have been used (data about subscribers, premises passed and population data). Some figures are estimates based on past data (number of households). The data on network coverage has been collected for the first time by ComCom and is much more difficult to check. The required definition of premises passed is ambiguous. In some cases, an operator could assume that a premise is passed if it can be connected within the operator’s standard response times, or within a defined cost budget. Another operator could assume a different time or budget limit when defining its coverage in terms of premises passed.</w:t>
      </w:r>
    </w:p>
    <w:p w14:paraId="663897D9" w14:textId="783AECAA"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most important data used in the evaluation of competition is based on the number of </w:t>
      </w:r>
      <w:r w:rsidR="00F026B4">
        <w:rPr>
          <w:rFonts w:cs="Arial"/>
          <w:sz w:val="24"/>
          <w:szCs w:val="24"/>
          <w:lang w:val="en-GB"/>
        </w:rPr>
        <w:t>FTTx</w:t>
      </w:r>
      <w:r w:rsidRPr="00BC1ABD">
        <w:rPr>
          <w:rFonts w:cs="Arial"/>
          <w:sz w:val="24"/>
          <w:szCs w:val="24"/>
          <w:lang w:val="en-GB"/>
        </w:rPr>
        <w:t xml:space="preserve"> fixed broadband access subscribers for each </w:t>
      </w:r>
      <w:r w:rsidR="00F026B4">
        <w:rPr>
          <w:rFonts w:cs="Arial"/>
          <w:sz w:val="24"/>
          <w:szCs w:val="24"/>
          <w:lang w:val="en-GB"/>
        </w:rPr>
        <w:t>FTTx</w:t>
      </w:r>
      <w:r w:rsidRPr="00BC1ABD">
        <w:rPr>
          <w:rFonts w:cs="Arial"/>
          <w:sz w:val="24"/>
          <w:szCs w:val="24"/>
          <w:lang w:val="en-GB"/>
        </w:rPr>
        <w:t xml:space="preserve"> operator in each settlement. This subscriber data has been collected for many years by ComCom and can be considered accurate. Each operator has also been asked to estimate the number of premises passed by its </w:t>
      </w:r>
      <w:r w:rsidR="00F026B4">
        <w:rPr>
          <w:rFonts w:cs="Arial"/>
          <w:sz w:val="24"/>
          <w:szCs w:val="24"/>
          <w:lang w:val="en-GB"/>
        </w:rPr>
        <w:t>FTTx</w:t>
      </w:r>
      <w:r w:rsidRPr="00BC1ABD">
        <w:rPr>
          <w:rFonts w:cs="Arial"/>
          <w:sz w:val="24"/>
          <w:szCs w:val="24"/>
          <w:lang w:val="en-GB"/>
        </w:rPr>
        <w:t xml:space="preserve"> network in each settlement. This data about premises passed was collected for the first time and cannot be compared with previous data, or with the exact situation in each settlement. For example, it is not possible to compare the number of premises passed with the exact number of premises in the settlement as the data on premises is data is based on the most recent (2014) Georgian census of numbers of households. Although it has been possible to estimate the change (since 2014) in the number of households at a national level, it is not possible to make accurate and up-to-date estimates of households at a settlement level. This leads to the risk that, in using data on premises passed, an inaccurate assessment of competitive conditions could result. For this reason, coverage data is used only as an additional criterion for the geographical analysis of competition. The analysis gives precedence to the more accurate data on </w:t>
      </w:r>
      <w:r w:rsidR="00F026B4">
        <w:rPr>
          <w:rFonts w:cs="Arial"/>
          <w:sz w:val="24"/>
          <w:szCs w:val="24"/>
          <w:lang w:val="en-GB"/>
        </w:rPr>
        <w:t>FTTx</w:t>
      </w:r>
      <w:r w:rsidRPr="00BC1ABD">
        <w:rPr>
          <w:rFonts w:cs="Arial"/>
          <w:sz w:val="24"/>
          <w:szCs w:val="24"/>
          <w:lang w:val="en-GB"/>
        </w:rPr>
        <w:t xml:space="preserve"> subscribers.</w:t>
      </w:r>
    </w:p>
    <w:p w14:paraId="242640A4" w14:textId="77777777"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00" w:name="_Toc169258975"/>
      <w:r w:rsidRPr="00F028B0">
        <w:rPr>
          <w:rFonts w:asciiTheme="minorHAnsi" w:hAnsiTheme="minorHAnsi" w:cstheme="minorHAnsi"/>
          <w:b w:val="0"/>
          <w:bCs w:val="0"/>
          <w:sz w:val="24"/>
          <w:szCs w:val="24"/>
          <w:lang w:val="en-GB"/>
        </w:rPr>
        <w:t>Conclusion</w:t>
      </w:r>
      <w:bookmarkEnd w:id="300"/>
    </w:p>
    <w:p w14:paraId="6A8AA120"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A settlement is considered to be contestable, that is showing evidence that in this settlement new entrants and smaller operators may, in the forward-looking time horizon of this market analysis, successfully take hold and compete with Magticom if the following cumulative criteria are met:</w:t>
      </w:r>
    </w:p>
    <w:p w14:paraId="635448C0" w14:textId="2A3BFDB2" w:rsidR="00A0244C" w:rsidRPr="00BC1ABD" w:rsidRDefault="00A0244C" w:rsidP="00E517D9">
      <w:pPr>
        <w:pStyle w:val="ListParagraph"/>
        <w:numPr>
          <w:ilvl w:val="0"/>
          <w:numId w:val="108"/>
        </w:numPr>
        <w:adjustRightInd w:val="0"/>
        <w:spacing w:after="240"/>
        <w:jc w:val="both"/>
        <w:rPr>
          <w:rFonts w:cs="Arial"/>
          <w:sz w:val="24"/>
          <w:szCs w:val="24"/>
          <w:lang w:val="en-GB"/>
        </w:rPr>
      </w:pPr>
      <w:r w:rsidRPr="00BC1ABD">
        <w:rPr>
          <w:rFonts w:cs="Arial"/>
          <w:sz w:val="24"/>
          <w:szCs w:val="24"/>
          <w:lang w:val="en-GB"/>
        </w:rPr>
        <w:t xml:space="preserve">There are three </w:t>
      </w:r>
      <w:r w:rsidR="00F026B4">
        <w:rPr>
          <w:rFonts w:cs="Arial"/>
          <w:sz w:val="24"/>
          <w:szCs w:val="24"/>
          <w:lang w:val="en-GB"/>
        </w:rPr>
        <w:t>FTTx</w:t>
      </w:r>
      <w:r w:rsidRPr="00BC1ABD">
        <w:rPr>
          <w:rFonts w:cs="Arial"/>
          <w:sz w:val="24"/>
          <w:szCs w:val="24"/>
          <w:lang w:val="en-GB"/>
        </w:rPr>
        <w:t xml:space="preserve"> network operators present</w:t>
      </w:r>
    </w:p>
    <w:p w14:paraId="3377DED1" w14:textId="54A1A01B" w:rsidR="00A0244C" w:rsidRPr="00BC1ABD" w:rsidRDefault="00A0244C" w:rsidP="00E517D9">
      <w:pPr>
        <w:pStyle w:val="ListParagraph"/>
        <w:numPr>
          <w:ilvl w:val="0"/>
          <w:numId w:val="108"/>
        </w:numPr>
        <w:adjustRightInd w:val="0"/>
        <w:spacing w:after="240"/>
        <w:jc w:val="both"/>
        <w:rPr>
          <w:rFonts w:cs="Arial"/>
          <w:sz w:val="24"/>
          <w:szCs w:val="24"/>
          <w:lang w:val="en-GB"/>
        </w:rPr>
      </w:pPr>
      <w:r w:rsidRPr="00BC1ABD">
        <w:rPr>
          <w:rFonts w:cs="Arial"/>
          <w:sz w:val="24"/>
          <w:szCs w:val="24"/>
          <w:lang w:val="en-GB"/>
        </w:rPr>
        <w:t>Magticom</w:t>
      </w:r>
      <w:r w:rsidR="008C375B">
        <w:rPr>
          <w:rFonts w:cs="Arial"/>
          <w:sz w:val="24"/>
          <w:szCs w:val="24"/>
          <w:lang w:val="en-GB"/>
        </w:rPr>
        <w:t>’s</w:t>
      </w:r>
      <w:r w:rsidRPr="00BC1ABD">
        <w:rPr>
          <w:rFonts w:cs="Arial"/>
          <w:sz w:val="24"/>
          <w:szCs w:val="24"/>
          <w:lang w:val="en-GB"/>
        </w:rPr>
        <w:t xml:space="preserve">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subscribers</w:t>
      </w:r>
      <w:r w:rsidR="008C375B">
        <w:rPr>
          <w:rFonts w:cs="Arial"/>
          <w:sz w:val="24"/>
          <w:szCs w:val="24"/>
          <w:lang w:val="en-GB"/>
        </w:rPr>
        <w:t xml:space="preserve"> is</w:t>
      </w:r>
      <w:r w:rsidRPr="00BC1ABD">
        <w:rPr>
          <w:rFonts w:cs="Arial"/>
          <w:sz w:val="24"/>
          <w:szCs w:val="24"/>
          <w:lang w:val="en-GB"/>
        </w:rPr>
        <w:t xml:space="preserve"> less than 40% </w:t>
      </w:r>
      <w:r w:rsidR="00F026B4">
        <w:rPr>
          <w:rFonts w:cs="Arial"/>
          <w:sz w:val="24"/>
          <w:szCs w:val="24"/>
          <w:lang w:val="en-GB"/>
        </w:rPr>
        <w:t>FTTx</w:t>
      </w:r>
    </w:p>
    <w:p w14:paraId="18ABD570" w14:textId="1209604A" w:rsidR="00A0244C" w:rsidRPr="00BC1ABD" w:rsidRDefault="00A0244C" w:rsidP="00E517D9">
      <w:pPr>
        <w:pStyle w:val="ListParagraph"/>
        <w:numPr>
          <w:ilvl w:val="0"/>
          <w:numId w:val="108"/>
        </w:numPr>
        <w:adjustRightInd w:val="0"/>
        <w:spacing w:after="240"/>
        <w:jc w:val="both"/>
        <w:rPr>
          <w:rFonts w:cs="Arial"/>
          <w:sz w:val="24"/>
          <w:szCs w:val="24"/>
          <w:lang w:val="en-GB"/>
        </w:rPr>
      </w:pPr>
      <w:r w:rsidRPr="00BC1ABD">
        <w:rPr>
          <w:rFonts w:cs="Arial"/>
          <w:sz w:val="24"/>
          <w:szCs w:val="24"/>
          <w:lang w:val="en-GB"/>
        </w:rPr>
        <w:t xml:space="preserve">There are at least two additional </w:t>
      </w:r>
      <w:r w:rsidR="00F026B4">
        <w:rPr>
          <w:rFonts w:cs="Arial"/>
          <w:sz w:val="24"/>
          <w:szCs w:val="24"/>
          <w:lang w:val="en-GB"/>
        </w:rPr>
        <w:t>FTTx</w:t>
      </w:r>
      <w:r w:rsidRPr="00BC1ABD">
        <w:rPr>
          <w:rFonts w:cs="Arial"/>
          <w:sz w:val="24"/>
          <w:szCs w:val="24"/>
          <w:lang w:val="en-GB"/>
        </w:rPr>
        <w:t xml:space="preserve"> networks each with </w:t>
      </w:r>
      <w:r w:rsidR="0005187E">
        <w:rPr>
          <w:rFonts w:cs="Arial"/>
          <w:sz w:val="24"/>
          <w:szCs w:val="24"/>
          <w:lang w:val="en-GB"/>
        </w:rPr>
        <w:t xml:space="preserve">shares of </w:t>
      </w:r>
      <w:r w:rsidR="00F026B4">
        <w:rPr>
          <w:rFonts w:cs="Arial"/>
          <w:sz w:val="24"/>
          <w:szCs w:val="24"/>
          <w:lang w:val="en-GB"/>
        </w:rPr>
        <w:t>FTTx</w:t>
      </w:r>
      <w:r w:rsidR="0005187E" w:rsidRPr="00BC1ABD">
        <w:rPr>
          <w:rFonts w:cs="Arial"/>
          <w:sz w:val="24"/>
          <w:szCs w:val="24"/>
          <w:lang w:val="en-GB"/>
        </w:rPr>
        <w:t xml:space="preserve"> broadband access subscribers</w:t>
      </w:r>
      <w:r w:rsidR="0005187E">
        <w:rPr>
          <w:rFonts w:cs="Arial"/>
          <w:sz w:val="24"/>
          <w:szCs w:val="24"/>
          <w:lang w:val="en-GB"/>
        </w:rPr>
        <w:t xml:space="preserve"> </w:t>
      </w:r>
      <w:r w:rsidRPr="00BC1ABD">
        <w:rPr>
          <w:rFonts w:cs="Arial"/>
          <w:sz w:val="24"/>
          <w:szCs w:val="24"/>
          <w:lang w:val="en-GB"/>
        </w:rPr>
        <w:t xml:space="preserve">of least 10% of </w:t>
      </w:r>
      <w:r w:rsidR="00F026B4">
        <w:rPr>
          <w:rFonts w:cs="Arial"/>
          <w:sz w:val="24"/>
          <w:szCs w:val="24"/>
          <w:lang w:val="en-GB"/>
        </w:rPr>
        <w:t>FTTx</w:t>
      </w:r>
      <w:r w:rsidRPr="00BC1ABD">
        <w:rPr>
          <w:rFonts w:cs="Arial"/>
          <w:sz w:val="24"/>
          <w:szCs w:val="24"/>
          <w:lang w:val="en-GB"/>
        </w:rPr>
        <w:t xml:space="preserve"> retail fixed broadband access subscribers</w:t>
      </w:r>
    </w:p>
    <w:p w14:paraId="1327F78B"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For settlements where the above cumulative criteria are not met, a complementary assessment is then made to consider the most appropriate and proportionate </w:t>
      </w:r>
      <w:r w:rsidRPr="00BC1ABD">
        <w:rPr>
          <w:rFonts w:cs="Arial"/>
          <w:i/>
          <w:iCs/>
          <w:sz w:val="24"/>
          <w:szCs w:val="24"/>
          <w:lang w:val="en-GB"/>
        </w:rPr>
        <w:t>ex-ante</w:t>
      </w:r>
      <w:r w:rsidRPr="00BC1ABD">
        <w:rPr>
          <w:rFonts w:cs="Arial"/>
          <w:sz w:val="24"/>
          <w:szCs w:val="24"/>
          <w:lang w:val="en-GB"/>
        </w:rPr>
        <w:t xml:space="preserve"> regulation measures:</w:t>
      </w:r>
    </w:p>
    <w:p w14:paraId="7F503867" w14:textId="42B8CB4E" w:rsidR="00A0244C" w:rsidRPr="00BC1ABD" w:rsidRDefault="00A0244C" w:rsidP="00E517D9">
      <w:pPr>
        <w:pStyle w:val="ListParagraph"/>
        <w:numPr>
          <w:ilvl w:val="0"/>
          <w:numId w:val="109"/>
        </w:numPr>
        <w:adjustRightInd w:val="0"/>
        <w:spacing w:after="240"/>
        <w:jc w:val="both"/>
        <w:rPr>
          <w:rFonts w:cs="Arial"/>
          <w:sz w:val="24"/>
          <w:szCs w:val="24"/>
          <w:lang w:val="en-GB"/>
        </w:rPr>
      </w:pPr>
      <w:r w:rsidRPr="00BC1ABD">
        <w:rPr>
          <w:rFonts w:cs="Arial"/>
          <w:sz w:val="24"/>
          <w:szCs w:val="24"/>
          <w:lang w:val="en-GB"/>
        </w:rPr>
        <w:t xml:space="preserve">Three </w:t>
      </w:r>
      <w:r w:rsidR="00F026B4">
        <w:rPr>
          <w:rFonts w:cs="Arial"/>
          <w:sz w:val="24"/>
          <w:szCs w:val="24"/>
          <w:lang w:val="en-GB"/>
        </w:rPr>
        <w:t>FTTx</w:t>
      </w:r>
      <w:r w:rsidRPr="00BC1ABD">
        <w:rPr>
          <w:rFonts w:cs="Arial"/>
          <w:sz w:val="24"/>
          <w:szCs w:val="24"/>
          <w:lang w:val="en-GB"/>
        </w:rPr>
        <w:t xml:space="preserve"> networks are present with a Magticom</w:t>
      </w:r>
      <w:r w:rsidR="008C375B">
        <w:rPr>
          <w:rFonts w:cs="Arial"/>
          <w:sz w:val="24"/>
          <w:szCs w:val="24"/>
          <w:lang w:val="en-GB"/>
        </w:rPr>
        <w:t xml:space="preserve">’s 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Pr="00BC1ABD">
        <w:rPr>
          <w:rFonts w:cs="Arial"/>
          <w:sz w:val="24"/>
          <w:szCs w:val="24"/>
          <w:lang w:val="en-GB"/>
        </w:rPr>
        <w:t xml:space="preserve"> over 40%, but tending towards less than 40% within the forward-looking time horizon of this market analysis, based on the extrapolation of a stable trend from past years</w:t>
      </w:r>
    </w:p>
    <w:p w14:paraId="4390CE5D" w14:textId="4B3C091D" w:rsidR="00A0244C" w:rsidRPr="00BC1ABD" w:rsidRDefault="00F026B4" w:rsidP="00E517D9">
      <w:pPr>
        <w:pStyle w:val="ListParagraph"/>
        <w:numPr>
          <w:ilvl w:val="0"/>
          <w:numId w:val="109"/>
        </w:numPr>
        <w:adjustRightInd w:val="0"/>
        <w:spacing w:after="240"/>
        <w:jc w:val="both"/>
        <w:rPr>
          <w:rFonts w:cs="Arial"/>
          <w:sz w:val="24"/>
          <w:szCs w:val="24"/>
          <w:lang w:val="en-GB"/>
        </w:rPr>
      </w:pPr>
      <w:r>
        <w:rPr>
          <w:rFonts w:cs="Arial"/>
          <w:sz w:val="24"/>
          <w:szCs w:val="24"/>
          <w:lang w:val="en-GB"/>
        </w:rPr>
        <w:t>FTTx</w:t>
      </w:r>
      <w:r w:rsidR="00A0244C" w:rsidRPr="00BC1ABD">
        <w:rPr>
          <w:rFonts w:cs="Arial"/>
          <w:sz w:val="24"/>
          <w:szCs w:val="24"/>
          <w:lang w:val="en-GB"/>
        </w:rPr>
        <w:t xml:space="preserve"> network coverage: Three operators are present (including Magticom) with at least one operator having coverage of at least 80% of premises passed and another with at least 20% of premises passed.</w:t>
      </w:r>
    </w:p>
    <w:p w14:paraId="2549A4DF"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A further complementary criterion is used to prevent unjustified deregulation:</w:t>
      </w:r>
    </w:p>
    <w:p w14:paraId="1546C5BF" w14:textId="77777777" w:rsidR="00A0244C" w:rsidRPr="00BC1ABD" w:rsidRDefault="00A0244C" w:rsidP="00E517D9">
      <w:pPr>
        <w:pStyle w:val="ListParagraph"/>
        <w:numPr>
          <w:ilvl w:val="0"/>
          <w:numId w:val="109"/>
        </w:numPr>
        <w:adjustRightInd w:val="0"/>
        <w:spacing w:after="240"/>
        <w:jc w:val="both"/>
        <w:rPr>
          <w:rFonts w:cs="Arial"/>
          <w:sz w:val="24"/>
          <w:szCs w:val="24"/>
          <w:lang w:val="en-GB"/>
        </w:rPr>
      </w:pPr>
      <w:r w:rsidRPr="00BC1ABD">
        <w:rPr>
          <w:rFonts w:cs="Arial"/>
          <w:sz w:val="24"/>
          <w:szCs w:val="24"/>
          <w:lang w:val="en-GB"/>
        </w:rPr>
        <w:t>The size of settlement is above 100,000 inhabitants. The four Georgian cities of this size are assessed separately. If the main cumulative criteria i., ii. and iii above are met, this does not mean that these cities are effectively contestable throughout each city.</w:t>
      </w:r>
    </w:p>
    <w:p w14:paraId="571CF5D8" w14:textId="77777777" w:rsidR="00A0244C" w:rsidRPr="00BC1ABD" w:rsidRDefault="00A0244C" w:rsidP="00A0244C">
      <w:pPr>
        <w:pStyle w:val="BodyText"/>
        <w:rPr>
          <w:lang w:val="en-GB"/>
        </w:rPr>
      </w:pPr>
    </w:p>
    <w:p w14:paraId="0D1047EC" w14:textId="77777777" w:rsidR="00A0244C" w:rsidRPr="00BC1ABD" w:rsidRDefault="00A0244C" w:rsidP="00033EBE">
      <w:pPr>
        <w:pStyle w:val="Heading2"/>
        <w:numPr>
          <w:ilvl w:val="1"/>
          <w:numId w:val="88"/>
        </w:numPr>
        <w:spacing w:after="240"/>
        <w:rPr>
          <w:lang w:val="en-GB"/>
        </w:rPr>
      </w:pPr>
      <w:bookmarkStart w:id="301" w:name="_Toc131088632"/>
      <w:bookmarkStart w:id="302" w:name="_Toc169258976"/>
      <w:r w:rsidRPr="00BC1ABD">
        <w:rPr>
          <w:lang w:val="en-GB"/>
        </w:rPr>
        <w:t>Assessment of Georgian settlements using each criterion</w:t>
      </w:r>
      <w:bookmarkEnd w:id="301"/>
      <w:bookmarkEnd w:id="302"/>
    </w:p>
    <w:p w14:paraId="44A3E427" w14:textId="5911DBF9"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According to the defined criteria </w:t>
      </w:r>
      <w:r w:rsidR="00974F95">
        <w:rPr>
          <w:rFonts w:cs="Arial"/>
          <w:sz w:val="24"/>
          <w:szCs w:val="24"/>
          <w:lang w:val="en-GB"/>
        </w:rPr>
        <w:t>which are summari</w:t>
      </w:r>
      <w:r w:rsidR="002E7EAF">
        <w:rPr>
          <w:rFonts w:cs="Arial"/>
          <w:sz w:val="24"/>
          <w:szCs w:val="24"/>
          <w:lang w:val="en-GB"/>
        </w:rPr>
        <w:t>s</w:t>
      </w:r>
      <w:r w:rsidR="00974F95">
        <w:rPr>
          <w:rFonts w:cs="Arial"/>
          <w:sz w:val="24"/>
          <w:szCs w:val="24"/>
          <w:lang w:val="en-GB"/>
        </w:rPr>
        <w:t xml:space="preserve">ed </w:t>
      </w:r>
      <w:r w:rsidRPr="00BC1ABD">
        <w:rPr>
          <w:rFonts w:cs="Arial"/>
          <w:sz w:val="24"/>
          <w:szCs w:val="24"/>
          <w:lang w:val="en-GB"/>
        </w:rPr>
        <w:t xml:space="preserve">in Chapter </w:t>
      </w:r>
      <w:r w:rsidR="00974F95">
        <w:rPr>
          <w:rFonts w:cs="Arial"/>
          <w:sz w:val="24"/>
          <w:szCs w:val="24"/>
          <w:lang w:val="en-GB"/>
        </w:rPr>
        <w:t>6.3.6</w:t>
      </w:r>
      <w:r w:rsidRPr="00BC1ABD">
        <w:rPr>
          <w:rFonts w:cs="Arial"/>
          <w:sz w:val="24"/>
          <w:szCs w:val="24"/>
          <w:lang w:val="en-GB"/>
        </w:rPr>
        <w:t xml:space="preserve">, an assessment of competition in each settlement has been carried out. The primary purpose of this assessment is to allow a geographic segmentation of </w:t>
      </w:r>
      <w:r w:rsidRPr="00BC1ABD">
        <w:rPr>
          <w:rFonts w:cs="Arial"/>
          <w:i/>
          <w:iCs/>
          <w:sz w:val="24"/>
          <w:szCs w:val="24"/>
          <w:lang w:val="en-GB"/>
        </w:rPr>
        <w:t>ex-ante</w:t>
      </w:r>
      <w:r w:rsidRPr="00BC1ABD">
        <w:rPr>
          <w:rFonts w:cs="Arial"/>
          <w:sz w:val="24"/>
          <w:szCs w:val="24"/>
          <w:lang w:val="en-GB"/>
        </w:rPr>
        <w:t xml:space="preserve"> regulatory remedies to be applied to Magticom as a result of its SMP at national level. The chosen </w:t>
      </w:r>
      <w:r w:rsidRPr="00BC1ABD">
        <w:rPr>
          <w:rFonts w:cs="Arial"/>
          <w:i/>
          <w:iCs/>
          <w:sz w:val="24"/>
          <w:szCs w:val="24"/>
          <w:lang w:val="en-GB"/>
        </w:rPr>
        <w:t>ex-ante</w:t>
      </w:r>
      <w:r w:rsidRPr="00BC1ABD">
        <w:rPr>
          <w:rFonts w:cs="Arial"/>
          <w:sz w:val="24"/>
          <w:szCs w:val="24"/>
          <w:lang w:val="en-GB"/>
        </w:rPr>
        <w:t xml:space="preserve"> remedies for each settlement (see Chapter </w:t>
      </w:r>
      <w:r w:rsidR="009D4117">
        <w:rPr>
          <w:rFonts w:cs="Arial"/>
          <w:sz w:val="24"/>
          <w:szCs w:val="24"/>
          <w:lang w:val="en-GB"/>
        </w:rPr>
        <w:t>8</w:t>
      </w:r>
      <w:r w:rsidRPr="00BC1ABD">
        <w:rPr>
          <w:rFonts w:cs="Arial"/>
          <w:sz w:val="24"/>
          <w:szCs w:val="24"/>
          <w:lang w:val="en-GB"/>
        </w:rPr>
        <w:t>) should be based on the criteria used to define effective competition in each settlement and the remedies should be proportionate to the level of competition found.</w:t>
      </w:r>
    </w:p>
    <w:p w14:paraId="5E748794"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This segmentation of </w:t>
      </w:r>
      <w:r w:rsidRPr="00BC1ABD">
        <w:rPr>
          <w:rFonts w:cs="Arial"/>
          <w:i/>
          <w:iCs/>
          <w:sz w:val="24"/>
          <w:szCs w:val="24"/>
          <w:lang w:val="en-GB"/>
        </w:rPr>
        <w:t>ex-ante</w:t>
      </w:r>
      <w:r w:rsidRPr="00BC1ABD">
        <w:rPr>
          <w:rFonts w:cs="Arial"/>
          <w:sz w:val="24"/>
          <w:szCs w:val="24"/>
          <w:lang w:val="en-GB"/>
        </w:rPr>
        <w:t xml:space="preserve"> regulatory remedies is done in stages, each criterion is used separately, then the results are judged cumulatively.</w:t>
      </w:r>
    </w:p>
    <w:p w14:paraId="378229AF" w14:textId="1929D413"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03" w:name="_Toc169258977"/>
      <w:r w:rsidRPr="00F028B0">
        <w:rPr>
          <w:rFonts w:asciiTheme="minorHAnsi" w:hAnsiTheme="minorHAnsi" w:cstheme="minorHAnsi"/>
          <w:b w:val="0"/>
          <w:bCs w:val="0"/>
          <w:sz w:val="24"/>
          <w:szCs w:val="24"/>
          <w:lang w:val="en-GB"/>
        </w:rPr>
        <w:t xml:space="preserve">Criterion i.: Three </w:t>
      </w:r>
      <w:r w:rsidR="00F026B4">
        <w:rPr>
          <w:rFonts w:asciiTheme="minorHAnsi" w:hAnsiTheme="minorHAnsi" w:cstheme="minorHAnsi"/>
          <w:b w:val="0"/>
          <w:bCs w:val="0"/>
          <w:sz w:val="24"/>
          <w:szCs w:val="24"/>
          <w:lang w:val="en-GB"/>
        </w:rPr>
        <w:t>FTTx</w:t>
      </w:r>
      <w:r w:rsidRPr="00F028B0">
        <w:rPr>
          <w:rFonts w:asciiTheme="minorHAnsi" w:hAnsiTheme="minorHAnsi" w:cstheme="minorHAnsi"/>
          <w:b w:val="0"/>
          <w:bCs w:val="0"/>
          <w:sz w:val="24"/>
          <w:szCs w:val="24"/>
          <w:lang w:val="en-GB"/>
        </w:rPr>
        <w:t xml:space="preserve"> network operators are present in the settlement</w:t>
      </w:r>
      <w:bookmarkEnd w:id="303"/>
    </w:p>
    <w:p w14:paraId="1785EE27" w14:textId="6145031E"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first criterion (based on the number of </w:t>
      </w:r>
      <w:r w:rsidR="00F026B4">
        <w:rPr>
          <w:rFonts w:cs="Arial"/>
          <w:sz w:val="24"/>
          <w:szCs w:val="24"/>
          <w:lang w:val="en-GB"/>
        </w:rPr>
        <w:t>FTTx</w:t>
      </w:r>
      <w:r w:rsidRPr="00BC1ABD">
        <w:rPr>
          <w:rFonts w:cs="Arial"/>
          <w:sz w:val="24"/>
          <w:szCs w:val="24"/>
          <w:lang w:val="en-GB"/>
        </w:rPr>
        <w:t xml:space="preserve"> networks present in the settlement) is fulfilled if at least one subscriber is present on each of at least three different </w:t>
      </w:r>
      <w:r w:rsidR="00F026B4">
        <w:rPr>
          <w:rFonts w:cs="Arial"/>
          <w:sz w:val="24"/>
          <w:szCs w:val="24"/>
          <w:lang w:val="en-GB"/>
        </w:rPr>
        <w:t>FTTx</w:t>
      </w:r>
      <w:r w:rsidRPr="00BC1ABD">
        <w:rPr>
          <w:rFonts w:cs="Arial"/>
          <w:sz w:val="24"/>
          <w:szCs w:val="24"/>
          <w:lang w:val="en-GB"/>
        </w:rPr>
        <w:t xml:space="preserve"> network operators. Since there are no wholesale local and central access agreements between any </w:t>
      </w:r>
      <w:r w:rsidR="00F026B4">
        <w:rPr>
          <w:rFonts w:cs="Arial"/>
          <w:sz w:val="24"/>
          <w:szCs w:val="24"/>
          <w:lang w:val="en-GB"/>
        </w:rPr>
        <w:t>FTTx</w:t>
      </w:r>
      <w:r w:rsidRPr="00BC1ABD">
        <w:rPr>
          <w:rFonts w:cs="Arial"/>
          <w:sz w:val="24"/>
          <w:szCs w:val="24"/>
          <w:lang w:val="en-GB"/>
        </w:rPr>
        <w:t xml:space="preserve"> operators in Georgia, there are no subscribers of one operator being connected by another operator’s network. The criterion of at least one subscriber on an </w:t>
      </w:r>
      <w:r w:rsidR="00F026B4">
        <w:rPr>
          <w:rFonts w:cs="Arial"/>
          <w:sz w:val="24"/>
          <w:szCs w:val="24"/>
          <w:lang w:val="en-GB"/>
        </w:rPr>
        <w:t>FTTx</w:t>
      </w:r>
      <w:r w:rsidRPr="00BC1ABD">
        <w:rPr>
          <w:rFonts w:cs="Arial"/>
          <w:sz w:val="24"/>
          <w:szCs w:val="24"/>
          <w:lang w:val="en-GB"/>
        </w:rPr>
        <w:t xml:space="preserve"> network is therefore considered to be a sufficient condition to assess an </w:t>
      </w:r>
      <w:r w:rsidR="00F026B4">
        <w:rPr>
          <w:rFonts w:cs="Arial"/>
          <w:sz w:val="24"/>
          <w:szCs w:val="24"/>
          <w:lang w:val="en-GB"/>
        </w:rPr>
        <w:t>FTTx</w:t>
      </w:r>
      <w:r w:rsidRPr="00BC1ABD">
        <w:rPr>
          <w:rFonts w:cs="Arial"/>
          <w:sz w:val="24"/>
          <w:szCs w:val="24"/>
          <w:lang w:val="en-GB"/>
        </w:rPr>
        <w:t xml:space="preserve"> network operator’s presence. It may be the case that even in if there is no subscriber, an operator’s network may be present, but in this case it is considered that the network without a subscriber does not yet have any impact on competition for the purposes of this assessment.</w:t>
      </w:r>
    </w:p>
    <w:p w14:paraId="080DFDE7" w14:textId="10567ADE"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According to criterion i., settlements with less than three </w:t>
      </w:r>
      <w:r w:rsidR="00F026B4">
        <w:rPr>
          <w:rFonts w:cs="Arial"/>
          <w:sz w:val="24"/>
          <w:szCs w:val="24"/>
          <w:lang w:val="en-GB"/>
        </w:rPr>
        <w:t>FTTx</w:t>
      </w:r>
      <w:r w:rsidRPr="00BC1ABD">
        <w:rPr>
          <w:rFonts w:cs="Arial"/>
          <w:sz w:val="24"/>
          <w:szCs w:val="24"/>
          <w:lang w:val="en-GB"/>
        </w:rPr>
        <w:t xml:space="preserve"> network operators are considered not contestable, Even if there are two networks, there is a higher possibility that the network coverage between two </w:t>
      </w:r>
      <w:r w:rsidR="00F026B4">
        <w:rPr>
          <w:rFonts w:cs="Arial"/>
          <w:sz w:val="24"/>
          <w:szCs w:val="24"/>
          <w:lang w:val="en-GB"/>
        </w:rPr>
        <w:t>FTTx</w:t>
      </w:r>
      <w:r w:rsidRPr="00BC1ABD">
        <w:rPr>
          <w:rFonts w:cs="Arial"/>
          <w:sz w:val="24"/>
          <w:szCs w:val="24"/>
          <w:lang w:val="en-GB"/>
        </w:rPr>
        <w:t xml:space="preserve"> operators does not overlap or overlaps only in relatively small part of a settlement. In such cases, the end-user choice is limited.</w:t>
      </w:r>
    </w:p>
    <w:p w14:paraId="1BD22F15" w14:textId="7FAC1DDF"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In the following tables (Figures </w:t>
      </w:r>
      <w:r w:rsidR="00924E43">
        <w:rPr>
          <w:rFonts w:cs="Arial"/>
          <w:sz w:val="24"/>
          <w:szCs w:val="24"/>
          <w:lang w:val="en-GB"/>
        </w:rPr>
        <w:t>57</w:t>
      </w:r>
      <w:r w:rsidRPr="00BC1ABD">
        <w:rPr>
          <w:rFonts w:cs="Arial"/>
          <w:sz w:val="24"/>
          <w:szCs w:val="24"/>
          <w:lang w:val="en-GB"/>
        </w:rPr>
        <w:t xml:space="preserve"> to 6</w:t>
      </w:r>
      <w:r w:rsidR="00924E43">
        <w:rPr>
          <w:rFonts w:cs="Arial"/>
          <w:sz w:val="24"/>
          <w:szCs w:val="24"/>
          <w:lang w:val="en-GB"/>
        </w:rPr>
        <w:t>0</w:t>
      </w:r>
      <w:r w:rsidRPr="00BC1ABD">
        <w:rPr>
          <w:rFonts w:cs="Arial"/>
          <w:sz w:val="24"/>
          <w:szCs w:val="24"/>
          <w:lang w:val="en-GB"/>
        </w:rPr>
        <w:t xml:space="preserve">) the subscriptions quoted are for retail </w:t>
      </w:r>
      <w:r w:rsidR="00F026B4">
        <w:rPr>
          <w:rFonts w:cs="Arial"/>
          <w:sz w:val="24"/>
          <w:szCs w:val="24"/>
          <w:lang w:val="en-GB"/>
        </w:rPr>
        <w:t>FTTx</w:t>
      </w:r>
      <w:r w:rsidRPr="00BC1ABD">
        <w:rPr>
          <w:rFonts w:cs="Arial"/>
          <w:sz w:val="24"/>
          <w:szCs w:val="24"/>
          <w:lang w:val="en-GB"/>
        </w:rPr>
        <w:t xml:space="preserve"> fixed broadband access subscriptions.</w:t>
      </w:r>
    </w:p>
    <w:p w14:paraId="6964F9E4" w14:textId="2590C7EA" w:rsidR="00A0244C" w:rsidRPr="00BC1ABD" w:rsidRDefault="00A0244C" w:rsidP="00A0244C">
      <w:pPr>
        <w:pStyle w:val="Caption"/>
        <w:jc w:val="center"/>
        <w:rPr>
          <w:rFonts w:cs="Arial"/>
          <w:b/>
          <w:sz w:val="24"/>
          <w:szCs w:val="24"/>
          <w:lang w:val="en-GB"/>
        </w:rPr>
      </w:pPr>
      <w:bookmarkStart w:id="304" w:name="_Toc152931409"/>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58</w:t>
      </w:r>
      <w:r w:rsidRPr="00BC1ABD">
        <w:rPr>
          <w:lang w:val="en-GB"/>
        </w:rPr>
        <w:fldChar w:fldCharType="end"/>
      </w:r>
      <w:r w:rsidRPr="00BC1ABD">
        <w:rPr>
          <w:lang w:val="en-GB"/>
        </w:rPr>
        <w:t xml:space="preserve">: Summary of settlements with less than three </w:t>
      </w:r>
      <w:r w:rsidR="00F026B4">
        <w:rPr>
          <w:lang w:val="en-GB"/>
        </w:rPr>
        <w:t>FTTx</w:t>
      </w:r>
      <w:r w:rsidRPr="00BC1ABD">
        <w:rPr>
          <w:lang w:val="en-GB"/>
        </w:rPr>
        <w:t xml:space="preserve"> network operators present</w:t>
      </w:r>
      <w:bookmarkEnd w:id="304"/>
    </w:p>
    <w:tbl>
      <w:tblPr>
        <w:tblW w:w="9209" w:type="dxa"/>
        <w:tblLayout w:type="fixed"/>
        <w:tblCellMar>
          <w:left w:w="0" w:type="dxa"/>
          <w:right w:w="57" w:type="dxa"/>
        </w:tblCellMar>
        <w:tblLook w:val="04A0" w:firstRow="1" w:lastRow="0" w:firstColumn="1" w:lastColumn="0" w:noHBand="0" w:noVBand="1"/>
      </w:tblPr>
      <w:tblGrid>
        <w:gridCol w:w="704"/>
        <w:gridCol w:w="851"/>
        <w:gridCol w:w="1134"/>
        <w:gridCol w:w="992"/>
        <w:gridCol w:w="1134"/>
        <w:gridCol w:w="1098"/>
        <w:gridCol w:w="1170"/>
        <w:gridCol w:w="1027"/>
        <w:gridCol w:w="1099"/>
      </w:tblGrid>
      <w:tr w:rsidR="00A0244C" w:rsidRPr="00BC1ABD" w14:paraId="5C149F5A" w14:textId="77777777" w:rsidTr="007354E3">
        <w:trPr>
          <w:trHeight w:val="948"/>
        </w:trPr>
        <w:tc>
          <w:tcPr>
            <w:tcW w:w="704" w:type="dxa"/>
            <w:tcBorders>
              <w:top w:val="single" w:sz="4" w:space="0" w:color="auto"/>
              <w:left w:val="single" w:sz="4" w:space="0" w:color="auto"/>
              <w:bottom w:val="single" w:sz="4" w:space="0" w:color="auto"/>
              <w:right w:val="single" w:sz="4" w:space="0" w:color="auto"/>
            </w:tcBorders>
            <w:shd w:val="clear" w:color="000000" w:fill="5B9BD5"/>
            <w:vAlign w:val="bottom"/>
            <w:hideMark/>
          </w:tcPr>
          <w:p w14:paraId="61D381AF"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No of operators</w:t>
            </w:r>
          </w:p>
        </w:tc>
        <w:tc>
          <w:tcPr>
            <w:tcW w:w="851" w:type="dxa"/>
            <w:tcBorders>
              <w:top w:val="single" w:sz="4" w:space="0" w:color="auto"/>
              <w:left w:val="nil"/>
              <w:bottom w:val="single" w:sz="4" w:space="0" w:color="auto"/>
              <w:right w:val="single" w:sz="4" w:space="0" w:color="auto"/>
            </w:tcBorders>
            <w:shd w:val="clear" w:color="000000" w:fill="5B9BD5"/>
            <w:vAlign w:val="bottom"/>
            <w:hideMark/>
          </w:tcPr>
          <w:p w14:paraId="0A22F8F5"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settlements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7AB5956F"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Households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2332B9A3"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 of total households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6C0874DC"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Population </w:t>
            </w:r>
          </w:p>
        </w:tc>
        <w:tc>
          <w:tcPr>
            <w:tcW w:w="1098" w:type="dxa"/>
            <w:tcBorders>
              <w:top w:val="single" w:sz="4" w:space="0" w:color="auto"/>
              <w:left w:val="nil"/>
              <w:bottom w:val="single" w:sz="4" w:space="0" w:color="auto"/>
              <w:right w:val="single" w:sz="4" w:space="0" w:color="auto"/>
            </w:tcBorders>
            <w:shd w:val="clear" w:color="000000" w:fill="5B9BD5"/>
            <w:vAlign w:val="bottom"/>
            <w:hideMark/>
          </w:tcPr>
          <w:p w14:paraId="1B78032D" w14:textId="790B7CBC"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Pr="00BC1ABD">
              <w:rPr>
                <w:rFonts w:eastAsia="Times New Roman" w:cs="Calibri"/>
                <w:b/>
                <w:bCs/>
                <w:color w:val="000000"/>
                <w:sz w:val="20"/>
                <w:szCs w:val="20"/>
                <w:lang w:val="en-GB" w:eastAsia="sl-SI"/>
              </w:rPr>
              <w:t>all operators</w:t>
            </w:r>
          </w:p>
        </w:tc>
        <w:tc>
          <w:tcPr>
            <w:tcW w:w="1170" w:type="dxa"/>
            <w:tcBorders>
              <w:top w:val="single" w:sz="4" w:space="0" w:color="auto"/>
              <w:left w:val="nil"/>
              <w:bottom w:val="single" w:sz="4" w:space="0" w:color="auto"/>
              <w:right w:val="single" w:sz="4" w:space="0" w:color="auto"/>
            </w:tcBorders>
            <w:shd w:val="clear" w:color="000000" w:fill="5B9BD5"/>
            <w:vAlign w:val="bottom"/>
            <w:hideMark/>
          </w:tcPr>
          <w:p w14:paraId="661E9483" w14:textId="48BD3833"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Pr="00BC1ABD">
              <w:rPr>
                <w:rFonts w:eastAsia="Times New Roman" w:cs="Calibri"/>
                <w:b/>
                <w:bCs/>
                <w:color w:val="000000"/>
                <w:sz w:val="20"/>
                <w:szCs w:val="20"/>
                <w:lang w:val="en-GB" w:eastAsia="sl-SI"/>
              </w:rPr>
              <w:t>Magticom</w:t>
            </w:r>
          </w:p>
        </w:tc>
        <w:tc>
          <w:tcPr>
            <w:tcW w:w="1027" w:type="dxa"/>
            <w:tcBorders>
              <w:top w:val="single" w:sz="4" w:space="0" w:color="auto"/>
              <w:left w:val="nil"/>
              <w:bottom w:val="single" w:sz="4" w:space="0" w:color="auto"/>
              <w:right w:val="single" w:sz="4" w:space="0" w:color="auto"/>
            </w:tcBorders>
            <w:shd w:val="clear" w:color="000000" w:fill="5B9BD5"/>
            <w:vAlign w:val="bottom"/>
            <w:hideMark/>
          </w:tcPr>
          <w:p w14:paraId="3E344426"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all operators</w:t>
            </w:r>
          </w:p>
        </w:tc>
        <w:tc>
          <w:tcPr>
            <w:tcW w:w="1099" w:type="dxa"/>
            <w:tcBorders>
              <w:top w:val="single" w:sz="4" w:space="0" w:color="auto"/>
              <w:left w:val="nil"/>
              <w:bottom w:val="single" w:sz="4" w:space="0" w:color="auto"/>
              <w:right w:val="single" w:sz="4" w:space="0" w:color="auto"/>
            </w:tcBorders>
            <w:shd w:val="clear" w:color="000000" w:fill="5B9BD5"/>
            <w:vAlign w:val="bottom"/>
            <w:hideMark/>
          </w:tcPr>
          <w:p w14:paraId="7627487B"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Magticom</w:t>
            </w:r>
          </w:p>
        </w:tc>
      </w:tr>
      <w:tr w:rsidR="00A0244C" w:rsidRPr="00BC1ABD" w14:paraId="577A2CD2"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322586"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4D659C1"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182</w:t>
            </w:r>
          </w:p>
        </w:tc>
        <w:tc>
          <w:tcPr>
            <w:tcW w:w="1134" w:type="dxa"/>
            <w:tcBorders>
              <w:top w:val="nil"/>
              <w:left w:val="nil"/>
              <w:bottom w:val="single" w:sz="4" w:space="0" w:color="auto"/>
              <w:right w:val="single" w:sz="4" w:space="0" w:color="auto"/>
            </w:tcBorders>
            <w:shd w:val="clear" w:color="auto" w:fill="auto"/>
            <w:vAlign w:val="center"/>
            <w:hideMark/>
          </w:tcPr>
          <w:p w14:paraId="2E3DECF3"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110,539</w:t>
            </w:r>
          </w:p>
        </w:tc>
        <w:tc>
          <w:tcPr>
            <w:tcW w:w="992" w:type="dxa"/>
            <w:tcBorders>
              <w:top w:val="nil"/>
              <w:left w:val="nil"/>
              <w:bottom w:val="single" w:sz="4" w:space="0" w:color="auto"/>
              <w:right w:val="single" w:sz="4" w:space="0" w:color="auto"/>
            </w:tcBorders>
            <w:shd w:val="clear" w:color="auto" w:fill="auto"/>
            <w:vAlign w:val="center"/>
            <w:hideMark/>
          </w:tcPr>
          <w:p w14:paraId="18B7E3B9"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8.8</w:t>
            </w:r>
          </w:p>
        </w:tc>
        <w:tc>
          <w:tcPr>
            <w:tcW w:w="1134" w:type="dxa"/>
            <w:tcBorders>
              <w:top w:val="nil"/>
              <w:left w:val="nil"/>
              <w:bottom w:val="single" w:sz="4" w:space="0" w:color="auto"/>
              <w:right w:val="single" w:sz="4" w:space="0" w:color="auto"/>
            </w:tcBorders>
            <w:shd w:val="clear" w:color="auto" w:fill="auto"/>
            <w:vAlign w:val="center"/>
            <w:hideMark/>
          </w:tcPr>
          <w:p w14:paraId="61A7E195"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360,059</w:t>
            </w:r>
          </w:p>
        </w:tc>
        <w:tc>
          <w:tcPr>
            <w:tcW w:w="1098" w:type="dxa"/>
            <w:tcBorders>
              <w:top w:val="nil"/>
              <w:left w:val="nil"/>
              <w:bottom w:val="single" w:sz="4" w:space="0" w:color="auto"/>
              <w:right w:val="single" w:sz="4" w:space="0" w:color="auto"/>
            </w:tcBorders>
            <w:shd w:val="clear" w:color="auto" w:fill="auto"/>
            <w:vAlign w:val="center"/>
            <w:hideMark/>
          </w:tcPr>
          <w:p w14:paraId="008605DF"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68,059</w:t>
            </w:r>
          </w:p>
        </w:tc>
        <w:tc>
          <w:tcPr>
            <w:tcW w:w="1170" w:type="dxa"/>
            <w:tcBorders>
              <w:top w:val="nil"/>
              <w:left w:val="nil"/>
              <w:bottom w:val="single" w:sz="4" w:space="0" w:color="auto"/>
              <w:right w:val="single" w:sz="4" w:space="0" w:color="auto"/>
            </w:tcBorders>
            <w:shd w:val="clear" w:color="auto" w:fill="auto"/>
            <w:vAlign w:val="center"/>
            <w:hideMark/>
          </w:tcPr>
          <w:p w14:paraId="309BEF57"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50,943</w:t>
            </w:r>
          </w:p>
        </w:tc>
        <w:tc>
          <w:tcPr>
            <w:tcW w:w="1027" w:type="dxa"/>
            <w:tcBorders>
              <w:top w:val="nil"/>
              <w:left w:val="nil"/>
              <w:bottom w:val="single" w:sz="4" w:space="0" w:color="auto"/>
              <w:right w:val="single" w:sz="4" w:space="0" w:color="auto"/>
            </w:tcBorders>
            <w:shd w:val="clear" w:color="auto" w:fill="auto"/>
            <w:vAlign w:val="center"/>
            <w:hideMark/>
          </w:tcPr>
          <w:p w14:paraId="6939A057"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174,522</w:t>
            </w:r>
          </w:p>
        </w:tc>
        <w:tc>
          <w:tcPr>
            <w:tcW w:w="1099" w:type="dxa"/>
            <w:tcBorders>
              <w:top w:val="nil"/>
              <w:left w:val="nil"/>
              <w:bottom w:val="single" w:sz="4" w:space="0" w:color="auto"/>
              <w:right w:val="single" w:sz="4" w:space="0" w:color="auto"/>
            </w:tcBorders>
            <w:shd w:val="clear" w:color="auto" w:fill="auto"/>
            <w:vAlign w:val="center"/>
            <w:hideMark/>
          </w:tcPr>
          <w:p w14:paraId="62C916BD"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114,540</w:t>
            </w:r>
          </w:p>
        </w:tc>
      </w:tr>
      <w:tr w:rsidR="00A0244C" w:rsidRPr="00BC1ABD" w14:paraId="1D946A6C"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165E2B"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6273DFC"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767</w:t>
            </w:r>
          </w:p>
        </w:tc>
        <w:tc>
          <w:tcPr>
            <w:tcW w:w="1134" w:type="dxa"/>
            <w:tcBorders>
              <w:top w:val="nil"/>
              <w:left w:val="nil"/>
              <w:bottom w:val="single" w:sz="4" w:space="0" w:color="auto"/>
              <w:right w:val="single" w:sz="4" w:space="0" w:color="auto"/>
            </w:tcBorders>
            <w:shd w:val="clear" w:color="auto" w:fill="auto"/>
            <w:vAlign w:val="center"/>
            <w:hideMark/>
          </w:tcPr>
          <w:p w14:paraId="6A81C662"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200,842</w:t>
            </w:r>
          </w:p>
        </w:tc>
        <w:tc>
          <w:tcPr>
            <w:tcW w:w="992" w:type="dxa"/>
            <w:tcBorders>
              <w:top w:val="nil"/>
              <w:left w:val="nil"/>
              <w:bottom w:val="single" w:sz="4" w:space="0" w:color="auto"/>
              <w:right w:val="single" w:sz="4" w:space="0" w:color="auto"/>
            </w:tcBorders>
            <w:shd w:val="clear" w:color="auto" w:fill="auto"/>
            <w:vAlign w:val="center"/>
            <w:hideMark/>
          </w:tcPr>
          <w:p w14:paraId="0FA495A4"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16.0</w:t>
            </w:r>
          </w:p>
        </w:tc>
        <w:tc>
          <w:tcPr>
            <w:tcW w:w="1134" w:type="dxa"/>
            <w:tcBorders>
              <w:top w:val="nil"/>
              <w:left w:val="nil"/>
              <w:bottom w:val="single" w:sz="4" w:space="0" w:color="auto"/>
              <w:right w:val="single" w:sz="4" w:space="0" w:color="auto"/>
            </w:tcBorders>
            <w:shd w:val="clear" w:color="auto" w:fill="auto"/>
            <w:vAlign w:val="center"/>
            <w:hideMark/>
          </w:tcPr>
          <w:p w14:paraId="380D679B"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696,003</w:t>
            </w:r>
          </w:p>
        </w:tc>
        <w:tc>
          <w:tcPr>
            <w:tcW w:w="1098" w:type="dxa"/>
            <w:tcBorders>
              <w:top w:val="nil"/>
              <w:left w:val="nil"/>
              <w:bottom w:val="single" w:sz="4" w:space="0" w:color="auto"/>
              <w:right w:val="single" w:sz="4" w:space="0" w:color="auto"/>
            </w:tcBorders>
            <w:shd w:val="clear" w:color="auto" w:fill="auto"/>
            <w:vAlign w:val="center"/>
            <w:hideMark/>
          </w:tcPr>
          <w:p w14:paraId="754C7388"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88,393</w:t>
            </w:r>
          </w:p>
        </w:tc>
        <w:tc>
          <w:tcPr>
            <w:tcW w:w="1170" w:type="dxa"/>
            <w:tcBorders>
              <w:top w:val="nil"/>
              <w:left w:val="nil"/>
              <w:bottom w:val="single" w:sz="4" w:space="0" w:color="auto"/>
              <w:right w:val="single" w:sz="4" w:space="0" w:color="auto"/>
            </w:tcBorders>
            <w:shd w:val="clear" w:color="auto" w:fill="auto"/>
            <w:vAlign w:val="center"/>
            <w:hideMark/>
          </w:tcPr>
          <w:p w14:paraId="10F91A86"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66,929</w:t>
            </w:r>
          </w:p>
        </w:tc>
        <w:tc>
          <w:tcPr>
            <w:tcW w:w="1027" w:type="dxa"/>
            <w:tcBorders>
              <w:top w:val="nil"/>
              <w:left w:val="nil"/>
              <w:bottom w:val="single" w:sz="4" w:space="0" w:color="auto"/>
              <w:right w:val="single" w:sz="4" w:space="0" w:color="auto"/>
            </w:tcBorders>
            <w:shd w:val="clear" w:color="auto" w:fill="auto"/>
            <w:vAlign w:val="center"/>
            <w:hideMark/>
          </w:tcPr>
          <w:p w14:paraId="3F7B52BB"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164,715</w:t>
            </w:r>
          </w:p>
        </w:tc>
        <w:tc>
          <w:tcPr>
            <w:tcW w:w="1099" w:type="dxa"/>
            <w:tcBorders>
              <w:top w:val="nil"/>
              <w:left w:val="nil"/>
              <w:bottom w:val="single" w:sz="4" w:space="0" w:color="auto"/>
              <w:right w:val="single" w:sz="4" w:space="0" w:color="auto"/>
            </w:tcBorders>
            <w:shd w:val="clear" w:color="auto" w:fill="auto"/>
            <w:vAlign w:val="center"/>
            <w:hideMark/>
          </w:tcPr>
          <w:p w14:paraId="7921B7C8"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133,611</w:t>
            </w:r>
          </w:p>
        </w:tc>
      </w:tr>
      <w:tr w:rsidR="00A0244C" w:rsidRPr="00BC1ABD" w14:paraId="45D75961"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C360F6"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SUM</w:t>
            </w:r>
          </w:p>
        </w:tc>
        <w:tc>
          <w:tcPr>
            <w:tcW w:w="851" w:type="dxa"/>
            <w:tcBorders>
              <w:top w:val="nil"/>
              <w:left w:val="nil"/>
              <w:bottom w:val="single" w:sz="4" w:space="0" w:color="auto"/>
              <w:right w:val="single" w:sz="4" w:space="0" w:color="auto"/>
            </w:tcBorders>
            <w:shd w:val="clear" w:color="auto" w:fill="auto"/>
            <w:vAlign w:val="center"/>
            <w:hideMark/>
          </w:tcPr>
          <w:p w14:paraId="1F6BB242"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949</w:t>
            </w:r>
          </w:p>
        </w:tc>
        <w:tc>
          <w:tcPr>
            <w:tcW w:w="1134" w:type="dxa"/>
            <w:tcBorders>
              <w:top w:val="nil"/>
              <w:left w:val="nil"/>
              <w:bottom w:val="single" w:sz="4" w:space="0" w:color="auto"/>
              <w:right w:val="single" w:sz="4" w:space="0" w:color="auto"/>
            </w:tcBorders>
            <w:shd w:val="clear" w:color="auto" w:fill="auto"/>
            <w:vAlign w:val="center"/>
            <w:hideMark/>
          </w:tcPr>
          <w:p w14:paraId="01A24F3E"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311,381</w:t>
            </w:r>
          </w:p>
        </w:tc>
        <w:tc>
          <w:tcPr>
            <w:tcW w:w="992" w:type="dxa"/>
            <w:tcBorders>
              <w:top w:val="nil"/>
              <w:left w:val="nil"/>
              <w:bottom w:val="single" w:sz="4" w:space="0" w:color="auto"/>
              <w:right w:val="single" w:sz="4" w:space="0" w:color="auto"/>
            </w:tcBorders>
            <w:shd w:val="clear" w:color="auto" w:fill="auto"/>
            <w:vAlign w:val="center"/>
            <w:hideMark/>
          </w:tcPr>
          <w:p w14:paraId="4AC6B904"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24.9</w:t>
            </w:r>
          </w:p>
        </w:tc>
        <w:tc>
          <w:tcPr>
            <w:tcW w:w="1134" w:type="dxa"/>
            <w:tcBorders>
              <w:top w:val="nil"/>
              <w:left w:val="nil"/>
              <w:bottom w:val="single" w:sz="4" w:space="0" w:color="auto"/>
              <w:right w:val="single" w:sz="4" w:space="0" w:color="auto"/>
            </w:tcBorders>
            <w:shd w:val="clear" w:color="auto" w:fill="auto"/>
            <w:vAlign w:val="center"/>
            <w:hideMark/>
          </w:tcPr>
          <w:p w14:paraId="44B4B0D6" w14:textId="77777777" w:rsidR="00A0244C" w:rsidRPr="00BC1ABD" w:rsidRDefault="00A0244C" w:rsidP="007354E3">
            <w:pPr>
              <w:spacing w:after="0" w:line="240" w:lineRule="auto"/>
              <w:ind w:firstLineChars="100" w:firstLine="201"/>
              <w:jc w:val="right"/>
              <w:rPr>
                <w:rFonts w:eastAsia="Times New Roman" w:cs="Calibri"/>
                <w:b/>
                <w:color w:val="000000"/>
                <w:sz w:val="20"/>
                <w:szCs w:val="20"/>
                <w:lang w:val="en-GB" w:eastAsia="sl-SI"/>
              </w:rPr>
            </w:pPr>
            <w:r w:rsidRPr="00BC1ABD">
              <w:rPr>
                <w:rFonts w:eastAsia="Times New Roman" w:cs="Calibri"/>
                <w:b/>
                <w:color w:val="000000"/>
                <w:sz w:val="20"/>
                <w:szCs w:val="20"/>
                <w:lang w:val="en-GB" w:eastAsia="sl-SI"/>
              </w:rPr>
              <w:t>1,056,062</w:t>
            </w:r>
          </w:p>
        </w:tc>
        <w:tc>
          <w:tcPr>
            <w:tcW w:w="1098" w:type="dxa"/>
            <w:tcBorders>
              <w:top w:val="nil"/>
              <w:left w:val="nil"/>
              <w:bottom w:val="single" w:sz="4" w:space="0" w:color="auto"/>
              <w:right w:val="single" w:sz="4" w:space="0" w:color="auto"/>
            </w:tcBorders>
            <w:shd w:val="clear" w:color="auto" w:fill="auto"/>
            <w:noWrap/>
            <w:vAlign w:val="bottom"/>
            <w:hideMark/>
          </w:tcPr>
          <w:p w14:paraId="62F0D3A3" w14:textId="77777777" w:rsidR="00A0244C" w:rsidRPr="00BC1ABD" w:rsidRDefault="00A0244C" w:rsidP="007354E3">
            <w:pPr>
              <w:spacing w:after="0" w:line="240" w:lineRule="auto"/>
              <w:ind w:firstLineChars="100" w:firstLine="201"/>
              <w:jc w:val="right"/>
              <w:rPr>
                <w:rFonts w:eastAsia="Times New Roman" w:cs="Calibri"/>
                <w:b/>
                <w:color w:val="000000"/>
                <w:sz w:val="20"/>
                <w:szCs w:val="20"/>
                <w:lang w:val="en-GB" w:eastAsia="sl-SI"/>
              </w:rPr>
            </w:pPr>
            <w:r w:rsidRPr="00BC1ABD">
              <w:rPr>
                <w:rFonts w:eastAsia="Times New Roman" w:cs="Calibri"/>
                <w:b/>
                <w:color w:val="000000"/>
                <w:sz w:val="20"/>
                <w:szCs w:val="20"/>
                <w:lang w:val="en-GB" w:eastAsia="sl-SI"/>
              </w:rPr>
              <w:t>156,452</w:t>
            </w:r>
          </w:p>
        </w:tc>
        <w:tc>
          <w:tcPr>
            <w:tcW w:w="1170" w:type="dxa"/>
            <w:tcBorders>
              <w:top w:val="nil"/>
              <w:left w:val="nil"/>
              <w:bottom w:val="single" w:sz="4" w:space="0" w:color="auto"/>
              <w:right w:val="single" w:sz="4" w:space="0" w:color="auto"/>
            </w:tcBorders>
            <w:shd w:val="clear" w:color="auto" w:fill="auto"/>
            <w:vAlign w:val="center"/>
            <w:hideMark/>
          </w:tcPr>
          <w:p w14:paraId="4BF40282"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117,872</w:t>
            </w:r>
          </w:p>
        </w:tc>
        <w:tc>
          <w:tcPr>
            <w:tcW w:w="1027" w:type="dxa"/>
            <w:tcBorders>
              <w:top w:val="nil"/>
              <w:left w:val="nil"/>
              <w:bottom w:val="single" w:sz="4" w:space="0" w:color="auto"/>
              <w:right w:val="single" w:sz="4" w:space="0" w:color="auto"/>
            </w:tcBorders>
            <w:shd w:val="clear" w:color="auto" w:fill="auto"/>
            <w:vAlign w:val="center"/>
            <w:hideMark/>
          </w:tcPr>
          <w:p w14:paraId="6B111D73"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339,237</w:t>
            </w:r>
          </w:p>
        </w:tc>
        <w:tc>
          <w:tcPr>
            <w:tcW w:w="1099" w:type="dxa"/>
            <w:tcBorders>
              <w:top w:val="nil"/>
              <w:left w:val="nil"/>
              <w:bottom w:val="single" w:sz="4" w:space="0" w:color="auto"/>
              <w:right w:val="single" w:sz="4" w:space="0" w:color="auto"/>
            </w:tcBorders>
            <w:shd w:val="clear" w:color="auto" w:fill="auto"/>
            <w:vAlign w:val="center"/>
            <w:hideMark/>
          </w:tcPr>
          <w:p w14:paraId="0AA3B805"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248,151</w:t>
            </w:r>
          </w:p>
        </w:tc>
      </w:tr>
      <w:tr w:rsidR="00A0244C" w:rsidRPr="00BC1ABD" w14:paraId="4B4F0828" w14:textId="77777777" w:rsidTr="007354E3">
        <w:trPr>
          <w:trHeight w:val="108"/>
        </w:trPr>
        <w:tc>
          <w:tcPr>
            <w:tcW w:w="704" w:type="dxa"/>
            <w:tcBorders>
              <w:top w:val="single" w:sz="4" w:space="0" w:color="auto"/>
              <w:left w:val="nil"/>
              <w:bottom w:val="single" w:sz="4" w:space="0" w:color="auto"/>
              <w:right w:val="nil"/>
            </w:tcBorders>
            <w:shd w:val="clear" w:color="auto" w:fill="auto"/>
            <w:noWrap/>
            <w:vAlign w:val="bottom"/>
            <w:hideMark/>
          </w:tcPr>
          <w:p w14:paraId="718CB59A"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851" w:type="dxa"/>
            <w:tcBorders>
              <w:top w:val="single" w:sz="4" w:space="0" w:color="auto"/>
              <w:left w:val="nil"/>
              <w:bottom w:val="single" w:sz="4" w:space="0" w:color="auto"/>
              <w:right w:val="nil"/>
            </w:tcBorders>
            <w:shd w:val="clear" w:color="auto" w:fill="auto"/>
            <w:noWrap/>
            <w:vAlign w:val="bottom"/>
            <w:hideMark/>
          </w:tcPr>
          <w:p w14:paraId="3E1FCD35"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1134" w:type="dxa"/>
            <w:tcBorders>
              <w:top w:val="single" w:sz="4" w:space="0" w:color="auto"/>
              <w:left w:val="nil"/>
              <w:bottom w:val="single" w:sz="4" w:space="0" w:color="auto"/>
              <w:right w:val="nil"/>
            </w:tcBorders>
            <w:shd w:val="clear" w:color="auto" w:fill="auto"/>
            <w:noWrap/>
            <w:vAlign w:val="bottom"/>
            <w:hideMark/>
          </w:tcPr>
          <w:p w14:paraId="65103242"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992" w:type="dxa"/>
            <w:tcBorders>
              <w:top w:val="single" w:sz="4" w:space="0" w:color="auto"/>
              <w:left w:val="nil"/>
              <w:bottom w:val="single" w:sz="4" w:space="0" w:color="auto"/>
              <w:right w:val="nil"/>
            </w:tcBorders>
            <w:shd w:val="clear" w:color="auto" w:fill="auto"/>
            <w:noWrap/>
            <w:vAlign w:val="bottom"/>
            <w:hideMark/>
          </w:tcPr>
          <w:p w14:paraId="3964FD2C"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1134" w:type="dxa"/>
            <w:tcBorders>
              <w:top w:val="single" w:sz="4" w:space="0" w:color="auto"/>
              <w:left w:val="nil"/>
              <w:bottom w:val="single" w:sz="4" w:space="0" w:color="auto"/>
              <w:right w:val="nil"/>
            </w:tcBorders>
            <w:shd w:val="clear" w:color="auto" w:fill="auto"/>
            <w:noWrap/>
            <w:vAlign w:val="bottom"/>
            <w:hideMark/>
          </w:tcPr>
          <w:p w14:paraId="725149BD"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1098" w:type="dxa"/>
            <w:tcBorders>
              <w:top w:val="single" w:sz="4" w:space="0" w:color="auto"/>
              <w:left w:val="nil"/>
              <w:bottom w:val="single" w:sz="4" w:space="0" w:color="auto"/>
              <w:right w:val="nil"/>
            </w:tcBorders>
            <w:shd w:val="clear" w:color="auto" w:fill="auto"/>
            <w:noWrap/>
            <w:vAlign w:val="bottom"/>
            <w:hideMark/>
          </w:tcPr>
          <w:p w14:paraId="3386BFD0"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1170" w:type="dxa"/>
            <w:tcBorders>
              <w:top w:val="single" w:sz="4" w:space="0" w:color="auto"/>
              <w:left w:val="nil"/>
              <w:bottom w:val="single" w:sz="4" w:space="0" w:color="auto"/>
              <w:right w:val="nil"/>
            </w:tcBorders>
            <w:shd w:val="clear" w:color="auto" w:fill="auto"/>
            <w:noWrap/>
            <w:vAlign w:val="bottom"/>
            <w:hideMark/>
          </w:tcPr>
          <w:p w14:paraId="5379549F"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1027" w:type="dxa"/>
            <w:tcBorders>
              <w:top w:val="single" w:sz="4" w:space="0" w:color="auto"/>
              <w:left w:val="nil"/>
              <w:bottom w:val="single" w:sz="4" w:space="0" w:color="auto"/>
              <w:right w:val="nil"/>
            </w:tcBorders>
            <w:shd w:val="clear" w:color="auto" w:fill="auto"/>
            <w:noWrap/>
            <w:vAlign w:val="bottom"/>
            <w:hideMark/>
          </w:tcPr>
          <w:p w14:paraId="70B02B3B"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c>
          <w:tcPr>
            <w:tcW w:w="1099" w:type="dxa"/>
            <w:tcBorders>
              <w:top w:val="single" w:sz="4" w:space="0" w:color="auto"/>
              <w:left w:val="nil"/>
              <w:bottom w:val="single" w:sz="4" w:space="0" w:color="auto"/>
              <w:right w:val="nil"/>
            </w:tcBorders>
            <w:shd w:val="clear" w:color="auto" w:fill="auto"/>
            <w:noWrap/>
            <w:vAlign w:val="bottom"/>
            <w:hideMark/>
          </w:tcPr>
          <w:p w14:paraId="31775D9C" w14:textId="77777777" w:rsidR="00A0244C" w:rsidRPr="00BC1ABD" w:rsidRDefault="00A0244C" w:rsidP="007354E3">
            <w:pPr>
              <w:spacing w:after="0" w:line="240" w:lineRule="auto"/>
              <w:rPr>
                <w:rFonts w:eastAsia="Times New Roman" w:cs="Calibri"/>
                <w:color w:val="000000"/>
                <w:sz w:val="4"/>
                <w:szCs w:val="4"/>
                <w:lang w:val="en-GB" w:eastAsia="sl-SI"/>
              </w:rPr>
            </w:pPr>
            <w:r w:rsidRPr="00BC1ABD">
              <w:rPr>
                <w:rFonts w:eastAsia="Times New Roman" w:cs="Calibri"/>
                <w:color w:val="000000"/>
                <w:sz w:val="4"/>
                <w:szCs w:val="4"/>
                <w:lang w:val="en-GB" w:eastAsia="sl-SI"/>
              </w:rPr>
              <w:t> </w:t>
            </w:r>
          </w:p>
        </w:tc>
      </w:tr>
      <w:tr w:rsidR="00A0244C" w:rsidRPr="00BC1ABD" w14:paraId="7998A2F2" w14:textId="77777777" w:rsidTr="007354E3">
        <w:trPr>
          <w:trHeight w:val="288"/>
        </w:trPr>
        <w:tc>
          <w:tcPr>
            <w:tcW w:w="704" w:type="dxa"/>
            <w:tcBorders>
              <w:top w:val="nil"/>
              <w:left w:val="single" w:sz="4" w:space="0" w:color="auto"/>
              <w:bottom w:val="nil"/>
              <w:right w:val="single" w:sz="4" w:space="0" w:color="auto"/>
            </w:tcBorders>
            <w:shd w:val="clear" w:color="auto" w:fill="auto"/>
            <w:vAlign w:val="bottom"/>
            <w:hideMark/>
          </w:tcPr>
          <w:p w14:paraId="31F8C23F"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F40AAF4"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2,611</w:t>
            </w:r>
          </w:p>
        </w:tc>
        <w:tc>
          <w:tcPr>
            <w:tcW w:w="1134" w:type="dxa"/>
            <w:tcBorders>
              <w:top w:val="nil"/>
              <w:left w:val="nil"/>
              <w:bottom w:val="single" w:sz="4" w:space="0" w:color="auto"/>
              <w:right w:val="single" w:sz="4" w:space="0" w:color="auto"/>
            </w:tcBorders>
            <w:shd w:val="clear" w:color="auto" w:fill="auto"/>
            <w:vAlign w:val="center"/>
            <w:hideMark/>
          </w:tcPr>
          <w:p w14:paraId="5EEB11BB"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191,442</w:t>
            </w:r>
          </w:p>
        </w:tc>
        <w:tc>
          <w:tcPr>
            <w:tcW w:w="992" w:type="dxa"/>
            <w:tcBorders>
              <w:top w:val="nil"/>
              <w:left w:val="nil"/>
              <w:bottom w:val="single" w:sz="4" w:space="0" w:color="auto"/>
              <w:right w:val="single" w:sz="4" w:space="0" w:color="auto"/>
            </w:tcBorders>
            <w:shd w:val="clear" w:color="auto" w:fill="auto"/>
            <w:vAlign w:val="center"/>
            <w:hideMark/>
          </w:tcPr>
          <w:p w14:paraId="7B140A86"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15.3</w:t>
            </w:r>
          </w:p>
        </w:tc>
        <w:tc>
          <w:tcPr>
            <w:tcW w:w="1134" w:type="dxa"/>
            <w:tcBorders>
              <w:top w:val="nil"/>
              <w:left w:val="nil"/>
              <w:bottom w:val="single" w:sz="4" w:space="0" w:color="auto"/>
              <w:right w:val="single" w:sz="4" w:space="0" w:color="auto"/>
            </w:tcBorders>
            <w:shd w:val="clear" w:color="auto" w:fill="auto"/>
            <w:vAlign w:val="center"/>
            <w:hideMark/>
          </w:tcPr>
          <w:p w14:paraId="4AE49D7B"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636,235</w:t>
            </w:r>
          </w:p>
        </w:tc>
        <w:tc>
          <w:tcPr>
            <w:tcW w:w="1098" w:type="dxa"/>
            <w:tcBorders>
              <w:top w:val="nil"/>
              <w:left w:val="nil"/>
              <w:bottom w:val="single" w:sz="4" w:space="0" w:color="auto"/>
              <w:right w:val="single" w:sz="4" w:space="0" w:color="auto"/>
            </w:tcBorders>
            <w:shd w:val="clear" w:color="auto" w:fill="auto"/>
            <w:vAlign w:val="center"/>
            <w:hideMark/>
          </w:tcPr>
          <w:p w14:paraId="3F7A599D"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0</w:t>
            </w:r>
          </w:p>
        </w:tc>
        <w:tc>
          <w:tcPr>
            <w:tcW w:w="1170" w:type="dxa"/>
            <w:tcBorders>
              <w:top w:val="nil"/>
              <w:left w:val="nil"/>
              <w:bottom w:val="single" w:sz="4" w:space="0" w:color="auto"/>
              <w:right w:val="single" w:sz="4" w:space="0" w:color="auto"/>
            </w:tcBorders>
            <w:shd w:val="clear" w:color="auto" w:fill="auto"/>
            <w:vAlign w:val="center"/>
            <w:hideMark/>
          </w:tcPr>
          <w:p w14:paraId="53CCC562"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0</w:t>
            </w:r>
          </w:p>
        </w:tc>
        <w:tc>
          <w:tcPr>
            <w:tcW w:w="1027" w:type="dxa"/>
            <w:tcBorders>
              <w:top w:val="nil"/>
              <w:left w:val="nil"/>
              <w:bottom w:val="single" w:sz="4" w:space="0" w:color="auto"/>
              <w:right w:val="single" w:sz="4" w:space="0" w:color="auto"/>
            </w:tcBorders>
            <w:shd w:val="clear" w:color="auto" w:fill="auto"/>
            <w:vAlign w:val="center"/>
            <w:hideMark/>
          </w:tcPr>
          <w:p w14:paraId="71BD2946"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861</w:t>
            </w:r>
          </w:p>
        </w:tc>
        <w:tc>
          <w:tcPr>
            <w:tcW w:w="1099" w:type="dxa"/>
            <w:tcBorders>
              <w:top w:val="nil"/>
              <w:left w:val="nil"/>
              <w:bottom w:val="single" w:sz="4" w:space="0" w:color="auto"/>
              <w:right w:val="single" w:sz="4" w:space="0" w:color="auto"/>
            </w:tcBorders>
            <w:shd w:val="clear" w:color="auto" w:fill="auto"/>
            <w:vAlign w:val="center"/>
            <w:hideMark/>
          </w:tcPr>
          <w:p w14:paraId="00E5591F"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667</w:t>
            </w:r>
          </w:p>
        </w:tc>
      </w:tr>
      <w:tr w:rsidR="00A0244C" w:rsidRPr="00BC1ABD" w14:paraId="527A8D00" w14:textId="77777777" w:rsidTr="007354E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B00FF4"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TOTAL</w:t>
            </w:r>
          </w:p>
        </w:tc>
        <w:tc>
          <w:tcPr>
            <w:tcW w:w="851" w:type="dxa"/>
            <w:tcBorders>
              <w:top w:val="nil"/>
              <w:left w:val="nil"/>
              <w:bottom w:val="single" w:sz="4" w:space="0" w:color="auto"/>
              <w:right w:val="single" w:sz="4" w:space="0" w:color="auto"/>
            </w:tcBorders>
            <w:shd w:val="clear" w:color="auto" w:fill="auto"/>
            <w:noWrap/>
            <w:vAlign w:val="bottom"/>
            <w:hideMark/>
          </w:tcPr>
          <w:p w14:paraId="5060FA8D"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3,560</w:t>
            </w:r>
          </w:p>
        </w:tc>
        <w:tc>
          <w:tcPr>
            <w:tcW w:w="1134" w:type="dxa"/>
            <w:tcBorders>
              <w:top w:val="nil"/>
              <w:left w:val="nil"/>
              <w:bottom w:val="single" w:sz="4" w:space="0" w:color="auto"/>
              <w:right w:val="single" w:sz="4" w:space="0" w:color="auto"/>
            </w:tcBorders>
            <w:shd w:val="clear" w:color="auto" w:fill="auto"/>
            <w:noWrap/>
            <w:vAlign w:val="bottom"/>
            <w:hideMark/>
          </w:tcPr>
          <w:p w14:paraId="3378D741" w14:textId="77777777" w:rsidR="00A0244C" w:rsidRPr="00BC1ABD" w:rsidRDefault="00A0244C" w:rsidP="007354E3">
            <w:pPr>
              <w:spacing w:after="0" w:line="240" w:lineRule="auto"/>
              <w:ind w:firstLineChars="100" w:firstLine="221"/>
              <w:jc w:val="right"/>
              <w:rPr>
                <w:rFonts w:eastAsia="Times New Roman" w:cs="Calibri"/>
                <w:b/>
                <w:bCs/>
                <w:color w:val="000000"/>
                <w:sz w:val="20"/>
                <w:szCs w:val="20"/>
                <w:lang w:val="en-GB" w:eastAsia="sl-SI"/>
              </w:rPr>
            </w:pPr>
            <w:r w:rsidRPr="00BC1ABD">
              <w:rPr>
                <w:rFonts w:cs="Calibri"/>
                <w:b/>
                <w:bCs/>
                <w:color w:val="000000"/>
                <w:lang w:val="en-GB"/>
              </w:rPr>
              <w:t>502,823</w:t>
            </w:r>
          </w:p>
        </w:tc>
        <w:tc>
          <w:tcPr>
            <w:tcW w:w="992" w:type="dxa"/>
            <w:tcBorders>
              <w:top w:val="nil"/>
              <w:left w:val="nil"/>
              <w:bottom w:val="single" w:sz="4" w:space="0" w:color="auto"/>
              <w:right w:val="single" w:sz="4" w:space="0" w:color="auto"/>
            </w:tcBorders>
            <w:shd w:val="clear" w:color="auto" w:fill="auto"/>
            <w:vAlign w:val="center"/>
            <w:hideMark/>
          </w:tcPr>
          <w:p w14:paraId="3DE69EE5"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40.2</w:t>
            </w:r>
          </w:p>
        </w:tc>
        <w:tc>
          <w:tcPr>
            <w:tcW w:w="1134" w:type="dxa"/>
            <w:tcBorders>
              <w:top w:val="nil"/>
              <w:left w:val="nil"/>
              <w:bottom w:val="single" w:sz="4" w:space="0" w:color="auto"/>
              <w:right w:val="single" w:sz="4" w:space="0" w:color="auto"/>
            </w:tcBorders>
            <w:shd w:val="clear" w:color="auto" w:fill="auto"/>
            <w:noWrap/>
            <w:vAlign w:val="bottom"/>
            <w:hideMark/>
          </w:tcPr>
          <w:p w14:paraId="536A9F91"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1,692,297</w:t>
            </w:r>
          </w:p>
        </w:tc>
        <w:tc>
          <w:tcPr>
            <w:tcW w:w="1098" w:type="dxa"/>
            <w:tcBorders>
              <w:top w:val="nil"/>
              <w:left w:val="nil"/>
              <w:bottom w:val="single" w:sz="4" w:space="0" w:color="auto"/>
              <w:right w:val="single" w:sz="4" w:space="0" w:color="auto"/>
            </w:tcBorders>
            <w:shd w:val="clear" w:color="auto" w:fill="auto"/>
            <w:noWrap/>
            <w:vAlign w:val="bottom"/>
            <w:hideMark/>
          </w:tcPr>
          <w:p w14:paraId="3C78587D" w14:textId="77777777" w:rsidR="00A0244C" w:rsidRPr="00BC1ABD" w:rsidRDefault="00A0244C" w:rsidP="007354E3">
            <w:pPr>
              <w:spacing w:after="0" w:line="240" w:lineRule="auto"/>
              <w:ind w:firstLineChars="100" w:firstLine="201"/>
              <w:jc w:val="right"/>
              <w:rPr>
                <w:rFonts w:eastAsia="Times New Roman" w:cs="Calibri"/>
                <w:b/>
                <w:color w:val="000000"/>
                <w:sz w:val="20"/>
                <w:szCs w:val="20"/>
                <w:lang w:val="en-GB" w:eastAsia="sl-SI"/>
              </w:rPr>
            </w:pPr>
            <w:r w:rsidRPr="00BC1ABD">
              <w:rPr>
                <w:rFonts w:eastAsia="Times New Roman" w:cs="Calibri"/>
                <w:b/>
                <w:color w:val="000000"/>
                <w:sz w:val="20"/>
                <w:szCs w:val="20"/>
                <w:lang w:val="en-GB" w:eastAsia="sl-SI"/>
              </w:rPr>
              <w:t>156,452</w:t>
            </w:r>
          </w:p>
        </w:tc>
        <w:tc>
          <w:tcPr>
            <w:tcW w:w="1170" w:type="dxa"/>
            <w:tcBorders>
              <w:top w:val="nil"/>
              <w:left w:val="nil"/>
              <w:bottom w:val="single" w:sz="4" w:space="0" w:color="auto"/>
              <w:right w:val="single" w:sz="4" w:space="0" w:color="auto"/>
            </w:tcBorders>
            <w:shd w:val="clear" w:color="auto" w:fill="auto"/>
            <w:vAlign w:val="bottom"/>
            <w:hideMark/>
          </w:tcPr>
          <w:p w14:paraId="6FE792F1" w14:textId="77777777" w:rsidR="00A0244C" w:rsidRPr="00BC1ABD" w:rsidRDefault="00A0244C" w:rsidP="007354E3">
            <w:pPr>
              <w:spacing w:after="0" w:line="240" w:lineRule="auto"/>
              <w:ind w:firstLineChars="100" w:firstLine="221"/>
              <w:jc w:val="right"/>
              <w:rPr>
                <w:rFonts w:eastAsia="Times New Roman" w:cs="Calibri"/>
                <w:b/>
                <w:bCs/>
                <w:color w:val="000000"/>
                <w:sz w:val="20"/>
                <w:szCs w:val="20"/>
                <w:lang w:val="en-GB" w:eastAsia="sl-SI"/>
              </w:rPr>
            </w:pPr>
            <w:r w:rsidRPr="00BC1ABD">
              <w:rPr>
                <w:rFonts w:cs="Calibri"/>
                <w:b/>
                <w:bCs/>
                <w:color w:val="000000"/>
                <w:lang w:val="en-GB"/>
              </w:rPr>
              <w:t>117,872</w:t>
            </w:r>
          </w:p>
        </w:tc>
        <w:tc>
          <w:tcPr>
            <w:tcW w:w="1027" w:type="dxa"/>
            <w:tcBorders>
              <w:top w:val="nil"/>
              <w:left w:val="nil"/>
              <w:bottom w:val="single" w:sz="4" w:space="0" w:color="auto"/>
              <w:right w:val="single" w:sz="4" w:space="0" w:color="auto"/>
            </w:tcBorders>
            <w:shd w:val="clear" w:color="auto" w:fill="auto"/>
            <w:vAlign w:val="bottom"/>
            <w:hideMark/>
          </w:tcPr>
          <w:p w14:paraId="21FD1818"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340,098</w:t>
            </w:r>
          </w:p>
        </w:tc>
        <w:tc>
          <w:tcPr>
            <w:tcW w:w="1099" w:type="dxa"/>
            <w:tcBorders>
              <w:top w:val="nil"/>
              <w:left w:val="nil"/>
              <w:bottom w:val="single" w:sz="4" w:space="0" w:color="auto"/>
              <w:right w:val="single" w:sz="4" w:space="0" w:color="auto"/>
            </w:tcBorders>
            <w:shd w:val="clear" w:color="auto" w:fill="auto"/>
            <w:vAlign w:val="bottom"/>
            <w:hideMark/>
          </w:tcPr>
          <w:p w14:paraId="059223F8" w14:textId="77777777" w:rsidR="00A0244C" w:rsidRPr="00BC1ABD" w:rsidRDefault="00A0244C" w:rsidP="007354E3">
            <w:pPr>
              <w:spacing w:after="0" w:line="240" w:lineRule="auto"/>
              <w:ind w:firstLineChars="100" w:firstLine="221"/>
              <w:jc w:val="right"/>
              <w:rPr>
                <w:rFonts w:eastAsia="Times New Roman" w:cs="Calibri"/>
                <w:b/>
                <w:bCs/>
                <w:color w:val="000000"/>
                <w:sz w:val="20"/>
                <w:szCs w:val="20"/>
                <w:lang w:val="en-GB" w:eastAsia="sl-SI"/>
              </w:rPr>
            </w:pPr>
            <w:r w:rsidRPr="00BC1ABD">
              <w:rPr>
                <w:rFonts w:cs="Calibri"/>
                <w:b/>
                <w:bCs/>
                <w:color w:val="000000"/>
                <w:lang w:val="en-GB"/>
              </w:rPr>
              <w:t>248,818</w:t>
            </w:r>
          </w:p>
        </w:tc>
      </w:tr>
    </w:tbl>
    <w:p w14:paraId="428023C6" w14:textId="77777777" w:rsidR="00A0244C" w:rsidRPr="00BC1ABD" w:rsidRDefault="00A0244C" w:rsidP="00A0244C">
      <w:pPr>
        <w:jc w:val="center"/>
        <w:rPr>
          <w:rFonts w:cs="Arial"/>
          <w:sz w:val="4"/>
          <w:szCs w:val="4"/>
          <w:lang w:val="en-GB"/>
        </w:rPr>
      </w:pPr>
    </w:p>
    <w:p w14:paraId="48E9368D"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35DE8DF9" w14:textId="1DA47B0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It can be seen from Figure </w:t>
      </w:r>
      <w:r w:rsidR="00536A78">
        <w:rPr>
          <w:rFonts w:cs="Arial"/>
          <w:sz w:val="24"/>
          <w:szCs w:val="24"/>
          <w:lang w:val="en-GB"/>
        </w:rPr>
        <w:t>57</w:t>
      </w:r>
      <w:r w:rsidRPr="00BC1ABD">
        <w:rPr>
          <w:rFonts w:cs="Arial"/>
          <w:sz w:val="24"/>
          <w:szCs w:val="24"/>
          <w:lang w:val="en-GB"/>
        </w:rPr>
        <w:t xml:space="preserve"> that Magticom has on average a high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008C375B" w:rsidRPr="00BC1ABD" w:rsidDel="007355E2">
        <w:rPr>
          <w:rFonts w:cs="Arial"/>
          <w:sz w:val="24"/>
          <w:szCs w:val="24"/>
          <w:lang w:val="en-GB"/>
        </w:rPr>
        <w:t xml:space="preserve"> </w:t>
      </w:r>
      <w:r w:rsidR="00F026B4">
        <w:rPr>
          <w:rFonts w:cs="Arial"/>
          <w:sz w:val="24"/>
          <w:szCs w:val="24"/>
          <w:lang w:val="en-GB"/>
        </w:rPr>
        <w:t>FTTx</w:t>
      </w:r>
      <w:r w:rsidR="003C016E">
        <w:rPr>
          <w:rFonts w:cs="Arial"/>
          <w:sz w:val="24"/>
          <w:szCs w:val="24"/>
          <w:lang w:val="en-GB"/>
        </w:rPr>
        <w:t xml:space="preserve"> </w:t>
      </w:r>
      <w:r w:rsidRPr="00BC1ABD">
        <w:rPr>
          <w:rFonts w:cs="Arial"/>
          <w:sz w:val="24"/>
          <w:szCs w:val="24"/>
          <w:lang w:val="en-GB"/>
        </w:rPr>
        <w:t xml:space="preserve">in settlements with two or only one operator, 74.9% and 75.7% respectively. These </w:t>
      </w:r>
      <w:r w:rsidR="008C375B">
        <w:rPr>
          <w:rFonts w:cs="Arial"/>
          <w:sz w:val="24"/>
          <w:szCs w:val="24"/>
          <w:lang w:val="en-GB"/>
        </w:rPr>
        <w:t xml:space="preserve">shares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008C375B" w:rsidRPr="00BC1ABD" w:rsidDel="007355E2">
        <w:rPr>
          <w:rFonts w:cs="Arial"/>
          <w:sz w:val="24"/>
          <w:szCs w:val="24"/>
          <w:lang w:val="en-GB"/>
        </w:rPr>
        <w:t xml:space="preserve"> </w:t>
      </w:r>
      <w:r w:rsidRPr="00BC1ABD">
        <w:rPr>
          <w:rFonts w:cs="Arial"/>
          <w:sz w:val="24"/>
          <w:szCs w:val="24"/>
          <w:lang w:val="en-GB"/>
        </w:rPr>
        <w:t xml:space="preserve">are significantly higher than Magticom’s national </w:t>
      </w:r>
      <w:r w:rsidR="00F026B4">
        <w:rPr>
          <w:rFonts w:cs="Arial"/>
          <w:sz w:val="24"/>
          <w:szCs w:val="24"/>
          <w:lang w:val="en-GB"/>
        </w:rPr>
        <w:t>FTTx</w:t>
      </w:r>
      <w:r w:rsidRPr="00BC1ABD">
        <w:rPr>
          <w:rFonts w:cs="Arial"/>
          <w:sz w:val="24"/>
          <w:szCs w:val="24"/>
          <w:lang w:val="en-GB"/>
        </w:rPr>
        <w:t xml:space="preserve"> fixed broadband access market share (54.7%%)</w:t>
      </w:r>
    </w:p>
    <w:p w14:paraId="35F95FA0" w14:textId="77777777"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Settlements, where criterion i. alone is fulfilled are summarised below.</w:t>
      </w:r>
    </w:p>
    <w:p w14:paraId="3AD6529E" w14:textId="6451BA34" w:rsidR="00A0244C" w:rsidRPr="00BC1ABD" w:rsidRDefault="00A0244C" w:rsidP="00A0244C">
      <w:pPr>
        <w:pStyle w:val="Caption"/>
        <w:jc w:val="center"/>
        <w:rPr>
          <w:rFonts w:cs="Arial"/>
          <w:b/>
          <w:sz w:val="24"/>
          <w:szCs w:val="24"/>
          <w:lang w:val="en-GB"/>
        </w:rPr>
      </w:pPr>
      <w:bookmarkStart w:id="305" w:name="_Toc152931410"/>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59</w:t>
      </w:r>
      <w:r w:rsidRPr="00BC1ABD">
        <w:rPr>
          <w:lang w:val="en-GB"/>
        </w:rPr>
        <w:fldChar w:fldCharType="end"/>
      </w:r>
      <w:r w:rsidRPr="00BC1ABD">
        <w:rPr>
          <w:lang w:val="en-GB"/>
        </w:rPr>
        <w:t xml:space="preserve">: Summary of settlements with three or more </w:t>
      </w:r>
      <w:r w:rsidR="00F026B4">
        <w:rPr>
          <w:lang w:val="en-GB"/>
        </w:rPr>
        <w:t>FTTx</w:t>
      </w:r>
      <w:r w:rsidRPr="00BC1ABD">
        <w:rPr>
          <w:lang w:val="en-GB"/>
        </w:rPr>
        <w:t xml:space="preserve"> network operators present</w:t>
      </w:r>
      <w:bookmarkEnd w:id="305"/>
    </w:p>
    <w:tbl>
      <w:tblPr>
        <w:tblW w:w="9067" w:type="dxa"/>
        <w:tblLayout w:type="fixed"/>
        <w:tblCellMar>
          <w:left w:w="0" w:type="dxa"/>
          <w:right w:w="70" w:type="dxa"/>
        </w:tblCellMar>
        <w:tblLook w:val="04A0" w:firstRow="1" w:lastRow="0" w:firstColumn="1" w:lastColumn="0" w:noHBand="0" w:noVBand="1"/>
      </w:tblPr>
      <w:tblGrid>
        <w:gridCol w:w="704"/>
        <w:gridCol w:w="851"/>
        <w:gridCol w:w="1134"/>
        <w:gridCol w:w="992"/>
        <w:gridCol w:w="1134"/>
        <w:gridCol w:w="992"/>
        <w:gridCol w:w="1134"/>
        <w:gridCol w:w="1134"/>
        <w:gridCol w:w="992"/>
      </w:tblGrid>
      <w:tr w:rsidR="00A0244C" w:rsidRPr="00BC1ABD" w14:paraId="03AF0415" w14:textId="77777777" w:rsidTr="007354E3">
        <w:trPr>
          <w:trHeight w:val="900"/>
        </w:trPr>
        <w:tc>
          <w:tcPr>
            <w:tcW w:w="704" w:type="dxa"/>
            <w:tcBorders>
              <w:top w:val="single" w:sz="4" w:space="0" w:color="auto"/>
              <w:left w:val="single" w:sz="4" w:space="0" w:color="auto"/>
              <w:bottom w:val="single" w:sz="4" w:space="0" w:color="auto"/>
              <w:right w:val="single" w:sz="4" w:space="0" w:color="auto"/>
            </w:tcBorders>
            <w:shd w:val="clear" w:color="000000" w:fill="5B9BD5"/>
            <w:vAlign w:val="bottom"/>
            <w:hideMark/>
          </w:tcPr>
          <w:p w14:paraId="4B2C5AE7"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No of operators</w:t>
            </w:r>
          </w:p>
        </w:tc>
        <w:tc>
          <w:tcPr>
            <w:tcW w:w="851" w:type="dxa"/>
            <w:tcBorders>
              <w:top w:val="single" w:sz="4" w:space="0" w:color="auto"/>
              <w:left w:val="nil"/>
              <w:bottom w:val="single" w:sz="4" w:space="0" w:color="auto"/>
              <w:right w:val="single" w:sz="4" w:space="0" w:color="auto"/>
            </w:tcBorders>
            <w:shd w:val="clear" w:color="000000" w:fill="5B9BD5"/>
            <w:vAlign w:val="bottom"/>
            <w:hideMark/>
          </w:tcPr>
          <w:p w14:paraId="7FA83225"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settlements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7298BAA9"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Households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683DE419"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 of total households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296472EB"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Population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0D996110" w14:textId="08987F2F" w:rsidR="00A0244C" w:rsidRPr="00BC1ABD" w:rsidRDefault="005A0B56"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00A0244C" w:rsidRPr="00BC1ABD">
              <w:rPr>
                <w:rFonts w:eastAsia="Times New Roman" w:cs="Calibri"/>
                <w:b/>
                <w:bCs/>
                <w:color w:val="000000"/>
                <w:sz w:val="20"/>
                <w:szCs w:val="20"/>
                <w:lang w:val="en-GB" w:eastAsia="sl-SI"/>
              </w:rPr>
              <w:t xml:space="preserve">all </w:t>
            </w:r>
            <w:r w:rsidRPr="00BC1ABD">
              <w:rPr>
                <w:rFonts w:eastAsia="Times New Roman" w:cs="Calibri"/>
                <w:b/>
                <w:bCs/>
                <w:color w:val="000000"/>
                <w:sz w:val="20"/>
                <w:szCs w:val="20"/>
                <w:lang w:val="en-GB" w:eastAsia="sl-SI"/>
              </w:rPr>
              <w:t>operators</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502D656C" w14:textId="760F0F3F" w:rsidR="00A0244C" w:rsidRPr="00BC1ABD" w:rsidRDefault="005A0B56"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00A0244C" w:rsidRPr="00BC1ABD">
              <w:rPr>
                <w:rFonts w:eastAsia="Times New Roman" w:cs="Calibri"/>
                <w:b/>
                <w:bCs/>
                <w:color w:val="000000"/>
                <w:sz w:val="20"/>
                <w:szCs w:val="20"/>
                <w:lang w:val="en-GB" w:eastAsia="sl-SI"/>
              </w:rPr>
              <w:t>Magticom</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7898CC6D"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all operators</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18E77CE4"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Magticom</w:t>
            </w:r>
          </w:p>
        </w:tc>
      </w:tr>
      <w:tr w:rsidR="00A0244C" w:rsidRPr="00BC1ABD" w14:paraId="04CAD2EC"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C3C5784"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5</w:t>
            </w:r>
          </w:p>
        </w:tc>
        <w:tc>
          <w:tcPr>
            <w:tcW w:w="851" w:type="dxa"/>
            <w:tcBorders>
              <w:top w:val="nil"/>
              <w:left w:val="nil"/>
              <w:bottom w:val="single" w:sz="4" w:space="0" w:color="auto"/>
              <w:right w:val="single" w:sz="4" w:space="0" w:color="auto"/>
            </w:tcBorders>
            <w:shd w:val="clear" w:color="auto" w:fill="auto"/>
            <w:vAlign w:val="center"/>
            <w:hideMark/>
          </w:tcPr>
          <w:p w14:paraId="61F66481"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3</w:t>
            </w:r>
          </w:p>
        </w:tc>
        <w:tc>
          <w:tcPr>
            <w:tcW w:w="1134" w:type="dxa"/>
            <w:tcBorders>
              <w:top w:val="nil"/>
              <w:left w:val="nil"/>
              <w:bottom w:val="single" w:sz="4" w:space="0" w:color="auto"/>
              <w:right w:val="single" w:sz="4" w:space="0" w:color="auto"/>
            </w:tcBorders>
            <w:shd w:val="clear" w:color="auto" w:fill="auto"/>
            <w:vAlign w:val="center"/>
            <w:hideMark/>
          </w:tcPr>
          <w:p w14:paraId="447A84F3"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524,958</w:t>
            </w:r>
          </w:p>
        </w:tc>
        <w:tc>
          <w:tcPr>
            <w:tcW w:w="992" w:type="dxa"/>
            <w:tcBorders>
              <w:top w:val="nil"/>
              <w:left w:val="nil"/>
              <w:bottom w:val="single" w:sz="4" w:space="0" w:color="auto"/>
              <w:right w:val="single" w:sz="4" w:space="0" w:color="auto"/>
            </w:tcBorders>
            <w:shd w:val="clear" w:color="auto" w:fill="auto"/>
            <w:vAlign w:val="center"/>
            <w:hideMark/>
          </w:tcPr>
          <w:p w14:paraId="2B4B412F"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41.9</w:t>
            </w:r>
          </w:p>
        </w:tc>
        <w:tc>
          <w:tcPr>
            <w:tcW w:w="1134" w:type="dxa"/>
            <w:tcBorders>
              <w:top w:val="nil"/>
              <w:left w:val="nil"/>
              <w:bottom w:val="single" w:sz="4" w:space="0" w:color="auto"/>
              <w:right w:val="single" w:sz="4" w:space="0" w:color="auto"/>
            </w:tcBorders>
            <w:shd w:val="clear" w:color="auto" w:fill="auto"/>
            <w:vAlign w:val="center"/>
            <w:hideMark/>
          </w:tcPr>
          <w:p w14:paraId="011078ED"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1,304,495</w:t>
            </w:r>
          </w:p>
        </w:tc>
        <w:tc>
          <w:tcPr>
            <w:tcW w:w="992" w:type="dxa"/>
            <w:tcBorders>
              <w:top w:val="nil"/>
              <w:left w:val="nil"/>
              <w:bottom w:val="single" w:sz="4" w:space="0" w:color="auto"/>
              <w:right w:val="single" w:sz="4" w:space="0" w:color="auto"/>
            </w:tcBorders>
            <w:shd w:val="clear" w:color="auto" w:fill="auto"/>
            <w:vAlign w:val="center"/>
            <w:hideMark/>
          </w:tcPr>
          <w:p w14:paraId="6FFBCF32"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441,775</w:t>
            </w:r>
          </w:p>
        </w:tc>
        <w:tc>
          <w:tcPr>
            <w:tcW w:w="1134" w:type="dxa"/>
            <w:tcBorders>
              <w:top w:val="nil"/>
              <w:left w:val="nil"/>
              <w:bottom w:val="single" w:sz="4" w:space="0" w:color="auto"/>
              <w:right w:val="single" w:sz="4" w:space="0" w:color="auto"/>
            </w:tcBorders>
            <w:shd w:val="clear" w:color="auto" w:fill="auto"/>
            <w:vAlign w:val="center"/>
            <w:hideMark/>
          </w:tcPr>
          <w:p w14:paraId="2A48ACB9"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261,325</w:t>
            </w:r>
          </w:p>
        </w:tc>
        <w:tc>
          <w:tcPr>
            <w:tcW w:w="1134" w:type="dxa"/>
            <w:tcBorders>
              <w:top w:val="nil"/>
              <w:left w:val="nil"/>
              <w:bottom w:val="single" w:sz="4" w:space="0" w:color="auto"/>
              <w:right w:val="single" w:sz="4" w:space="0" w:color="auto"/>
            </w:tcBorders>
            <w:shd w:val="clear" w:color="auto" w:fill="auto"/>
            <w:vAlign w:val="center"/>
            <w:hideMark/>
          </w:tcPr>
          <w:p w14:paraId="41170874"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1,020,380</w:t>
            </w:r>
          </w:p>
        </w:tc>
        <w:tc>
          <w:tcPr>
            <w:tcW w:w="992" w:type="dxa"/>
            <w:tcBorders>
              <w:top w:val="nil"/>
              <w:left w:val="nil"/>
              <w:bottom w:val="single" w:sz="4" w:space="0" w:color="auto"/>
              <w:right w:val="single" w:sz="4" w:space="0" w:color="auto"/>
            </w:tcBorders>
            <w:shd w:val="clear" w:color="auto" w:fill="auto"/>
            <w:vAlign w:val="center"/>
            <w:hideMark/>
          </w:tcPr>
          <w:p w14:paraId="2BAC1C6A"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586,921</w:t>
            </w:r>
          </w:p>
        </w:tc>
      </w:tr>
      <w:tr w:rsidR="00A0244C" w:rsidRPr="00BC1ABD" w14:paraId="12BFD553"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740A54FD"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4</w:t>
            </w:r>
          </w:p>
        </w:tc>
        <w:tc>
          <w:tcPr>
            <w:tcW w:w="851" w:type="dxa"/>
            <w:tcBorders>
              <w:top w:val="nil"/>
              <w:left w:val="nil"/>
              <w:bottom w:val="single" w:sz="4" w:space="0" w:color="auto"/>
              <w:right w:val="single" w:sz="4" w:space="0" w:color="auto"/>
            </w:tcBorders>
            <w:shd w:val="clear" w:color="auto" w:fill="auto"/>
            <w:vAlign w:val="center"/>
            <w:hideMark/>
          </w:tcPr>
          <w:p w14:paraId="4B6B6306"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12</w:t>
            </w:r>
          </w:p>
        </w:tc>
        <w:tc>
          <w:tcPr>
            <w:tcW w:w="1134" w:type="dxa"/>
            <w:tcBorders>
              <w:top w:val="nil"/>
              <w:left w:val="nil"/>
              <w:bottom w:val="single" w:sz="4" w:space="0" w:color="auto"/>
              <w:right w:val="single" w:sz="4" w:space="0" w:color="auto"/>
            </w:tcBorders>
            <w:shd w:val="clear" w:color="auto" w:fill="auto"/>
            <w:vAlign w:val="center"/>
            <w:hideMark/>
          </w:tcPr>
          <w:p w14:paraId="71C2B36B"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154,459</w:t>
            </w:r>
          </w:p>
        </w:tc>
        <w:tc>
          <w:tcPr>
            <w:tcW w:w="992" w:type="dxa"/>
            <w:tcBorders>
              <w:top w:val="nil"/>
              <w:left w:val="nil"/>
              <w:bottom w:val="single" w:sz="4" w:space="0" w:color="auto"/>
              <w:right w:val="single" w:sz="4" w:space="0" w:color="auto"/>
            </w:tcBorders>
            <w:shd w:val="clear" w:color="auto" w:fill="auto"/>
            <w:vAlign w:val="center"/>
            <w:hideMark/>
          </w:tcPr>
          <w:p w14:paraId="556A12B2"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12.3</w:t>
            </w:r>
          </w:p>
        </w:tc>
        <w:tc>
          <w:tcPr>
            <w:tcW w:w="1134" w:type="dxa"/>
            <w:tcBorders>
              <w:top w:val="nil"/>
              <w:left w:val="nil"/>
              <w:bottom w:val="single" w:sz="4" w:space="0" w:color="auto"/>
              <w:right w:val="single" w:sz="4" w:space="0" w:color="auto"/>
            </w:tcBorders>
            <w:shd w:val="clear" w:color="auto" w:fill="auto"/>
            <w:vAlign w:val="center"/>
            <w:hideMark/>
          </w:tcPr>
          <w:p w14:paraId="615C1632"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466,409</w:t>
            </w:r>
          </w:p>
        </w:tc>
        <w:tc>
          <w:tcPr>
            <w:tcW w:w="992" w:type="dxa"/>
            <w:tcBorders>
              <w:top w:val="nil"/>
              <w:left w:val="nil"/>
              <w:bottom w:val="single" w:sz="4" w:space="0" w:color="auto"/>
              <w:right w:val="single" w:sz="4" w:space="0" w:color="auto"/>
            </w:tcBorders>
            <w:shd w:val="clear" w:color="auto" w:fill="auto"/>
            <w:vAlign w:val="center"/>
            <w:hideMark/>
          </w:tcPr>
          <w:p w14:paraId="24CC6CB5"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160,167</w:t>
            </w:r>
          </w:p>
        </w:tc>
        <w:tc>
          <w:tcPr>
            <w:tcW w:w="1134" w:type="dxa"/>
            <w:tcBorders>
              <w:top w:val="nil"/>
              <w:left w:val="nil"/>
              <w:bottom w:val="single" w:sz="4" w:space="0" w:color="auto"/>
              <w:right w:val="single" w:sz="4" w:space="0" w:color="auto"/>
            </w:tcBorders>
            <w:shd w:val="clear" w:color="auto" w:fill="auto"/>
            <w:vAlign w:val="center"/>
            <w:hideMark/>
          </w:tcPr>
          <w:p w14:paraId="51732ED9"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63,589</w:t>
            </w:r>
          </w:p>
        </w:tc>
        <w:tc>
          <w:tcPr>
            <w:tcW w:w="1134" w:type="dxa"/>
            <w:tcBorders>
              <w:top w:val="nil"/>
              <w:left w:val="nil"/>
              <w:bottom w:val="single" w:sz="4" w:space="0" w:color="auto"/>
              <w:right w:val="single" w:sz="4" w:space="0" w:color="auto"/>
            </w:tcBorders>
            <w:shd w:val="clear" w:color="auto" w:fill="auto"/>
            <w:vAlign w:val="center"/>
            <w:hideMark/>
          </w:tcPr>
          <w:p w14:paraId="4AD92588"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426,955</w:t>
            </w:r>
          </w:p>
        </w:tc>
        <w:tc>
          <w:tcPr>
            <w:tcW w:w="992" w:type="dxa"/>
            <w:tcBorders>
              <w:top w:val="nil"/>
              <w:left w:val="nil"/>
              <w:bottom w:val="single" w:sz="4" w:space="0" w:color="auto"/>
              <w:right w:val="single" w:sz="4" w:space="0" w:color="auto"/>
            </w:tcBorders>
            <w:shd w:val="clear" w:color="auto" w:fill="auto"/>
            <w:vAlign w:val="center"/>
            <w:hideMark/>
          </w:tcPr>
          <w:p w14:paraId="07819F10"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187,510</w:t>
            </w:r>
          </w:p>
        </w:tc>
      </w:tr>
      <w:tr w:rsidR="00A0244C" w:rsidRPr="00BC1ABD" w14:paraId="633290AD"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4678094"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3</w:t>
            </w:r>
          </w:p>
        </w:tc>
        <w:tc>
          <w:tcPr>
            <w:tcW w:w="851" w:type="dxa"/>
            <w:tcBorders>
              <w:top w:val="nil"/>
              <w:left w:val="nil"/>
              <w:bottom w:val="single" w:sz="4" w:space="0" w:color="auto"/>
              <w:right w:val="single" w:sz="4" w:space="0" w:color="auto"/>
            </w:tcBorders>
            <w:shd w:val="clear" w:color="auto" w:fill="auto"/>
            <w:vAlign w:val="center"/>
            <w:hideMark/>
          </w:tcPr>
          <w:p w14:paraId="71BCAD24"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30</w:t>
            </w:r>
          </w:p>
        </w:tc>
        <w:tc>
          <w:tcPr>
            <w:tcW w:w="1134" w:type="dxa"/>
            <w:tcBorders>
              <w:top w:val="nil"/>
              <w:left w:val="nil"/>
              <w:bottom w:val="single" w:sz="4" w:space="0" w:color="auto"/>
              <w:right w:val="single" w:sz="4" w:space="0" w:color="auto"/>
            </w:tcBorders>
            <w:shd w:val="clear" w:color="auto" w:fill="auto"/>
            <w:vAlign w:val="center"/>
            <w:hideMark/>
          </w:tcPr>
          <w:p w14:paraId="6E4B3630"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69,736</w:t>
            </w:r>
          </w:p>
        </w:tc>
        <w:tc>
          <w:tcPr>
            <w:tcW w:w="992" w:type="dxa"/>
            <w:tcBorders>
              <w:top w:val="nil"/>
              <w:left w:val="nil"/>
              <w:bottom w:val="single" w:sz="4" w:space="0" w:color="auto"/>
              <w:right w:val="single" w:sz="4" w:space="0" w:color="auto"/>
            </w:tcBorders>
            <w:shd w:val="clear" w:color="auto" w:fill="auto"/>
            <w:vAlign w:val="center"/>
            <w:hideMark/>
          </w:tcPr>
          <w:p w14:paraId="566AAFDF"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5.6</w:t>
            </w:r>
          </w:p>
        </w:tc>
        <w:tc>
          <w:tcPr>
            <w:tcW w:w="1134" w:type="dxa"/>
            <w:tcBorders>
              <w:top w:val="nil"/>
              <w:left w:val="nil"/>
              <w:bottom w:val="single" w:sz="4" w:space="0" w:color="auto"/>
              <w:right w:val="single" w:sz="4" w:space="0" w:color="auto"/>
            </w:tcBorders>
            <w:shd w:val="clear" w:color="auto" w:fill="auto"/>
            <w:vAlign w:val="center"/>
            <w:hideMark/>
          </w:tcPr>
          <w:p w14:paraId="55E9CF28"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216,544</w:t>
            </w:r>
          </w:p>
        </w:tc>
        <w:tc>
          <w:tcPr>
            <w:tcW w:w="992" w:type="dxa"/>
            <w:tcBorders>
              <w:top w:val="nil"/>
              <w:left w:val="nil"/>
              <w:bottom w:val="single" w:sz="4" w:space="0" w:color="auto"/>
              <w:right w:val="single" w:sz="4" w:space="0" w:color="auto"/>
            </w:tcBorders>
            <w:shd w:val="clear" w:color="auto" w:fill="auto"/>
            <w:vAlign w:val="center"/>
            <w:hideMark/>
          </w:tcPr>
          <w:p w14:paraId="05BD26DF"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62,287</w:t>
            </w:r>
          </w:p>
        </w:tc>
        <w:tc>
          <w:tcPr>
            <w:tcW w:w="1134" w:type="dxa"/>
            <w:tcBorders>
              <w:top w:val="nil"/>
              <w:left w:val="nil"/>
              <w:bottom w:val="single" w:sz="4" w:space="0" w:color="auto"/>
              <w:right w:val="single" w:sz="4" w:space="0" w:color="auto"/>
            </w:tcBorders>
            <w:shd w:val="clear" w:color="auto" w:fill="auto"/>
            <w:vAlign w:val="center"/>
            <w:hideMark/>
          </w:tcPr>
          <w:p w14:paraId="4488FDB9"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37,187</w:t>
            </w:r>
          </w:p>
        </w:tc>
        <w:tc>
          <w:tcPr>
            <w:tcW w:w="1134" w:type="dxa"/>
            <w:tcBorders>
              <w:top w:val="nil"/>
              <w:left w:val="nil"/>
              <w:bottom w:val="single" w:sz="4" w:space="0" w:color="auto"/>
              <w:right w:val="single" w:sz="4" w:space="0" w:color="auto"/>
            </w:tcBorders>
            <w:shd w:val="clear" w:color="auto" w:fill="auto"/>
            <w:vAlign w:val="center"/>
            <w:hideMark/>
          </w:tcPr>
          <w:p w14:paraId="567A6B56"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162,202</w:t>
            </w:r>
          </w:p>
        </w:tc>
        <w:tc>
          <w:tcPr>
            <w:tcW w:w="992" w:type="dxa"/>
            <w:tcBorders>
              <w:top w:val="nil"/>
              <w:left w:val="nil"/>
              <w:bottom w:val="single" w:sz="4" w:space="0" w:color="auto"/>
              <w:right w:val="single" w:sz="4" w:space="0" w:color="auto"/>
            </w:tcBorders>
            <w:shd w:val="clear" w:color="auto" w:fill="auto"/>
            <w:vAlign w:val="center"/>
            <w:hideMark/>
          </w:tcPr>
          <w:p w14:paraId="3174A6DF" w14:textId="77777777" w:rsidR="00A0244C" w:rsidRPr="00BC1ABD" w:rsidRDefault="00A0244C" w:rsidP="007354E3">
            <w:pPr>
              <w:spacing w:after="0" w:line="240" w:lineRule="auto"/>
              <w:ind w:firstLineChars="100" w:firstLine="200"/>
              <w:jc w:val="right"/>
              <w:rPr>
                <w:rFonts w:eastAsia="Times New Roman" w:cs="Calibri"/>
                <w:color w:val="000000"/>
                <w:sz w:val="20"/>
                <w:szCs w:val="20"/>
                <w:lang w:val="en-GB" w:eastAsia="sl-SI"/>
              </w:rPr>
            </w:pPr>
            <w:r w:rsidRPr="00BC1ABD">
              <w:rPr>
                <w:rFonts w:eastAsia="Times New Roman" w:cs="Calibri"/>
                <w:color w:val="000000"/>
                <w:sz w:val="20"/>
                <w:szCs w:val="20"/>
                <w:lang w:val="en-GB" w:eastAsia="sl-SI"/>
              </w:rPr>
              <w:t>86,626</w:t>
            </w:r>
          </w:p>
        </w:tc>
      </w:tr>
      <w:tr w:rsidR="00A0244C" w:rsidRPr="00BC1ABD" w14:paraId="2B091650" w14:textId="77777777" w:rsidTr="007354E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25E52A9F"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TOTAL</w:t>
            </w:r>
          </w:p>
        </w:tc>
        <w:tc>
          <w:tcPr>
            <w:tcW w:w="851" w:type="dxa"/>
            <w:tcBorders>
              <w:top w:val="nil"/>
              <w:left w:val="nil"/>
              <w:bottom w:val="single" w:sz="4" w:space="0" w:color="auto"/>
              <w:right w:val="single" w:sz="4" w:space="0" w:color="auto"/>
            </w:tcBorders>
            <w:shd w:val="clear" w:color="auto" w:fill="auto"/>
            <w:vAlign w:val="center"/>
            <w:hideMark/>
          </w:tcPr>
          <w:p w14:paraId="63A0CD35"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45</w:t>
            </w:r>
          </w:p>
        </w:tc>
        <w:tc>
          <w:tcPr>
            <w:tcW w:w="1134" w:type="dxa"/>
            <w:tcBorders>
              <w:top w:val="nil"/>
              <w:left w:val="nil"/>
              <w:bottom w:val="single" w:sz="4" w:space="0" w:color="auto"/>
              <w:right w:val="single" w:sz="4" w:space="0" w:color="auto"/>
            </w:tcBorders>
            <w:shd w:val="clear" w:color="auto" w:fill="auto"/>
            <w:vAlign w:val="center"/>
            <w:hideMark/>
          </w:tcPr>
          <w:p w14:paraId="2AED53FB"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749,153</w:t>
            </w:r>
          </w:p>
        </w:tc>
        <w:tc>
          <w:tcPr>
            <w:tcW w:w="992" w:type="dxa"/>
            <w:tcBorders>
              <w:top w:val="nil"/>
              <w:left w:val="nil"/>
              <w:bottom w:val="single" w:sz="4" w:space="0" w:color="auto"/>
              <w:right w:val="single" w:sz="4" w:space="0" w:color="auto"/>
            </w:tcBorders>
            <w:shd w:val="clear" w:color="auto" w:fill="auto"/>
            <w:vAlign w:val="center"/>
            <w:hideMark/>
          </w:tcPr>
          <w:p w14:paraId="6DBB82F9"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59.8</w:t>
            </w:r>
          </w:p>
        </w:tc>
        <w:tc>
          <w:tcPr>
            <w:tcW w:w="1134" w:type="dxa"/>
            <w:tcBorders>
              <w:top w:val="nil"/>
              <w:left w:val="nil"/>
              <w:bottom w:val="single" w:sz="4" w:space="0" w:color="auto"/>
              <w:right w:val="single" w:sz="4" w:space="0" w:color="auto"/>
            </w:tcBorders>
            <w:shd w:val="clear" w:color="auto" w:fill="auto"/>
            <w:vAlign w:val="center"/>
            <w:hideMark/>
          </w:tcPr>
          <w:p w14:paraId="4D9C6C8A"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1,987,448</w:t>
            </w:r>
          </w:p>
        </w:tc>
        <w:tc>
          <w:tcPr>
            <w:tcW w:w="992" w:type="dxa"/>
            <w:tcBorders>
              <w:top w:val="nil"/>
              <w:left w:val="nil"/>
              <w:bottom w:val="single" w:sz="4" w:space="0" w:color="auto"/>
              <w:right w:val="single" w:sz="4" w:space="0" w:color="auto"/>
            </w:tcBorders>
            <w:shd w:val="clear" w:color="auto" w:fill="auto"/>
            <w:vAlign w:val="center"/>
            <w:hideMark/>
          </w:tcPr>
          <w:p w14:paraId="04FCBB22"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664,229</w:t>
            </w:r>
          </w:p>
        </w:tc>
        <w:tc>
          <w:tcPr>
            <w:tcW w:w="1134" w:type="dxa"/>
            <w:tcBorders>
              <w:top w:val="nil"/>
              <w:left w:val="nil"/>
              <w:bottom w:val="single" w:sz="4" w:space="0" w:color="auto"/>
              <w:right w:val="single" w:sz="4" w:space="0" w:color="auto"/>
            </w:tcBorders>
            <w:shd w:val="clear" w:color="auto" w:fill="auto"/>
            <w:vAlign w:val="center"/>
            <w:hideMark/>
          </w:tcPr>
          <w:p w14:paraId="6EA3C863"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362,101</w:t>
            </w:r>
          </w:p>
        </w:tc>
        <w:tc>
          <w:tcPr>
            <w:tcW w:w="1134" w:type="dxa"/>
            <w:tcBorders>
              <w:top w:val="nil"/>
              <w:left w:val="nil"/>
              <w:bottom w:val="single" w:sz="4" w:space="0" w:color="auto"/>
              <w:right w:val="single" w:sz="4" w:space="0" w:color="auto"/>
            </w:tcBorders>
            <w:shd w:val="clear" w:color="auto" w:fill="auto"/>
            <w:vAlign w:val="center"/>
            <w:hideMark/>
          </w:tcPr>
          <w:p w14:paraId="1C4B7148"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1,609,537</w:t>
            </w:r>
          </w:p>
        </w:tc>
        <w:tc>
          <w:tcPr>
            <w:tcW w:w="992" w:type="dxa"/>
            <w:tcBorders>
              <w:top w:val="nil"/>
              <w:left w:val="nil"/>
              <w:bottom w:val="single" w:sz="4" w:space="0" w:color="auto"/>
              <w:right w:val="single" w:sz="4" w:space="0" w:color="auto"/>
            </w:tcBorders>
            <w:shd w:val="clear" w:color="auto" w:fill="auto"/>
            <w:vAlign w:val="center"/>
            <w:hideMark/>
          </w:tcPr>
          <w:p w14:paraId="15459F9D" w14:textId="77777777" w:rsidR="00A0244C" w:rsidRPr="00BC1ABD" w:rsidRDefault="00A0244C" w:rsidP="007354E3">
            <w:pPr>
              <w:spacing w:after="0" w:line="240" w:lineRule="auto"/>
              <w:ind w:firstLineChars="100" w:firstLine="201"/>
              <w:jc w:val="right"/>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861,057</w:t>
            </w:r>
          </w:p>
        </w:tc>
      </w:tr>
    </w:tbl>
    <w:p w14:paraId="16A9D175" w14:textId="77777777" w:rsidR="00A0244C" w:rsidRPr="00BC1ABD" w:rsidRDefault="00A0244C" w:rsidP="00A0244C">
      <w:pPr>
        <w:jc w:val="center"/>
        <w:rPr>
          <w:rFonts w:cs="Arial"/>
          <w:sz w:val="4"/>
          <w:szCs w:val="4"/>
          <w:lang w:val="en-GB"/>
        </w:rPr>
      </w:pPr>
    </w:p>
    <w:p w14:paraId="0BD5398B"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0E0D3A47" w14:textId="5C0CA3D6"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Although there are only 45 settlements with three or more </w:t>
      </w:r>
      <w:r w:rsidR="00F026B4">
        <w:rPr>
          <w:rFonts w:cs="Arial"/>
          <w:sz w:val="24"/>
          <w:szCs w:val="24"/>
          <w:lang w:val="en-GB"/>
        </w:rPr>
        <w:t>FTTx</w:t>
      </w:r>
      <w:r w:rsidRPr="00BC1ABD">
        <w:rPr>
          <w:rFonts w:cs="Arial"/>
          <w:sz w:val="24"/>
          <w:szCs w:val="24"/>
          <w:lang w:val="en-GB"/>
        </w:rPr>
        <w:t xml:space="preserve"> network operators present, this covers the majority of the Georgian population. In most cases, three or more operators are present in the largest centres of population. The smaller settlements that have three or more networks are mostly </w:t>
      </w:r>
      <w:r w:rsidR="008C375B" w:rsidRPr="00BC1ABD">
        <w:rPr>
          <w:rFonts w:cs="Arial"/>
          <w:sz w:val="24"/>
          <w:szCs w:val="24"/>
          <w:lang w:val="en-GB"/>
        </w:rPr>
        <w:t>touris</w:t>
      </w:r>
      <w:r w:rsidR="008C375B">
        <w:rPr>
          <w:rFonts w:cs="Arial"/>
          <w:sz w:val="24"/>
          <w:szCs w:val="24"/>
          <w:lang w:val="en-GB"/>
        </w:rPr>
        <w:t>t</w:t>
      </w:r>
      <w:r w:rsidR="008C375B" w:rsidRPr="008C375B">
        <w:rPr>
          <w:rFonts w:cs="Arial"/>
          <w:sz w:val="24"/>
          <w:szCs w:val="24"/>
          <w:lang w:val="en-GB"/>
        </w:rPr>
        <w:t xml:space="preserve"> </w:t>
      </w:r>
      <w:r w:rsidR="0060326F">
        <w:rPr>
          <w:rFonts w:cs="Arial"/>
          <w:sz w:val="24"/>
          <w:szCs w:val="24"/>
          <w:lang w:val="en-GB"/>
        </w:rPr>
        <w:t>destinations</w:t>
      </w:r>
      <w:r w:rsidRPr="00BC1ABD">
        <w:rPr>
          <w:rFonts w:cs="Arial"/>
          <w:sz w:val="24"/>
          <w:szCs w:val="24"/>
          <w:lang w:val="en-GB"/>
        </w:rPr>
        <w:t>.</w:t>
      </w:r>
    </w:p>
    <w:p w14:paraId="2C8172C9" w14:textId="7726E9F6"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Magticom</w:t>
      </w:r>
      <w:r w:rsidR="008C375B">
        <w:rPr>
          <w:rFonts w:cs="Arial"/>
          <w:sz w:val="24"/>
          <w:szCs w:val="24"/>
          <w:lang w:val="en-GB"/>
        </w:rPr>
        <w:t xml:space="preserve">’s 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Pr="00BC1ABD">
        <w:rPr>
          <w:rFonts w:cs="Arial"/>
          <w:sz w:val="24"/>
          <w:szCs w:val="24"/>
          <w:lang w:val="en-GB"/>
        </w:rPr>
        <w:t xml:space="preserve"> in these 45 settlements varies from 0% to more than 99%. There are only a total of 328 </w:t>
      </w:r>
      <w:r w:rsidR="00F026B4">
        <w:rPr>
          <w:rFonts w:cs="Arial"/>
          <w:sz w:val="24"/>
          <w:szCs w:val="24"/>
          <w:lang w:val="en-GB"/>
        </w:rPr>
        <w:t>FTTx</w:t>
      </w:r>
      <w:r w:rsidRPr="00BC1ABD">
        <w:rPr>
          <w:rFonts w:cs="Arial"/>
          <w:sz w:val="24"/>
          <w:szCs w:val="24"/>
          <w:lang w:val="en-GB"/>
        </w:rPr>
        <w:t xml:space="preserve"> subscribers in those settlements where Magticom is not one of the three or more </w:t>
      </w:r>
      <w:r w:rsidR="00F026B4">
        <w:rPr>
          <w:rFonts w:cs="Arial"/>
          <w:sz w:val="24"/>
          <w:szCs w:val="24"/>
          <w:lang w:val="en-GB"/>
        </w:rPr>
        <w:t>FTTx</w:t>
      </w:r>
      <w:r w:rsidRPr="00BC1ABD">
        <w:rPr>
          <w:rFonts w:cs="Arial"/>
          <w:sz w:val="24"/>
          <w:szCs w:val="24"/>
          <w:lang w:val="en-GB"/>
        </w:rPr>
        <w:t xml:space="preserve"> operators. There are only three (of the 45) settlements with 3,639 inhabitants where Magticom</w:t>
      </w:r>
      <w:r w:rsidR="008C375B">
        <w:rPr>
          <w:rFonts w:cs="Arial"/>
          <w:sz w:val="24"/>
          <w:szCs w:val="24"/>
          <w:lang w:val="en-GB"/>
        </w:rPr>
        <w:t xml:space="preserve">’s 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Pr="00BC1ABD">
        <w:rPr>
          <w:rFonts w:cs="Arial"/>
          <w:sz w:val="24"/>
          <w:szCs w:val="24"/>
          <w:lang w:val="en-GB"/>
        </w:rPr>
        <w:t xml:space="preserve"> is below 10%. In the 99% Magticom share case, the remaining two or more operators each have only very few </w:t>
      </w:r>
      <w:r w:rsidR="00F026B4">
        <w:rPr>
          <w:rFonts w:cs="Arial"/>
          <w:sz w:val="24"/>
          <w:szCs w:val="24"/>
          <w:lang w:val="en-GB"/>
        </w:rPr>
        <w:t>FTTx</w:t>
      </w:r>
      <w:r w:rsidRPr="00BC1ABD">
        <w:rPr>
          <w:rFonts w:cs="Arial"/>
          <w:sz w:val="24"/>
          <w:szCs w:val="24"/>
          <w:lang w:val="en-GB"/>
        </w:rPr>
        <w:t xml:space="preserve"> subscribers.</w:t>
      </w:r>
    </w:p>
    <w:p w14:paraId="7D1D5D4F" w14:textId="0921825E"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Using the criterion of number of </w:t>
      </w:r>
      <w:r w:rsidR="00F026B4">
        <w:rPr>
          <w:rFonts w:cs="Arial"/>
          <w:sz w:val="24"/>
          <w:szCs w:val="24"/>
          <w:lang w:val="en-GB"/>
        </w:rPr>
        <w:t>FTTx</w:t>
      </w:r>
      <w:r w:rsidRPr="00BC1ABD">
        <w:rPr>
          <w:rFonts w:cs="Arial"/>
          <w:sz w:val="24"/>
          <w:szCs w:val="24"/>
          <w:lang w:val="en-GB"/>
        </w:rPr>
        <w:t xml:space="preserve"> network operators, Georgia can be divided into three categories of </w:t>
      </w:r>
      <w:r w:rsidR="00F026B4">
        <w:rPr>
          <w:rFonts w:cs="Arial"/>
          <w:sz w:val="24"/>
          <w:szCs w:val="24"/>
          <w:lang w:val="en-GB"/>
        </w:rPr>
        <w:t>FTTx</w:t>
      </w:r>
      <w:r w:rsidRPr="00BC1ABD">
        <w:rPr>
          <w:rFonts w:cs="Arial"/>
          <w:sz w:val="24"/>
          <w:szCs w:val="24"/>
          <w:lang w:val="en-GB"/>
        </w:rPr>
        <w:t xml:space="preserve"> market contestability:</w:t>
      </w:r>
    </w:p>
    <w:p w14:paraId="6A91AD29" w14:textId="551E55DD" w:rsidR="00A0244C" w:rsidRPr="00BC1ABD" w:rsidRDefault="00A0244C" w:rsidP="00722085">
      <w:pPr>
        <w:pStyle w:val="ListParagraph"/>
        <w:numPr>
          <w:ilvl w:val="0"/>
          <w:numId w:val="40"/>
        </w:numPr>
        <w:adjustRightInd w:val="0"/>
        <w:spacing w:after="240"/>
        <w:jc w:val="both"/>
        <w:rPr>
          <w:rFonts w:cs="Arial"/>
          <w:sz w:val="24"/>
          <w:szCs w:val="24"/>
          <w:lang w:val="en-GB"/>
        </w:rPr>
      </w:pPr>
      <w:r w:rsidRPr="00BC1ABD">
        <w:rPr>
          <w:rFonts w:cs="Arial"/>
          <w:sz w:val="24"/>
          <w:szCs w:val="24"/>
          <w:lang w:val="en-GB"/>
        </w:rPr>
        <w:t xml:space="preserve">Settlements with three or more </w:t>
      </w:r>
      <w:r w:rsidR="00F026B4">
        <w:rPr>
          <w:rFonts w:cs="Arial"/>
          <w:sz w:val="24"/>
          <w:szCs w:val="24"/>
          <w:lang w:val="en-GB"/>
        </w:rPr>
        <w:t>FTTx</w:t>
      </w:r>
      <w:r w:rsidRPr="00BC1ABD">
        <w:rPr>
          <w:rFonts w:cs="Arial"/>
          <w:sz w:val="24"/>
          <w:szCs w:val="24"/>
          <w:lang w:val="en-GB"/>
        </w:rPr>
        <w:t xml:space="preserve"> network operators – these are considered as potentially contestable</w:t>
      </w:r>
    </w:p>
    <w:p w14:paraId="71ACFBB2" w14:textId="7390A200" w:rsidR="00A0244C" w:rsidRPr="00BC1ABD" w:rsidRDefault="00A0244C" w:rsidP="00722085">
      <w:pPr>
        <w:pStyle w:val="ListParagraph"/>
        <w:numPr>
          <w:ilvl w:val="0"/>
          <w:numId w:val="40"/>
        </w:numPr>
        <w:adjustRightInd w:val="0"/>
        <w:spacing w:after="240"/>
        <w:jc w:val="both"/>
        <w:rPr>
          <w:rFonts w:cs="Arial"/>
          <w:sz w:val="24"/>
          <w:szCs w:val="24"/>
          <w:lang w:val="en-GB"/>
        </w:rPr>
      </w:pPr>
      <w:r w:rsidRPr="00BC1ABD">
        <w:rPr>
          <w:rFonts w:cs="Arial"/>
          <w:sz w:val="24"/>
          <w:szCs w:val="24"/>
          <w:lang w:val="en-GB"/>
        </w:rPr>
        <w:t xml:space="preserve">Settlements with one or two </w:t>
      </w:r>
      <w:r w:rsidR="00F026B4">
        <w:rPr>
          <w:rFonts w:cs="Arial"/>
          <w:sz w:val="24"/>
          <w:szCs w:val="24"/>
          <w:lang w:val="en-GB"/>
        </w:rPr>
        <w:t>FTTx</w:t>
      </w:r>
      <w:r w:rsidRPr="00BC1ABD">
        <w:rPr>
          <w:rFonts w:cs="Arial"/>
          <w:sz w:val="24"/>
          <w:szCs w:val="24"/>
          <w:lang w:val="en-GB"/>
        </w:rPr>
        <w:t xml:space="preserve"> network operators – these settlements are considered as non-contestable</w:t>
      </w:r>
    </w:p>
    <w:p w14:paraId="1440DAE5" w14:textId="3BD1F2D9" w:rsidR="00A0244C" w:rsidRPr="00BC1ABD" w:rsidRDefault="00A0244C" w:rsidP="00722085">
      <w:pPr>
        <w:pStyle w:val="ListParagraph"/>
        <w:numPr>
          <w:ilvl w:val="0"/>
          <w:numId w:val="40"/>
        </w:numPr>
        <w:adjustRightInd w:val="0"/>
        <w:spacing w:after="240"/>
        <w:jc w:val="both"/>
        <w:rPr>
          <w:rFonts w:cs="Arial"/>
          <w:sz w:val="24"/>
          <w:szCs w:val="24"/>
          <w:lang w:val="en-GB"/>
        </w:rPr>
      </w:pPr>
      <w:r w:rsidRPr="00BC1ABD">
        <w:rPr>
          <w:rFonts w:cs="Arial"/>
          <w:sz w:val="24"/>
          <w:szCs w:val="24"/>
          <w:lang w:val="en-GB"/>
        </w:rPr>
        <w:t xml:space="preserve">Settlements without any </w:t>
      </w:r>
      <w:r w:rsidR="00F026B4">
        <w:rPr>
          <w:rFonts w:cs="Arial"/>
          <w:sz w:val="24"/>
          <w:szCs w:val="24"/>
          <w:lang w:val="en-GB"/>
        </w:rPr>
        <w:t>FTTx</w:t>
      </w:r>
      <w:r w:rsidRPr="00BC1ABD">
        <w:rPr>
          <w:rFonts w:cs="Arial"/>
          <w:sz w:val="24"/>
          <w:szCs w:val="24"/>
          <w:lang w:val="en-GB"/>
        </w:rPr>
        <w:t xml:space="preserve"> network operators</w:t>
      </w:r>
    </w:p>
    <w:p w14:paraId="1FE95586" w14:textId="3D83CFBB" w:rsidR="00AB6EC5" w:rsidRPr="00793E5F" w:rsidRDefault="00A0244C" w:rsidP="00793E5F">
      <w:pPr>
        <w:jc w:val="both"/>
        <w:rPr>
          <w:rFonts w:cs="Arial"/>
          <w:sz w:val="24"/>
          <w:szCs w:val="24"/>
          <w:lang w:val="en-GB"/>
        </w:rPr>
      </w:pPr>
      <w:r w:rsidRPr="00BC1ABD">
        <w:rPr>
          <w:rFonts w:cs="Arial"/>
          <w:sz w:val="24"/>
          <w:szCs w:val="24"/>
          <w:lang w:val="en-GB"/>
        </w:rPr>
        <w:t xml:space="preserve">A ‘contestable area’ has been defined (see Chapter </w:t>
      </w:r>
      <w:r w:rsidR="00974F95">
        <w:rPr>
          <w:rFonts w:cs="Arial"/>
          <w:sz w:val="24"/>
          <w:szCs w:val="24"/>
          <w:lang w:val="en-GB"/>
        </w:rPr>
        <w:t>6</w:t>
      </w:r>
      <w:r w:rsidRPr="00BC1ABD">
        <w:rPr>
          <w:rFonts w:cs="Arial"/>
          <w:sz w:val="24"/>
          <w:szCs w:val="24"/>
          <w:lang w:val="en-GB"/>
        </w:rPr>
        <w:t xml:space="preserve">.1) as an area where rival networks could significantly increase their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008C375B" w:rsidRPr="00BC1ABD" w:rsidDel="007355E2">
        <w:rPr>
          <w:rFonts w:cs="Arial"/>
          <w:sz w:val="24"/>
          <w:szCs w:val="24"/>
          <w:lang w:val="en-GB"/>
        </w:rPr>
        <w:t xml:space="preserve"> </w:t>
      </w:r>
      <w:r w:rsidRPr="00BC1ABD">
        <w:rPr>
          <w:rFonts w:cs="Arial"/>
          <w:sz w:val="24"/>
          <w:szCs w:val="24"/>
          <w:lang w:val="en-GB"/>
        </w:rPr>
        <w:t>in that settlement and therefore become an effective competitor to the larger player(s) already present.</w:t>
      </w:r>
    </w:p>
    <w:p w14:paraId="38DDB815" w14:textId="196ADF1A" w:rsidR="00A0244C" w:rsidRPr="00F028B0" w:rsidRDefault="00A0244C" w:rsidP="008C375B">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06" w:name="_Toc169258978"/>
      <w:r w:rsidRPr="00F028B0">
        <w:rPr>
          <w:rFonts w:asciiTheme="minorHAnsi" w:hAnsiTheme="minorHAnsi" w:cstheme="minorHAnsi"/>
          <w:b w:val="0"/>
          <w:bCs w:val="0"/>
          <w:sz w:val="24"/>
          <w:szCs w:val="24"/>
          <w:lang w:val="en-GB"/>
        </w:rPr>
        <w:t>Criterion ii.: Magticom</w:t>
      </w:r>
      <w:r w:rsidR="008C375B">
        <w:rPr>
          <w:rFonts w:asciiTheme="minorHAnsi" w:hAnsiTheme="minorHAnsi" w:cstheme="minorHAnsi"/>
          <w:b w:val="0"/>
          <w:bCs w:val="0"/>
          <w:sz w:val="24"/>
          <w:szCs w:val="24"/>
          <w:lang w:val="en-GB"/>
        </w:rPr>
        <w:t>’s</w:t>
      </w:r>
      <w:r w:rsidRPr="00F028B0">
        <w:rPr>
          <w:rFonts w:asciiTheme="minorHAnsi" w:hAnsiTheme="minorHAnsi" w:cstheme="minorHAnsi"/>
          <w:b w:val="0"/>
          <w:bCs w:val="0"/>
          <w:sz w:val="24"/>
          <w:szCs w:val="24"/>
          <w:lang w:val="en-GB"/>
        </w:rPr>
        <w:t xml:space="preserve"> </w:t>
      </w:r>
      <w:r w:rsidR="008C375B" w:rsidRPr="008C375B">
        <w:rPr>
          <w:rFonts w:asciiTheme="minorHAnsi" w:hAnsiTheme="minorHAnsi" w:cstheme="minorHAnsi"/>
          <w:b w:val="0"/>
          <w:bCs w:val="0"/>
          <w:sz w:val="24"/>
          <w:szCs w:val="24"/>
          <w:lang w:val="en-GB"/>
        </w:rPr>
        <w:t xml:space="preserve">share of </w:t>
      </w:r>
      <w:r w:rsidR="00F026B4">
        <w:rPr>
          <w:rFonts w:asciiTheme="minorHAnsi" w:hAnsiTheme="minorHAnsi" w:cstheme="minorHAnsi"/>
          <w:b w:val="0"/>
          <w:bCs w:val="0"/>
          <w:sz w:val="24"/>
          <w:szCs w:val="24"/>
          <w:lang w:val="en-GB"/>
        </w:rPr>
        <w:t>FTTx</w:t>
      </w:r>
      <w:r w:rsidR="008C375B" w:rsidRPr="008C375B">
        <w:rPr>
          <w:rFonts w:asciiTheme="minorHAnsi" w:hAnsiTheme="minorHAnsi" w:cstheme="minorHAnsi"/>
          <w:b w:val="0"/>
          <w:bCs w:val="0"/>
          <w:sz w:val="24"/>
          <w:szCs w:val="24"/>
          <w:lang w:val="en-GB"/>
        </w:rPr>
        <w:t xml:space="preserve"> broadband access users </w:t>
      </w:r>
      <w:r w:rsidR="008C375B">
        <w:rPr>
          <w:rFonts w:asciiTheme="minorHAnsi" w:hAnsiTheme="minorHAnsi" w:cstheme="minorHAnsi"/>
          <w:b w:val="0"/>
          <w:bCs w:val="0"/>
          <w:sz w:val="24"/>
          <w:szCs w:val="24"/>
          <w:lang w:val="en-GB"/>
        </w:rPr>
        <w:t xml:space="preserve">is </w:t>
      </w:r>
      <w:r w:rsidRPr="00F028B0">
        <w:rPr>
          <w:rFonts w:asciiTheme="minorHAnsi" w:hAnsiTheme="minorHAnsi" w:cstheme="minorHAnsi"/>
          <w:b w:val="0"/>
          <w:bCs w:val="0"/>
          <w:sz w:val="24"/>
          <w:szCs w:val="24"/>
          <w:lang w:val="en-GB"/>
        </w:rPr>
        <w:t>below 40%</w:t>
      </w:r>
      <w:bookmarkEnd w:id="306"/>
      <w:r w:rsidRPr="00F028B0">
        <w:rPr>
          <w:rFonts w:asciiTheme="minorHAnsi" w:hAnsiTheme="minorHAnsi" w:cstheme="minorHAnsi"/>
          <w:b w:val="0"/>
          <w:bCs w:val="0"/>
          <w:sz w:val="24"/>
          <w:szCs w:val="24"/>
          <w:lang w:val="en-GB"/>
        </w:rPr>
        <w:t xml:space="preserve"> </w:t>
      </w:r>
    </w:p>
    <w:p w14:paraId="2CEBD18D" w14:textId="7555EE6A"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second criterion can be in theory be fulfilled only in settlements with 2 or more </w:t>
      </w:r>
      <w:r w:rsidR="00F026B4">
        <w:rPr>
          <w:rFonts w:cs="Arial"/>
          <w:sz w:val="24"/>
          <w:szCs w:val="24"/>
          <w:lang w:val="en-GB"/>
        </w:rPr>
        <w:t>FTTx</w:t>
      </w:r>
      <w:r w:rsidRPr="00BC1ABD">
        <w:rPr>
          <w:rFonts w:cs="Arial"/>
          <w:sz w:val="24"/>
          <w:szCs w:val="24"/>
          <w:lang w:val="en-GB"/>
        </w:rPr>
        <w:t xml:space="preserve"> network operators. This criterion does not theoretically mean that Magticom is still the biggest operator (for example, if the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008C375B" w:rsidRPr="00BC1ABD" w:rsidDel="007355E2">
        <w:rPr>
          <w:rFonts w:cs="Arial"/>
          <w:sz w:val="24"/>
          <w:szCs w:val="24"/>
          <w:lang w:val="en-GB"/>
        </w:rPr>
        <w:t xml:space="preserve"> </w:t>
      </w:r>
      <w:r w:rsidR="00F026B4">
        <w:rPr>
          <w:rFonts w:cs="Arial"/>
          <w:sz w:val="24"/>
          <w:szCs w:val="24"/>
          <w:lang w:val="en-GB"/>
        </w:rPr>
        <w:t>FTTx</w:t>
      </w:r>
      <w:r w:rsidR="001A02CA">
        <w:rPr>
          <w:rFonts w:cs="Arial"/>
          <w:sz w:val="24"/>
          <w:szCs w:val="24"/>
          <w:lang w:val="en-GB"/>
        </w:rPr>
        <w:t xml:space="preserve"> </w:t>
      </w:r>
      <w:r w:rsidRPr="00BC1ABD">
        <w:rPr>
          <w:rFonts w:cs="Arial"/>
          <w:sz w:val="24"/>
          <w:szCs w:val="24"/>
          <w:lang w:val="en-GB"/>
        </w:rPr>
        <w:t xml:space="preserve">of a largest operator is 35%, Magticom is 33% and third operator is 32%). However in Georgia, based on the </w:t>
      </w:r>
      <w:r w:rsidR="008C375B">
        <w:rPr>
          <w:rFonts w:cs="Arial"/>
          <w:sz w:val="24"/>
          <w:szCs w:val="24"/>
          <w:lang w:val="en-GB"/>
        </w:rPr>
        <w:t xml:space="preserve">share of </w:t>
      </w:r>
      <w:r w:rsidR="00F026B4">
        <w:rPr>
          <w:rFonts w:cs="Arial"/>
          <w:sz w:val="24"/>
          <w:szCs w:val="24"/>
          <w:lang w:val="en-GB"/>
        </w:rPr>
        <w:t>FTTx</w:t>
      </w:r>
      <w:r w:rsidR="008C375B" w:rsidRPr="00BC1ABD">
        <w:rPr>
          <w:rFonts w:cs="Arial"/>
          <w:sz w:val="24"/>
          <w:szCs w:val="24"/>
          <w:lang w:val="en-GB"/>
        </w:rPr>
        <w:t xml:space="preserve"> broadband access </w:t>
      </w:r>
      <w:r w:rsidR="008C375B">
        <w:rPr>
          <w:rFonts w:cs="Arial"/>
          <w:sz w:val="24"/>
          <w:szCs w:val="24"/>
          <w:lang w:val="en-GB"/>
        </w:rPr>
        <w:t>users</w:t>
      </w:r>
      <w:r w:rsidRPr="00BC1ABD">
        <w:rPr>
          <w:rFonts w:cs="Arial"/>
          <w:sz w:val="24"/>
          <w:szCs w:val="24"/>
          <w:lang w:val="en-GB"/>
        </w:rPr>
        <w:t xml:space="preserve">, in every settlement where Magticom’s </w:t>
      </w:r>
      <w:r w:rsidR="007364DC">
        <w:rPr>
          <w:rFonts w:cs="Arial"/>
          <w:sz w:val="24"/>
          <w:szCs w:val="24"/>
          <w:lang w:val="en-GB"/>
        </w:rPr>
        <w:t xml:space="preserve">share of </w:t>
      </w:r>
      <w:r w:rsidR="00F026B4">
        <w:rPr>
          <w:rFonts w:cs="Arial"/>
          <w:sz w:val="24"/>
          <w:szCs w:val="24"/>
          <w:lang w:val="en-GB"/>
        </w:rPr>
        <w:t>FTTx</w:t>
      </w:r>
      <w:r w:rsidR="007364DC" w:rsidRPr="00BC1ABD">
        <w:rPr>
          <w:rFonts w:cs="Arial"/>
          <w:sz w:val="24"/>
          <w:szCs w:val="24"/>
          <w:lang w:val="en-GB"/>
        </w:rPr>
        <w:t xml:space="preserve"> broadband access </w:t>
      </w:r>
      <w:r w:rsidR="007364DC">
        <w:rPr>
          <w:rFonts w:cs="Arial"/>
          <w:sz w:val="24"/>
          <w:szCs w:val="24"/>
          <w:lang w:val="en-GB"/>
        </w:rPr>
        <w:t>users</w:t>
      </w:r>
      <w:r w:rsidR="007364DC" w:rsidRPr="00BC1ABD" w:rsidDel="007355E2">
        <w:rPr>
          <w:rFonts w:cs="Arial"/>
          <w:sz w:val="24"/>
          <w:szCs w:val="24"/>
          <w:lang w:val="en-GB"/>
        </w:rPr>
        <w:t xml:space="preserve"> </w:t>
      </w:r>
      <w:r w:rsidR="00F026B4">
        <w:rPr>
          <w:rFonts w:cs="Arial"/>
          <w:sz w:val="24"/>
          <w:szCs w:val="24"/>
          <w:lang w:val="en-GB"/>
        </w:rPr>
        <w:t>FTTx</w:t>
      </w:r>
      <w:r w:rsidR="001A02CA">
        <w:rPr>
          <w:rFonts w:cs="Arial"/>
          <w:sz w:val="24"/>
          <w:szCs w:val="24"/>
          <w:lang w:val="en-GB"/>
        </w:rPr>
        <w:t xml:space="preserve"> </w:t>
      </w:r>
      <w:r w:rsidRPr="00BC1ABD">
        <w:rPr>
          <w:rFonts w:cs="Arial"/>
          <w:sz w:val="24"/>
          <w:szCs w:val="24"/>
          <w:lang w:val="en-GB"/>
        </w:rPr>
        <w:t>is below 40%, then Magticom is not the largest operator. Settlements, where Magticom is not present at all are also included in the table below.</w:t>
      </w:r>
    </w:p>
    <w:p w14:paraId="6DD2D27B" w14:textId="1AC81089" w:rsidR="00A0244C" w:rsidRPr="00BC1ABD" w:rsidRDefault="00A0244C" w:rsidP="00A0244C">
      <w:pPr>
        <w:pStyle w:val="Caption"/>
        <w:jc w:val="center"/>
        <w:rPr>
          <w:rFonts w:cs="Arial"/>
          <w:b/>
          <w:sz w:val="24"/>
          <w:szCs w:val="24"/>
          <w:lang w:val="en-GB"/>
        </w:rPr>
      </w:pPr>
      <w:bookmarkStart w:id="307" w:name="_Toc152931411"/>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60</w:t>
      </w:r>
      <w:r w:rsidRPr="00BC1ABD">
        <w:rPr>
          <w:lang w:val="en-GB"/>
        </w:rPr>
        <w:fldChar w:fldCharType="end"/>
      </w:r>
      <w:r w:rsidRPr="00BC1ABD">
        <w:rPr>
          <w:lang w:val="en-GB"/>
        </w:rPr>
        <w:t xml:space="preserve">: Summary of settlements where Magticom’s </w:t>
      </w:r>
      <w:r w:rsidR="007364DC" w:rsidRPr="007364DC">
        <w:rPr>
          <w:lang w:val="en-GB"/>
        </w:rPr>
        <w:t xml:space="preserve">share of </w:t>
      </w:r>
      <w:r w:rsidR="00F026B4">
        <w:rPr>
          <w:lang w:val="en-GB"/>
        </w:rPr>
        <w:t>FTTx</w:t>
      </w:r>
      <w:r w:rsidR="007364DC" w:rsidRPr="007364DC">
        <w:rPr>
          <w:lang w:val="en-GB"/>
        </w:rPr>
        <w:t xml:space="preserve"> broadband access users </w:t>
      </w:r>
      <w:r w:rsidR="00F026B4">
        <w:rPr>
          <w:lang w:val="en-GB"/>
        </w:rPr>
        <w:t>FTTx</w:t>
      </w:r>
      <w:r w:rsidR="001A02CA">
        <w:rPr>
          <w:lang w:val="en-GB"/>
        </w:rPr>
        <w:t xml:space="preserve"> </w:t>
      </w:r>
      <w:r w:rsidRPr="00BC1ABD">
        <w:rPr>
          <w:lang w:val="en-GB"/>
        </w:rPr>
        <w:t>is less than 40%</w:t>
      </w:r>
      <w:bookmarkEnd w:id="307"/>
    </w:p>
    <w:tbl>
      <w:tblPr>
        <w:tblW w:w="9062" w:type="dxa"/>
        <w:tblInd w:w="-10" w:type="dxa"/>
        <w:tblLayout w:type="fixed"/>
        <w:tblCellMar>
          <w:left w:w="70" w:type="dxa"/>
          <w:right w:w="70" w:type="dxa"/>
        </w:tblCellMar>
        <w:tblLook w:val="04A0" w:firstRow="1" w:lastRow="0" w:firstColumn="1" w:lastColumn="0" w:noHBand="0" w:noVBand="1"/>
      </w:tblPr>
      <w:tblGrid>
        <w:gridCol w:w="739"/>
        <w:gridCol w:w="869"/>
        <w:gridCol w:w="857"/>
        <w:gridCol w:w="843"/>
        <w:gridCol w:w="810"/>
        <w:gridCol w:w="1552"/>
        <w:gridCol w:w="1350"/>
        <w:gridCol w:w="990"/>
        <w:gridCol w:w="1052"/>
      </w:tblGrid>
      <w:tr w:rsidR="00A0244C" w:rsidRPr="00BC1ABD" w14:paraId="6AE15339" w14:textId="77777777" w:rsidTr="00E82B0B">
        <w:trPr>
          <w:trHeight w:val="1035"/>
        </w:trPr>
        <w:tc>
          <w:tcPr>
            <w:tcW w:w="739" w:type="dxa"/>
            <w:tcBorders>
              <w:top w:val="single" w:sz="8" w:space="0" w:color="auto"/>
              <w:left w:val="single" w:sz="8" w:space="0" w:color="auto"/>
              <w:bottom w:val="single" w:sz="8" w:space="0" w:color="auto"/>
              <w:right w:val="single" w:sz="8" w:space="0" w:color="auto"/>
            </w:tcBorders>
            <w:shd w:val="clear" w:color="000000" w:fill="5B9BD5"/>
            <w:vAlign w:val="center"/>
            <w:hideMark/>
          </w:tcPr>
          <w:p w14:paraId="4BE1A4BB"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No of operators</w:t>
            </w:r>
          </w:p>
        </w:tc>
        <w:tc>
          <w:tcPr>
            <w:tcW w:w="869" w:type="dxa"/>
            <w:tcBorders>
              <w:top w:val="single" w:sz="8" w:space="0" w:color="auto"/>
              <w:left w:val="nil"/>
              <w:bottom w:val="single" w:sz="8" w:space="0" w:color="auto"/>
              <w:right w:val="single" w:sz="8" w:space="0" w:color="auto"/>
            </w:tcBorders>
            <w:shd w:val="clear" w:color="000000" w:fill="5B9BD5"/>
            <w:vAlign w:val="center"/>
            <w:hideMark/>
          </w:tcPr>
          <w:p w14:paraId="2A797114"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settlements </w:t>
            </w:r>
          </w:p>
        </w:tc>
        <w:tc>
          <w:tcPr>
            <w:tcW w:w="857" w:type="dxa"/>
            <w:tcBorders>
              <w:top w:val="single" w:sz="8" w:space="0" w:color="auto"/>
              <w:left w:val="nil"/>
              <w:bottom w:val="single" w:sz="8" w:space="0" w:color="auto"/>
              <w:right w:val="single" w:sz="8" w:space="0" w:color="auto"/>
            </w:tcBorders>
            <w:shd w:val="clear" w:color="000000" w:fill="5B9BD5"/>
            <w:vAlign w:val="center"/>
            <w:hideMark/>
          </w:tcPr>
          <w:p w14:paraId="0FF3C943"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Households </w:t>
            </w:r>
          </w:p>
        </w:tc>
        <w:tc>
          <w:tcPr>
            <w:tcW w:w="843" w:type="dxa"/>
            <w:tcBorders>
              <w:top w:val="single" w:sz="8" w:space="0" w:color="auto"/>
              <w:left w:val="nil"/>
              <w:bottom w:val="single" w:sz="8" w:space="0" w:color="auto"/>
              <w:right w:val="single" w:sz="8" w:space="0" w:color="auto"/>
            </w:tcBorders>
            <w:shd w:val="clear" w:color="000000" w:fill="5B9BD5"/>
            <w:vAlign w:val="center"/>
            <w:hideMark/>
          </w:tcPr>
          <w:p w14:paraId="167CBD46"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 of total households </w:t>
            </w:r>
          </w:p>
        </w:tc>
        <w:tc>
          <w:tcPr>
            <w:tcW w:w="810" w:type="dxa"/>
            <w:tcBorders>
              <w:top w:val="single" w:sz="8" w:space="0" w:color="auto"/>
              <w:left w:val="nil"/>
              <w:bottom w:val="single" w:sz="8" w:space="0" w:color="auto"/>
              <w:right w:val="single" w:sz="8" w:space="0" w:color="auto"/>
            </w:tcBorders>
            <w:shd w:val="clear" w:color="000000" w:fill="5B9BD5"/>
            <w:vAlign w:val="center"/>
            <w:hideMark/>
          </w:tcPr>
          <w:p w14:paraId="4A75E72B"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Population </w:t>
            </w:r>
          </w:p>
        </w:tc>
        <w:tc>
          <w:tcPr>
            <w:tcW w:w="1552" w:type="dxa"/>
            <w:tcBorders>
              <w:top w:val="single" w:sz="8" w:space="0" w:color="auto"/>
              <w:left w:val="nil"/>
              <w:bottom w:val="single" w:sz="8" w:space="0" w:color="auto"/>
              <w:right w:val="single" w:sz="8" w:space="0" w:color="auto"/>
            </w:tcBorders>
            <w:shd w:val="clear" w:color="000000" w:fill="5B9BD5"/>
            <w:vAlign w:val="center"/>
            <w:hideMark/>
          </w:tcPr>
          <w:p w14:paraId="28323410" w14:textId="44BB5C85" w:rsidR="00A0244C" w:rsidRPr="00BC1ABD" w:rsidRDefault="005A0B56"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A0244C" w:rsidRPr="00BC1ABD">
              <w:rPr>
                <w:rFonts w:eastAsia="Times New Roman" w:cs="Calibri"/>
                <w:b/>
                <w:bCs/>
                <w:color w:val="000000"/>
                <w:sz w:val="20"/>
                <w:szCs w:val="20"/>
                <w:lang w:val="en-GB" w:eastAsia="sl-SI"/>
              </w:rPr>
              <w:t xml:space="preserve"> all </w:t>
            </w:r>
            <w:r w:rsidRPr="00BC1ABD">
              <w:rPr>
                <w:rFonts w:eastAsia="Times New Roman" w:cs="Calibri"/>
                <w:b/>
                <w:bCs/>
                <w:color w:val="000000"/>
                <w:sz w:val="20"/>
                <w:szCs w:val="20"/>
                <w:lang w:val="en-GB" w:eastAsia="sl-SI"/>
              </w:rPr>
              <w:t>operators</w:t>
            </w:r>
          </w:p>
        </w:tc>
        <w:tc>
          <w:tcPr>
            <w:tcW w:w="1350" w:type="dxa"/>
            <w:tcBorders>
              <w:top w:val="single" w:sz="8" w:space="0" w:color="auto"/>
              <w:left w:val="nil"/>
              <w:bottom w:val="single" w:sz="8" w:space="0" w:color="auto"/>
              <w:right w:val="single" w:sz="8" w:space="0" w:color="auto"/>
            </w:tcBorders>
            <w:shd w:val="clear" w:color="000000" w:fill="5B9BD5"/>
            <w:vAlign w:val="center"/>
            <w:hideMark/>
          </w:tcPr>
          <w:p w14:paraId="290422AE" w14:textId="3F0972DB" w:rsidR="00A0244C" w:rsidRPr="00BC1ABD" w:rsidRDefault="005A0B56"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00A0244C" w:rsidRPr="00BC1ABD">
              <w:rPr>
                <w:rFonts w:eastAsia="Times New Roman" w:cs="Calibri"/>
                <w:b/>
                <w:bCs/>
                <w:color w:val="000000"/>
                <w:sz w:val="20"/>
                <w:szCs w:val="20"/>
                <w:lang w:val="en-GB" w:eastAsia="sl-SI"/>
              </w:rPr>
              <w:t>Magticom</w:t>
            </w:r>
          </w:p>
        </w:tc>
        <w:tc>
          <w:tcPr>
            <w:tcW w:w="990" w:type="dxa"/>
            <w:tcBorders>
              <w:top w:val="single" w:sz="8" w:space="0" w:color="auto"/>
              <w:left w:val="nil"/>
              <w:bottom w:val="single" w:sz="8" w:space="0" w:color="auto"/>
              <w:right w:val="single" w:sz="8" w:space="0" w:color="auto"/>
            </w:tcBorders>
            <w:shd w:val="clear" w:color="000000" w:fill="5B9BD5"/>
            <w:vAlign w:val="center"/>
            <w:hideMark/>
          </w:tcPr>
          <w:p w14:paraId="1EB33106"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all operators</w:t>
            </w:r>
          </w:p>
        </w:tc>
        <w:tc>
          <w:tcPr>
            <w:tcW w:w="1052" w:type="dxa"/>
            <w:tcBorders>
              <w:top w:val="single" w:sz="8" w:space="0" w:color="auto"/>
              <w:left w:val="nil"/>
              <w:bottom w:val="single" w:sz="8" w:space="0" w:color="auto"/>
              <w:right w:val="single" w:sz="8" w:space="0" w:color="auto"/>
            </w:tcBorders>
            <w:shd w:val="clear" w:color="000000" w:fill="5B9BD5"/>
            <w:vAlign w:val="center"/>
            <w:hideMark/>
          </w:tcPr>
          <w:p w14:paraId="5B6C756A"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Magticom</w:t>
            </w:r>
          </w:p>
        </w:tc>
      </w:tr>
      <w:tr w:rsidR="00A0244C" w:rsidRPr="00BC1ABD" w14:paraId="736440BA"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6142AB3D"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5</w:t>
            </w:r>
          </w:p>
        </w:tc>
        <w:tc>
          <w:tcPr>
            <w:tcW w:w="869" w:type="dxa"/>
            <w:tcBorders>
              <w:top w:val="nil"/>
              <w:left w:val="nil"/>
              <w:bottom w:val="single" w:sz="4" w:space="0" w:color="auto"/>
              <w:right w:val="single" w:sz="4" w:space="0" w:color="auto"/>
            </w:tcBorders>
            <w:shd w:val="clear" w:color="auto" w:fill="auto"/>
            <w:noWrap/>
            <w:vAlign w:val="bottom"/>
            <w:hideMark/>
          </w:tcPr>
          <w:p w14:paraId="55B034FA"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2</w:t>
            </w:r>
          </w:p>
        </w:tc>
        <w:tc>
          <w:tcPr>
            <w:tcW w:w="857" w:type="dxa"/>
            <w:tcBorders>
              <w:top w:val="nil"/>
              <w:left w:val="nil"/>
              <w:bottom w:val="single" w:sz="4" w:space="0" w:color="auto"/>
              <w:right w:val="single" w:sz="4" w:space="0" w:color="auto"/>
            </w:tcBorders>
            <w:shd w:val="clear" w:color="auto" w:fill="auto"/>
            <w:noWrap/>
            <w:vAlign w:val="bottom"/>
            <w:hideMark/>
          </w:tcPr>
          <w:p w14:paraId="63ED3149"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60,270</w:t>
            </w:r>
          </w:p>
        </w:tc>
        <w:tc>
          <w:tcPr>
            <w:tcW w:w="843" w:type="dxa"/>
            <w:tcBorders>
              <w:top w:val="nil"/>
              <w:left w:val="nil"/>
              <w:bottom w:val="single" w:sz="4" w:space="0" w:color="auto"/>
              <w:right w:val="single" w:sz="4" w:space="0" w:color="auto"/>
            </w:tcBorders>
            <w:shd w:val="clear" w:color="auto" w:fill="auto"/>
            <w:noWrap/>
            <w:vAlign w:val="bottom"/>
            <w:hideMark/>
          </w:tcPr>
          <w:p w14:paraId="1D88AEE3"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4.8%</w:t>
            </w:r>
          </w:p>
        </w:tc>
        <w:tc>
          <w:tcPr>
            <w:tcW w:w="810" w:type="dxa"/>
            <w:tcBorders>
              <w:top w:val="nil"/>
              <w:left w:val="nil"/>
              <w:bottom w:val="single" w:sz="4" w:space="0" w:color="auto"/>
              <w:right w:val="single" w:sz="4" w:space="0" w:color="auto"/>
            </w:tcBorders>
            <w:shd w:val="clear" w:color="auto" w:fill="auto"/>
            <w:noWrap/>
            <w:vAlign w:val="bottom"/>
            <w:hideMark/>
          </w:tcPr>
          <w:p w14:paraId="1FAA0D7D"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195,778</w:t>
            </w:r>
          </w:p>
        </w:tc>
        <w:tc>
          <w:tcPr>
            <w:tcW w:w="1552" w:type="dxa"/>
            <w:tcBorders>
              <w:top w:val="nil"/>
              <w:left w:val="nil"/>
              <w:bottom w:val="single" w:sz="4" w:space="0" w:color="auto"/>
              <w:right w:val="single" w:sz="4" w:space="0" w:color="auto"/>
            </w:tcBorders>
            <w:shd w:val="clear" w:color="auto" w:fill="auto"/>
            <w:noWrap/>
            <w:vAlign w:val="bottom"/>
            <w:hideMark/>
          </w:tcPr>
          <w:p w14:paraId="59D431C6"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58,588</w:t>
            </w:r>
          </w:p>
        </w:tc>
        <w:tc>
          <w:tcPr>
            <w:tcW w:w="1350" w:type="dxa"/>
            <w:tcBorders>
              <w:top w:val="nil"/>
              <w:left w:val="nil"/>
              <w:bottom w:val="single" w:sz="4" w:space="0" w:color="auto"/>
              <w:right w:val="single" w:sz="4" w:space="0" w:color="auto"/>
            </w:tcBorders>
            <w:shd w:val="clear" w:color="auto" w:fill="auto"/>
            <w:noWrap/>
            <w:vAlign w:val="bottom"/>
            <w:hideMark/>
          </w:tcPr>
          <w:p w14:paraId="3C867011"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22,413</w:t>
            </w:r>
          </w:p>
        </w:tc>
        <w:tc>
          <w:tcPr>
            <w:tcW w:w="990" w:type="dxa"/>
            <w:tcBorders>
              <w:top w:val="nil"/>
              <w:left w:val="nil"/>
              <w:bottom w:val="single" w:sz="4" w:space="0" w:color="auto"/>
              <w:right w:val="single" w:sz="4" w:space="0" w:color="auto"/>
            </w:tcBorders>
            <w:shd w:val="clear" w:color="auto" w:fill="auto"/>
            <w:noWrap/>
            <w:vAlign w:val="bottom"/>
            <w:hideMark/>
          </w:tcPr>
          <w:p w14:paraId="0C860EAD"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147,529</w:t>
            </w:r>
          </w:p>
        </w:tc>
        <w:tc>
          <w:tcPr>
            <w:tcW w:w="1052" w:type="dxa"/>
            <w:tcBorders>
              <w:top w:val="nil"/>
              <w:left w:val="nil"/>
              <w:bottom w:val="single" w:sz="4" w:space="0" w:color="auto"/>
              <w:right w:val="single" w:sz="8" w:space="0" w:color="auto"/>
            </w:tcBorders>
            <w:shd w:val="clear" w:color="auto" w:fill="auto"/>
            <w:noWrap/>
            <w:vAlign w:val="bottom"/>
            <w:hideMark/>
          </w:tcPr>
          <w:p w14:paraId="0DEDB5CD"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79,270</w:t>
            </w:r>
          </w:p>
        </w:tc>
      </w:tr>
      <w:tr w:rsidR="00A0244C" w:rsidRPr="00BC1ABD" w14:paraId="4A59F8B9"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681415CE"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4</w:t>
            </w: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571F3"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4</w:t>
            </w:r>
          </w:p>
        </w:tc>
        <w:tc>
          <w:tcPr>
            <w:tcW w:w="857" w:type="dxa"/>
            <w:tcBorders>
              <w:top w:val="single" w:sz="4" w:space="0" w:color="auto"/>
              <w:left w:val="nil"/>
              <w:bottom w:val="single" w:sz="4" w:space="0" w:color="auto"/>
              <w:right w:val="single" w:sz="4" w:space="0" w:color="auto"/>
            </w:tcBorders>
            <w:shd w:val="clear" w:color="auto" w:fill="auto"/>
            <w:noWrap/>
            <w:vAlign w:val="bottom"/>
            <w:hideMark/>
          </w:tcPr>
          <w:p w14:paraId="3141699E"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103,573</w:t>
            </w:r>
          </w:p>
        </w:tc>
        <w:tc>
          <w:tcPr>
            <w:tcW w:w="843" w:type="dxa"/>
            <w:tcBorders>
              <w:top w:val="single" w:sz="4" w:space="0" w:color="auto"/>
              <w:left w:val="nil"/>
              <w:bottom w:val="single" w:sz="4" w:space="0" w:color="auto"/>
              <w:right w:val="single" w:sz="4" w:space="0" w:color="auto"/>
            </w:tcBorders>
            <w:shd w:val="clear" w:color="auto" w:fill="auto"/>
            <w:noWrap/>
            <w:vAlign w:val="bottom"/>
            <w:hideMark/>
          </w:tcPr>
          <w:p w14:paraId="357DB348"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8.3%</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14:paraId="3253A5AD"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305,866</w:t>
            </w:r>
          </w:p>
        </w:tc>
        <w:tc>
          <w:tcPr>
            <w:tcW w:w="1552" w:type="dxa"/>
            <w:tcBorders>
              <w:top w:val="single" w:sz="4" w:space="0" w:color="auto"/>
              <w:left w:val="nil"/>
              <w:bottom w:val="single" w:sz="4" w:space="0" w:color="auto"/>
              <w:right w:val="single" w:sz="4" w:space="0" w:color="auto"/>
            </w:tcBorders>
            <w:shd w:val="clear" w:color="auto" w:fill="auto"/>
            <w:noWrap/>
            <w:vAlign w:val="bottom"/>
            <w:hideMark/>
          </w:tcPr>
          <w:p w14:paraId="4E07B37D"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131,190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187DB3DB"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39,629</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29698C30"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326,390</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5133C6AF"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126,948</w:t>
            </w:r>
          </w:p>
        </w:tc>
      </w:tr>
      <w:tr w:rsidR="00A0244C" w:rsidRPr="00BC1ABD" w14:paraId="73162DB0"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78A7A02E"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3</w:t>
            </w:r>
          </w:p>
        </w:tc>
        <w:tc>
          <w:tcPr>
            <w:tcW w:w="869" w:type="dxa"/>
            <w:tcBorders>
              <w:top w:val="nil"/>
              <w:left w:val="single" w:sz="4" w:space="0" w:color="auto"/>
              <w:bottom w:val="single" w:sz="4" w:space="0" w:color="auto"/>
              <w:right w:val="single" w:sz="4" w:space="0" w:color="auto"/>
            </w:tcBorders>
            <w:shd w:val="clear" w:color="auto" w:fill="auto"/>
            <w:noWrap/>
            <w:vAlign w:val="bottom"/>
            <w:hideMark/>
          </w:tcPr>
          <w:p w14:paraId="51B8EFC8"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12</w:t>
            </w:r>
          </w:p>
        </w:tc>
        <w:tc>
          <w:tcPr>
            <w:tcW w:w="857" w:type="dxa"/>
            <w:tcBorders>
              <w:top w:val="nil"/>
              <w:left w:val="nil"/>
              <w:bottom w:val="single" w:sz="4" w:space="0" w:color="auto"/>
              <w:right w:val="single" w:sz="4" w:space="0" w:color="auto"/>
            </w:tcBorders>
            <w:shd w:val="clear" w:color="auto" w:fill="auto"/>
            <w:noWrap/>
            <w:vAlign w:val="bottom"/>
            <w:hideMark/>
          </w:tcPr>
          <w:p w14:paraId="3ED3BB3A"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14,715</w:t>
            </w:r>
          </w:p>
        </w:tc>
        <w:tc>
          <w:tcPr>
            <w:tcW w:w="843" w:type="dxa"/>
            <w:tcBorders>
              <w:top w:val="nil"/>
              <w:left w:val="nil"/>
              <w:bottom w:val="single" w:sz="4" w:space="0" w:color="auto"/>
              <w:right w:val="single" w:sz="4" w:space="0" w:color="auto"/>
            </w:tcBorders>
            <w:shd w:val="clear" w:color="auto" w:fill="auto"/>
            <w:noWrap/>
            <w:vAlign w:val="bottom"/>
            <w:hideMark/>
          </w:tcPr>
          <w:p w14:paraId="5BC2654D"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1.2%</w:t>
            </w:r>
          </w:p>
        </w:tc>
        <w:tc>
          <w:tcPr>
            <w:tcW w:w="810" w:type="dxa"/>
            <w:tcBorders>
              <w:top w:val="nil"/>
              <w:left w:val="nil"/>
              <w:bottom w:val="single" w:sz="4" w:space="0" w:color="auto"/>
              <w:right w:val="single" w:sz="4" w:space="0" w:color="auto"/>
            </w:tcBorders>
            <w:shd w:val="clear" w:color="auto" w:fill="auto"/>
            <w:noWrap/>
            <w:vAlign w:val="bottom"/>
            <w:hideMark/>
          </w:tcPr>
          <w:p w14:paraId="4BB534E1"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49,977</w:t>
            </w:r>
          </w:p>
        </w:tc>
        <w:tc>
          <w:tcPr>
            <w:tcW w:w="1552" w:type="dxa"/>
            <w:tcBorders>
              <w:top w:val="nil"/>
              <w:left w:val="nil"/>
              <w:bottom w:val="single" w:sz="4" w:space="0" w:color="auto"/>
              <w:right w:val="single" w:sz="4" w:space="0" w:color="auto"/>
            </w:tcBorders>
            <w:shd w:val="clear" w:color="auto" w:fill="auto"/>
            <w:noWrap/>
            <w:vAlign w:val="bottom"/>
            <w:hideMark/>
          </w:tcPr>
          <w:p w14:paraId="01BA89E3"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13,403</w:t>
            </w:r>
          </w:p>
        </w:tc>
        <w:tc>
          <w:tcPr>
            <w:tcW w:w="1350" w:type="dxa"/>
            <w:tcBorders>
              <w:top w:val="nil"/>
              <w:left w:val="nil"/>
              <w:bottom w:val="single" w:sz="4" w:space="0" w:color="auto"/>
              <w:right w:val="single" w:sz="4" w:space="0" w:color="auto"/>
            </w:tcBorders>
            <w:shd w:val="clear" w:color="auto" w:fill="auto"/>
            <w:noWrap/>
            <w:vAlign w:val="bottom"/>
            <w:hideMark/>
          </w:tcPr>
          <w:p w14:paraId="6C487D63"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4,009</w:t>
            </w:r>
          </w:p>
        </w:tc>
        <w:tc>
          <w:tcPr>
            <w:tcW w:w="990" w:type="dxa"/>
            <w:tcBorders>
              <w:top w:val="nil"/>
              <w:left w:val="nil"/>
              <w:bottom w:val="single" w:sz="4" w:space="0" w:color="auto"/>
              <w:right w:val="single" w:sz="4" w:space="0" w:color="auto"/>
            </w:tcBorders>
            <w:shd w:val="clear" w:color="auto" w:fill="auto"/>
            <w:noWrap/>
            <w:vAlign w:val="bottom"/>
            <w:hideMark/>
          </w:tcPr>
          <w:p w14:paraId="33FF3A73"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33,104</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61722584"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13,740</w:t>
            </w:r>
          </w:p>
        </w:tc>
      </w:tr>
      <w:tr w:rsidR="00A0244C" w:rsidRPr="00BC1ABD" w14:paraId="2F7C7EAA" w14:textId="77777777" w:rsidTr="00E82B0B">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34E3B8FE"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w:t>
            </w:r>
          </w:p>
        </w:tc>
        <w:tc>
          <w:tcPr>
            <w:tcW w:w="869" w:type="dxa"/>
            <w:tcBorders>
              <w:top w:val="nil"/>
              <w:left w:val="single" w:sz="4" w:space="0" w:color="auto"/>
              <w:bottom w:val="single" w:sz="4" w:space="0" w:color="auto"/>
              <w:right w:val="single" w:sz="4" w:space="0" w:color="auto"/>
            </w:tcBorders>
            <w:shd w:val="clear" w:color="auto" w:fill="auto"/>
            <w:noWrap/>
            <w:vAlign w:val="bottom"/>
            <w:hideMark/>
          </w:tcPr>
          <w:p w14:paraId="1F3CAC16"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57</w:t>
            </w:r>
          </w:p>
        </w:tc>
        <w:tc>
          <w:tcPr>
            <w:tcW w:w="857" w:type="dxa"/>
            <w:tcBorders>
              <w:top w:val="nil"/>
              <w:left w:val="nil"/>
              <w:bottom w:val="single" w:sz="4" w:space="0" w:color="auto"/>
              <w:right w:val="single" w:sz="4" w:space="0" w:color="auto"/>
            </w:tcBorders>
            <w:shd w:val="clear" w:color="auto" w:fill="auto"/>
            <w:noWrap/>
            <w:vAlign w:val="bottom"/>
            <w:hideMark/>
          </w:tcPr>
          <w:p w14:paraId="75A28A3A"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18,553</w:t>
            </w:r>
          </w:p>
        </w:tc>
        <w:tc>
          <w:tcPr>
            <w:tcW w:w="843" w:type="dxa"/>
            <w:tcBorders>
              <w:top w:val="nil"/>
              <w:left w:val="nil"/>
              <w:bottom w:val="single" w:sz="4" w:space="0" w:color="auto"/>
              <w:right w:val="single" w:sz="4" w:space="0" w:color="auto"/>
            </w:tcBorders>
            <w:shd w:val="clear" w:color="auto" w:fill="auto"/>
            <w:noWrap/>
            <w:vAlign w:val="bottom"/>
            <w:hideMark/>
          </w:tcPr>
          <w:p w14:paraId="779DC2C9"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1.5%</w:t>
            </w:r>
          </w:p>
        </w:tc>
        <w:tc>
          <w:tcPr>
            <w:tcW w:w="810" w:type="dxa"/>
            <w:tcBorders>
              <w:top w:val="nil"/>
              <w:left w:val="nil"/>
              <w:bottom w:val="single" w:sz="4" w:space="0" w:color="auto"/>
              <w:right w:val="single" w:sz="4" w:space="0" w:color="auto"/>
            </w:tcBorders>
            <w:shd w:val="clear" w:color="auto" w:fill="auto"/>
            <w:noWrap/>
            <w:vAlign w:val="bottom"/>
            <w:hideMark/>
          </w:tcPr>
          <w:p w14:paraId="7A4692A0"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64,312</w:t>
            </w:r>
          </w:p>
        </w:tc>
        <w:tc>
          <w:tcPr>
            <w:tcW w:w="1552" w:type="dxa"/>
            <w:tcBorders>
              <w:top w:val="nil"/>
              <w:left w:val="nil"/>
              <w:bottom w:val="single" w:sz="4" w:space="0" w:color="auto"/>
              <w:right w:val="single" w:sz="4" w:space="0" w:color="auto"/>
            </w:tcBorders>
            <w:shd w:val="clear" w:color="auto" w:fill="auto"/>
            <w:noWrap/>
            <w:vAlign w:val="bottom"/>
            <w:hideMark/>
          </w:tcPr>
          <w:p w14:paraId="0073FCD7"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9,300</w:t>
            </w:r>
          </w:p>
        </w:tc>
        <w:tc>
          <w:tcPr>
            <w:tcW w:w="1350" w:type="dxa"/>
            <w:tcBorders>
              <w:top w:val="nil"/>
              <w:left w:val="nil"/>
              <w:bottom w:val="single" w:sz="4" w:space="0" w:color="auto"/>
              <w:right w:val="single" w:sz="4" w:space="0" w:color="auto"/>
            </w:tcBorders>
            <w:shd w:val="clear" w:color="auto" w:fill="auto"/>
            <w:noWrap/>
            <w:vAlign w:val="bottom"/>
            <w:hideMark/>
          </w:tcPr>
          <w:p w14:paraId="7CB76931"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1,602</w:t>
            </w:r>
          </w:p>
        </w:tc>
        <w:tc>
          <w:tcPr>
            <w:tcW w:w="990" w:type="dxa"/>
            <w:tcBorders>
              <w:top w:val="nil"/>
              <w:left w:val="nil"/>
              <w:bottom w:val="single" w:sz="4" w:space="0" w:color="auto"/>
              <w:right w:val="single" w:sz="4" w:space="0" w:color="auto"/>
            </w:tcBorders>
            <w:shd w:val="clear" w:color="auto" w:fill="auto"/>
            <w:noWrap/>
            <w:vAlign w:val="bottom"/>
            <w:hideMark/>
          </w:tcPr>
          <w:p w14:paraId="234B79A2"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21,545</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21861265" w14:textId="77777777" w:rsidR="00A0244C" w:rsidRPr="00E82B0B" w:rsidRDefault="00A0244C" w:rsidP="007354E3">
            <w:pPr>
              <w:spacing w:after="0" w:line="240" w:lineRule="auto"/>
              <w:jc w:val="right"/>
              <w:rPr>
                <w:rFonts w:eastAsia="Times New Roman" w:cs="Calibri"/>
                <w:color w:val="000000"/>
                <w:sz w:val="20"/>
                <w:lang w:val="en-GB" w:eastAsia="sl-SI"/>
              </w:rPr>
            </w:pPr>
            <w:r w:rsidRPr="00E82B0B">
              <w:rPr>
                <w:rFonts w:eastAsia="Times New Roman" w:cs="Calibri"/>
                <w:color w:val="000000"/>
                <w:sz w:val="20"/>
                <w:lang w:val="en-GB" w:eastAsia="sl-SI"/>
              </w:rPr>
              <w:t>7,123</w:t>
            </w:r>
          </w:p>
        </w:tc>
      </w:tr>
      <w:tr w:rsidR="00A0244C" w:rsidRPr="00BC1ABD" w14:paraId="1FE694CA" w14:textId="77777777" w:rsidTr="00E82B0B">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56140EA8" w14:textId="77777777" w:rsidR="00A0244C" w:rsidRPr="00E82B0B" w:rsidRDefault="00A0244C" w:rsidP="007354E3">
            <w:pPr>
              <w:spacing w:after="0" w:line="240" w:lineRule="auto"/>
              <w:rPr>
                <w:rFonts w:eastAsia="Times New Roman" w:cs="Calibri"/>
                <w:b/>
                <w:bCs/>
                <w:color w:val="000000"/>
                <w:sz w:val="20"/>
                <w:lang w:val="en-GB" w:eastAsia="sl-SI"/>
              </w:rPr>
            </w:pPr>
            <w:r w:rsidRPr="00E82B0B">
              <w:rPr>
                <w:rFonts w:eastAsia="Times New Roman" w:cs="Calibri"/>
                <w:b/>
                <w:bCs/>
                <w:color w:val="000000"/>
                <w:sz w:val="20"/>
                <w:lang w:val="en-GB" w:eastAsia="sl-SI"/>
              </w:rPr>
              <w:t>SUM</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5A832722"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75</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748136F7"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197,111</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1C2685FD"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15.7%</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0CEEEFE3"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615,933</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45759B0D"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212,481</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4BCA156B"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67,653</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22A47F97"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528,568</w:t>
            </w:r>
          </w:p>
        </w:tc>
        <w:tc>
          <w:tcPr>
            <w:tcW w:w="1052" w:type="dxa"/>
            <w:tcBorders>
              <w:top w:val="nil"/>
              <w:left w:val="nil"/>
              <w:bottom w:val="single" w:sz="8" w:space="0" w:color="auto"/>
              <w:right w:val="single" w:sz="8" w:space="0" w:color="auto"/>
            </w:tcBorders>
            <w:shd w:val="clear" w:color="auto" w:fill="auto"/>
            <w:noWrap/>
            <w:vAlign w:val="bottom"/>
            <w:hideMark/>
          </w:tcPr>
          <w:p w14:paraId="1BBF95E8"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227,081</w:t>
            </w:r>
          </w:p>
        </w:tc>
      </w:tr>
      <w:tr w:rsidR="00A0244C" w:rsidRPr="00BC1ABD" w14:paraId="299330E5" w14:textId="77777777" w:rsidTr="00E82B0B">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6BE6C300"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1</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0ED3CAFE"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375</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6E1F2CA4"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57,966</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3D007C86"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4.6%</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56B5FEB7"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204,726</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1EF98AC0"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26,884</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664C9A2D"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0</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23C3938E"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40,994</w:t>
            </w:r>
          </w:p>
        </w:tc>
        <w:tc>
          <w:tcPr>
            <w:tcW w:w="1052" w:type="dxa"/>
            <w:tcBorders>
              <w:top w:val="nil"/>
              <w:left w:val="nil"/>
              <w:bottom w:val="single" w:sz="8" w:space="0" w:color="auto"/>
              <w:right w:val="single" w:sz="8" w:space="0" w:color="auto"/>
            </w:tcBorders>
            <w:shd w:val="clear" w:color="auto" w:fill="auto"/>
            <w:noWrap/>
            <w:vAlign w:val="bottom"/>
            <w:hideMark/>
          </w:tcPr>
          <w:p w14:paraId="210074F2" w14:textId="77777777" w:rsidR="00A0244C" w:rsidRPr="00E82B0B" w:rsidRDefault="00A0244C" w:rsidP="007354E3">
            <w:pPr>
              <w:spacing w:after="0" w:line="240" w:lineRule="auto"/>
              <w:jc w:val="right"/>
              <w:rPr>
                <w:rFonts w:eastAsia="Times New Roman" w:cs="Calibri"/>
                <w:bCs/>
                <w:color w:val="000000"/>
                <w:sz w:val="20"/>
                <w:lang w:val="en-GB" w:eastAsia="sl-SI"/>
              </w:rPr>
            </w:pPr>
            <w:r w:rsidRPr="00E82B0B">
              <w:rPr>
                <w:rFonts w:eastAsia="Times New Roman" w:cs="Calibri"/>
                <w:bCs/>
                <w:color w:val="000000"/>
                <w:sz w:val="20"/>
                <w:lang w:val="en-GB" w:eastAsia="sl-SI"/>
              </w:rPr>
              <w:t>19</w:t>
            </w:r>
          </w:p>
        </w:tc>
      </w:tr>
      <w:tr w:rsidR="00A0244C" w:rsidRPr="00BC1ABD" w14:paraId="3EEA3B9D" w14:textId="77777777" w:rsidTr="00E82B0B">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0EC797E3" w14:textId="77777777" w:rsidR="00A0244C" w:rsidRPr="00E82B0B" w:rsidRDefault="00A0244C" w:rsidP="007354E3">
            <w:pPr>
              <w:spacing w:after="0" w:line="240" w:lineRule="auto"/>
              <w:rPr>
                <w:rFonts w:eastAsia="Times New Roman" w:cs="Calibri"/>
                <w:b/>
                <w:bCs/>
                <w:color w:val="000000"/>
                <w:sz w:val="20"/>
                <w:lang w:val="en-GB" w:eastAsia="sl-SI"/>
              </w:rPr>
            </w:pPr>
            <w:r w:rsidRPr="00E82B0B">
              <w:rPr>
                <w:rFonts w:eastAsia="Times New Roman" w:cs="Calibri"/>
                <w:b/>
                <w:bCs/>
                <w:color w:val="000000"/>
                <w:sz w:val="20"/>
                <w:lang w:val="en-GB" w:eastAsia="sl-SI"/>
              </w:rPr>
              <w:t>TOTAL</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1A1A9903"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450</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096CCEC0"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255,077</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2E445A3E"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20.4%</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0F46C2BC"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820,659</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28A96158"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239,365</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0508258B"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67,653</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2494FE4B"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569,561</w:t>
            </w:r>
          </w:p>
        </w:tc>
        <w:tc>
          <w:tcPr>
            <w:tcW w:w="1052" w:type="dxa"/>
            <w:tcBorders>
              <w:top w:val="nil"/>
              <w:left w:val="nil"/>
              <w:bottom w:val="single" w:sz="8" w:space="0" w:color="auto"/>
              <w:right w:val="single" w:sz="8" w:space="0" w:color="auto"/>
            </w:tcBorders>
            <w:shd w:val="clear" w:color="auto" w:fill="auto"/>
            <w:noWrap/>
            <w:vAlign w:val="bottom"/>
            <w:hideMark/>
          </w:tcPr>
          <w:p w14:paraId="02EC50F3" w14:textId="77777777" w:rsidR="00A0244C" w:rsidRPr="00E82B0B" w:rsidRDefault="00A0244C" w:rsidP="007354E3">
            <w:pPr>
              <w:spacing w:after="0" w:line="240" w:lineRule="auto"/>
              <w:jc w:val="right"/>
              <w:rPr>
                <w:rFonts w:eastAsia="Times New Roman" w:cs="Calibri"/>
                <w:b/>
                <w:bCs/>
                <w:color w:val="000000"/>
                <w:sz w:val="20"/>
                <w:lang w:val="en-GB" w:eastAsia="sl-SI"/>
              </w:rPr>
            </w:pPr>
            <w:r w:rsidRPr="00E82B0B">
              <w:rPr>
                <w:rFonts w:eastAsia="Times New Roman" w:cs="Calibri"/>
                <w:b/>
                <w:bCs/>
                <w:color w:val="000000"/>
                <w:sz w:val="20"/>
                <w:lang w:val="en-GB" w:eastAsia="sl-SI"/>
              </w:rPr>
              <w:t>227,100</w:t>
            </w:r>
          </w:p>
        </w:tc>
      </w:tr>
    </w:tbl>
    <w:p w14:paraId="3AFDDEDD" w14:textId="77777777" w:rsidR="00A0244C" w:rsidRPr="00BC1ABD" w:rsidRDefault="00A0244C" w:rsidP="00A0244C">
      <w:pPr>
        <w:jc w:val="center"/>
        <w:rPr>
          <w:rFonts w:cs="Arial"/>
          <w:sz w:val="4"/>
          <w:szCs w:val="4"/>
          <w:lang w:val="en-GB"/>
        </w:rPr>
      </w:pPr>
    </w:p>
    <w:p w14:paraId="385B932F"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2C2A562E" w14:textId="795B80F1"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In Georgia, 16.7% of the population of live in settlements where Magticom</w:t>
      </w:r>
      <w:r w:rsidR="007364DC">
        <w:rPr>
          <w:rFonts w:cs="Arial"/>
          <w:sz w:val="24"/>
          <w:szCs w:val="24"/>
          <w:lang w:val="en-GB"/>
        </w:rPr>
        <w:t xml:space="preserve">’s share of </w:t>
      </w:r>
      <w:r w:rsidR="00F026B4">
        <w:rPr>
          <w:rFonts w:cs="Arial"/>
          <w:sz w:val="24"/>
          <w:szCs w:val="24"/>
          <w:lang w:val="en-GB"/>
        </w:rPr>
        <w:t>FTTx</w:t>
      </w:r>
      <w:r w:rsidR="007364DC" w:rsidRPr="00BC1ABD">
        <w:rPr>
          <w:rFonts w:cs="Arial"/>
          <w:sz w:val="24"/>
          <w:szCs w:val="24"/>
          <w:lang w:val="en-GB"/>
        </w:rPr>
        <w:t xml:space="preserve"> broadband access </w:t>
      </w:r>
      <w:r w:rsidR="007364DC">
        <w:rPr>
          <w:rFonts w:cs="Arial"/>
          <w:sz w:val="24"/>
          <w:szCs w:val="24"/>
          <w:lang w:val="en-GB"/>
        </w:rPr>
        <w:t>users</w:t>
      </w:r>
      <w:r w:rsidRPr="00BC1ABD">
        <w:rPr>
          <w:rFonts w:cs="Arial"/>
          <w:sz w:val="24"/>
          <w:szCs w:val="24"/>
          <w:lang w:val="en-GB"/>
        </w:rPr>
        <w:t xml:space="preserve"> </w:t>
      </w:r>
      <w:r w:rsidR="007364DC">
        <w:rPr>
          <w:rFonts w:cs="Arial"/>
          <w:sz w:val="24"/>
          <w:szCs w:val="24"/>
          <w:lang w:val="en-GB"/>
        </w:rPr>
        <w:t>is</w:t>
      </w:r>
      <w:r w:rsidR="007364DC" w:rsidRPr="00BC1ABD">
        <w:rPr>
          <w:rFonts w:cs="Arial"/>
          <w:sz w:val="24"/>
          <w:szCs w:val="24"/>
          <w:lang w:val="en-GB"/>
        </w:rPr>
        <w:t xml:space="preserve"> </w:t>
      </w:r>
      <w:r w:rsidRPr="00BC1ABD">
        <w:rPr>
          <w:rFonts w:cs="Arial"/>
          <w:sz w:val="24"/>
          <w:szCs w:val="24"/>
          <w:lang w:val="en-GB"/>
        </w:rPr>
        <w:t xml:space="preserve">less than 40%. The majority of this population live in settlements with 3 or more </w:t>
      </w:r>
      <w:r w:rsidR="00F026B4">
        <w:rPr>
          <w:rFonts w:cs="Arial"/>
          <w:sz w:val="24"/>
          <w:szCs w:val="24"/>
          <w:lang w:val="en-GB"/>
        </w:rPr>
        <w:t>FTTx</w:t>
      </w:r>
      <w:r w:rsidRPr="00BC1ABD">
        <w:rPr>
          <w:rFonts w:cs="Arial"/>
          <w:sz w:val="24"/>
          <w:szCs w:val="24"/>
          <w:lang w:val="en-GB"/>
        </w:rPr>
        <w:t xml:space="preserve"> network operators.</w:t>
      </w:r>
    </w:p>
    <w:p w14:paraId="6F38EFF6" w14:textId="39FB5CEA"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There is only one settlement in Georgia (with 3 or more </w:t>
      </w:r>
      <w:r w:rsidR="00F026B4">
        <w:rPr>
          <w:rFonts w:cs="Arial"/>
          <w:sz w:val="24"/>
          <w:szCs w:val="24"/>
          <w:lang w:val="en-GB"/>
        </w:rPr>
        <w:t>FTTx</w:t>
      </w:r>
      <w:r w:rsidRPr="00BC1ABD">
        <w:rPr>
          <w:rFonts w:cs="Arial"/>
          <w:sz w:val="24"/>
          <w:szCs w:val="24"/>
          <w:lang w:val="en-GB"/>
        </w:rPr>
        <w:t xml:space="preserve"> network operators) where Magticom is not present. This is a settlement with 328 inhabitants and 35 </w:t>
      </w:r>
      <w:r w:rsidR="00F026B4">
        <w:rPr>
          <w:rFonts w:cs="Arial"/>
          <w:sz w:val="24"/>
          <w:szCs w:val="24"/>
          <w:lang w:val="en-GB"/>
        </w:rPr>
        <w:t>FTTx</w:t>
      </w:r>
      <w:r w:rsidRPr="00BC1ABD">
        <w:rPr>
          <w:rFonts w:cs="Arial"/>
          <w:sz w:val="24"/>
          <w:szCs w:val="24"/>
          <w:lang w:val="en-GB"/>
        </w:rPr>
        <w:t xml:space="preserve"> fixed broadband access subscriptions in total. </w:t>
      </w:r>
    </w:p>
    <w:p w14:paraId="765A949E" w14:textId="2AEA7921"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There are 57 settlements (with a total population of 18,553) where only two </w:t>
      </w:r>
      <w:r w:rsidR="00F026B4">
        <w:rPr>
          <w:rFonts w:cs="Arial"/>
          <w:sz w:val="24"/>
          <w:szCs w:val="24"/>
          <w:lang w:val="en-GB"/>
        </w:rPr>
        <w:t>FTTx</w:t>
      </w:r>
      <w:r w:rsidRPr="00BC1ABD">
        <w:rPr>
          <w:rFonts w:cs="Arial"/>
          <w:sz w:val="24"/>
          <w:szCs w:val="24"/>
          <w:lang w:val="en-GB"/>
        </w:rPr>
        <w:t xml:space="preserve"> network operators are present. These settlements are considered as non-contestable. Only in two out of these 57 settlements Silknet </w:t>
      </w:r>
      <w:r w:rsidR="0065304D">
        <w:rPr>
          <w:rFonts w:cs="Arial"/>
          <w:sz w:val="24"/>
          <w:szCs w:val="24"/>
          <w:lang w:val="en-GB"/>
        </w:rPr>
        <w:t xml:space="preserve">is </w:t>
      </w:r>
      <w:r w:rsidRPr="00BC1ABD">
        <w:rPr>
          <w:rFonts w:cs="Arial"/>
          <w:sz w:val="24"/>
          <w:szCs w:val="24"/>
          <w:lang w:val="en-GB"/>
        </w:rPr>
        <w:t xml:space="preserve">the largest </w:t>
      </w:r>
      <w:r w:rsidR="00F026B4">
        <w:rPr>
          <w:rFonts w:cs="Arial"/>
          <w:sz w:val="24"/>
          <w:szCs w:val="24"/>
          <w:lang w:val="en-GB"/>
        </w:rPr>
        <w:t>FTTx</w:t>
      </w:r>
      <w:r w:rsidRPr="00BC1ABD">
        <w:rPr>
          <w:rFonts w:cs="Arial"/>
          <w:sz w:val="24"/>
          <w:szCs w:val="24"/>
          <w:lang w:val="en-GB"/>
        </w:rPr>
        <w:t xml:space="preserve"> operator. In 32 out of these 57 settlements another operator (not Silknet) is the competitor to Magticom. In 23 of the 32 settlements Skytel is the largest of the two </w:t>
      </w:r>
      <w:r w:rsidR="00F026B4">
        <w:rPr>
          <w:rFonts w:cs="Arial"/>
          <w:sz w:val="24"/>
          <w:szCs w:val="24"/>
          <w:lang w:val="en-GB"/>
        </w:rPr>
        <w:t>FTTx</w:t>
      </w:r>
      <w:r w:rsidRPr="00BC1ABD">
        <w:rPr>
          <w:rFonts w:cs="Arial"/>
          <w:sz w:val="24"/>
          <w:szCs w:val="24"/>
          <w:lang w:val="en-GB"/>
        </w:rPr>
        <w:t xml:space="preserve"> operators present and in one of these 32 settlements </w:t>
      </w:r>
      <w:r w:rsidR="001A02CA">
        <w:rPr>
          <w:rFonts w:cs="Arial"/>
          <w:sz w:val="24"/>
          <w:szCs w:val="24"/>
          <w:lang w:val="en-GB"/>
        </w:rPr>
        <w:t>Akhali Kselebi</w:t>
      </w:r>
      <w:r w:rsidR="006E5529">
        <w:rPr>
          <w:rFonts w:cs="Arial"/>
          <w:sz w:val="24"/>
          <w:szCs w:val="24"/>
          <w:lang w:val="en-GB"/>
        </w:rPr>
        <w:t xml:space="preserve"> </w:t>
      </w:r>
      <w:r w:rsidRPr="00BC1ABD">
        <w:rPr>
          <w:rFonts w:cs="Arial"/>
          <w:sz w:val="24"/>
          <w:szCs w:val="24"/>
          <w:lang w:val="en-GB"/>
        </w:rPr>
        <w:t xml:space="preserve">is the largest operator. Generally in these settlements where only Magticom and a second </w:t>
      </w:r>
      <w:r w:rsidR="00F026B4">
        <w:rPr>
          <w:rFonts w:cs="Arial"/>
          <w:sz w:val="24"/>
          <w:szCs w:val="24"/>
          <w:lang w:val="en-GB"/>
        </w:rPr>
        <w:t>FTTx</w:t>
      </w:r>
      <w:r w:rsidRPr="00BC1ABD">
        <w:rPr>
          <w:rFonts w:cs="Arial"/>
          <w:sz w:val="24"/>
          <w:szCs w:val="24"/>
          <w:lang w:val="en-GB"/>
        </w:rPr>
        <w:t xml:space="preserve"> operator are present, Magticom reported a 100% coverage in terms of premises passed with their </w:t>
      </w:r>
      <w:r w:rsidR="00F026B4">
        <w:rPr>
          <w:rFonts w:cs="Arial"/>
          <w:sz w:val="24"/>
          <w:szCs w:val="24"/>
          <w:lang w:val="en-GB"/>
        </w:rPr>
        <w:t>FTTx</w:t>
      </w:r>
      <w:r w:rsidRPr="00BC1ABD">
        <w:rPr>
          <w:rFonts w:cs="Arial"/>
          <w:sz w:val="24"/>
          <w:szCs w:val="24"/>
          <w:lang w:val="en-GB"/>
        </w:rPr>
        <w:t xml:space="preserve"> network.</w:t>
      </w:r>
      <w:r w:rsidR="001A02CA">
        <w:rPr>
          <w:rFonts w:cs="Arial"/>
          <w:sz w:val="24"/>
          <w:szCs w:val="24"/>
          <w:lang w:val="en-GB"/>
        </w:rPr>
        <w:t xml:space="preserve"> </w:t>
      </w:r>
      <w:r w:rsidRPr="00BC1ABD">
        <w:rPr>
          <w:rFonts w:cs="Arial"/>
          <w:sz w:val="24"/>
          <w:szCs w:val="24"/>
          <w:lang w:val="en-GB"/>
        </w:rPr>
        <w:t xml:space="preserve">In the settlements where there is only one </w:t>
      </w:r>
      <w:r w:rsidR="00F026B4">
        <w:rPr>
          <w:rFonts w:cs="Arial"/>
          <w:sz w:val="24"/>
          <w:szCs w:val="24"/>
          <w:lang w:val="en-GB"/>
        </w:rPr>
        <w:t>FTTx</w:t>
      </w:r>
      <w:r w:rsidRPr="00BC1ABD">
        <w:rPr>
          <w:rFonts w:cs="Arial"/>
          <w:sz w:val="24"/>
          <w:szCs w:val="24"/>
          <w:lang w:val="en-GB"/>
        </w:rPr>
        <w:t xml:space="preserve"> network operator, the second criterion of Magticom having less than 40% </w:t>
      </w:r>
      <w:r w:rsidR="00F026B4">
        <w:rPr>
          <w:rFonts w:cs="Arial"/>
          <w:sz w:val="24"/>
          <w:szCs w:val="24"/>
          <w:lang w:val="en-GB"/>
        </w:rPr>
        <w:t>FTTx</w:t>
      </w:r>
      <w:r w:rsidR="001A02CA">
        <w:rPr>
          <w:rFonts w:cs="Arial"/>
          <w:sz w:val="24"/>
          <w:szCs w:val="24"/>
          <w:lang w:val="en-GB"/>
        </w:rPr>
        <w:t xml:space="preserve"> </w:t>
      </w:r>
      <w:r w:rsidR="00C6116C">
        <w:rPr>
          <w:rFonts w:cs="Arial"/>
          <w:sz w:val="24"/>
          <w:szCs w:val="24"/>
          <w:lang w:val="en-GB"/>
        </w:rPr>
        <w:t xml:space="preserve">share of </w:t>
      </w:r>
      <w:r w:rsidR="00F026B4">
        <w:rPr>
          <w:rFonts w:cs="Arial"/>
          <w:sz w:val="24"/>
          <w:szCs w:val="24"/>
          <w:lang w:val="en-GB"/>
        </w:rPr>
        <w:t>FTTx</w:t>
      </w:r>
      <w:r w:rsidR="00C6116C" w:rsidRPr="00BC1ABD">
        <w:rPr>
          <w:rFonts w:cs="Arial"/>
          <w:sz w:val="24"/>
          <w:szCs w:val="24"/>
          <w:lang w:val="en-GB"/>
        </w:rPr>
        <w:t xml:space="preserve"> broadband access </w:t>
      </w:r>
      <w:r w:rsidR="00C6116C">
        <w:rPr>
          <w:rFonts w:cs="Arial"/>
          <w:sz w:val="24"/>
          <w:szCs w:val="24"/>
          <w:lang w:val="en-GB"/>
        </w:rPr>
        <w:t>users</w:t>
      </w:r>
      <w:r w:rsidR="00C6116C" w:rsidRPr="00BC1ABD" w:rsidDel="007355E2">
        <w:rPr>
          <w:rFonts w:cs="Arial"/>
          <w:sz w:val="24"/>
          <w:szCs w:val="24"/>
          <w:lang w:val="en-GB"/>
        </w:rPr>
        <w:t xml:space="preserve"> </w:t>
      </w:r>
      <w:r w:rsidRPr="00BC1ABD">
        <w:rPr>
          <w:rFonts w:cs="Arial"/>
          <w:sz w:val="24"/>
          <w:szCs w:val="24"/>
          <w:lang w:val="en-GB"/>
        </w:rPr>
        <w:t xml:space="preserve">does not apply because by definition, Magticom is not present. The situation where Magticom is not present, is assessed in Chapter </w:t>
      </w:r>
      <w:r w:rsidR="00974F95">
        <w:rPr>
          <w:rFonts w:cs="Arial"/>
          <w:sz w:val="24"/>
          <w:szCs w:val="24"/>
          <w:lang w:val="en-GB"/>
        </w:rPr>
        <w:t>6</w:t>
      </w:r>
      <w:r w:rsidRPr="00BC1ABD">
        <w:rPr>
          <w:rFonts w:cs="Arial"/>
          <w:sz w:val="24"/>
          <w:szCs w:val="24"/>
          <w:lang w:val="en-GB"/>
        </w:rPr>
        <w:t>.3.3.</w:t>
      </w:r>
    </w:p>
    <w:p w14:paraId="0C04731A" w14:textId="38C5BA0D"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08" w:name="_Toc169258979"/>
      <w:r w:rsidRPr="00F028B0">
        <w:rPr>
          <w:rFonts w:asciiTheme="minorHAnsi" w:hAnsiTheme="minorHAnsi" w:cstheme="minorHAnsi"/>
          <w:b w:val="0"/>
          <w:bCs w:val="0"/>
          <w:sz w:val="24"/>
          <w:szCs w:val="24"/>
          <w:lang w:val="en-GB"/>
        </w:rPr>
        <w:t xml:space="preserve">Criterion iii.: A least two further operators each have a </w:t>
      </w:r>
      <w:r w:rsidR="00C6116C" w:rsidRPr="00AB6EC5">
        <w:rPr>
          <w:rFonts w:asciiTheme="minorHAnsi" w:hAnsiTheme="minorHAnsi" w:cstheme="minorHAnsi"/>
          <w:b w:val="0"/>
          <w:bCs w:val="0"/>
          <w:sz w:val="24"/>
          <w:szCs w:val="24"/>
          <w:lang w:val="en-GB"/>
        </w:rPr>
        <w:t xml:space="preserve">share of </w:t>
      </w:r>
      <w:r w:rsidR="00F026B4">
        <w:rPr>
          <w:rFonts w:asciiTheme="minorHAnsi" w:hAnsiTheme="minorHAnsi" w:cstheme="minorHAnsi"/>
          <w:b w:val="0"/>
          <w:bCs w:val="0"/>
          <w:sz w:val="24"/>
          <w:szCs w:val="24"/>
          <w:lang w:val="en-GB"/>
        </w:rPr>
        <w:t>FTTx</w:t>
      </w:r>
      <w:r w:rsidR="00C6116C" w:rsidRPr="00AB6EC5">
        <w:rPr>
          <w:rFonts w:asciiTheme="minorHAnsi" w:hAnsiTheme="minorHAnsi" w:cstheme="minorHAnsi"/>
          <w:b w:val="0"/>
          <w:bCs w:val="0"/>
          <w:sz w:val="24"/>
          <w:szCs w:val="24"/>
          <w:lang w:val="en-GB"/>
        </w:rPr>
        <w:t xml:space="preserve"> broadband access users</w:t>
      </w:r>
      <w:r w:rsidR="00C6116C" w:rsidRPr="00AB6EC5" w:rsidDel="007355E2">
        <w:rPr>
          <w:rFonts w:asciiTheme="minorHAnsi" w:hAnsiTheme="minorHAnsi" w:cstheme="minorHAnsi"/>
          <w:b w:val="0"/>
          <w:bCs w:val="0"/>
          <w:sz w:val="24"/>
          <w:szCs w:val="24"/>
          <w:lang w:val="en-GB"/>
        </w:rPr>
        <w:t xml:space="preserve"> </w:t>
      </w:r>
      <w:r w:rsidR="00F026B4">
        <w:rPr>
          <w:rFonts w:asciiTheme="minorHAnsi" w:hAnsiTheme="minorHAnsi" w:cstheme="minorHAnsi"/>
          <w:b w:val="0"/>
          <w:bCs w:val="0"/>
          <w:sz w:val="24"/>
          <w:szCs w:val="24"/>
          <w:lang w:val="en-GB"/>
        </w:rPr>
        <w:t>FTTx</w:t>
      </w:r>
      <w:r w:rsidR="001A02CA">
        <w:rPr>
          <w:rFonts w:asciiTheme="minorHAnsi" w:hAnsiTheme="minorHAnsi" w:cstheme="minorHAnsi"/>
          <w:b w:val="0"/>
          <w:bCs w:val="0"/>
          <w:sz w:val="24"/>
          <w:szCs w:val="24"/>
          <w:lang w:val="en-GB"/>
        </w:rPr>
        <w:t xml:space="preserve"> </w:t>
      </w:r>
      <w:r w:rsidRPr="00F028B0">
        <w:rPr>
          <w:rFonts w:asciiTheme="minorHAnsi" w:hAnsiTheme="minorHAnsi" w:cstheme="minorHAnsi"/>
          <w:b w:val="0"/>
          <w:bCs w:val="0"/>
          <w:sz w:val="24"/>
          <w:szCs w:val="24"/>
          <w:lang w:val="en-GB"/>
        </w:rPr>
        <w:t>above 10%</w:t>
      </w:r>
      <w:bookmarkEnd w:id="308"/>
    </w:p>
    <w:p w14:paraId="0863B006" w14:textId="229D20CE" w:rsidR="00957A44"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third criterion requires that in settlements where Magticom is present, there are at least two other operators each with a </w:t>
      </w:r>
      <w:r w:rsidR="00C6116C">
        <w:rPr>
          <w:rFonts w:cs="Arial"/>
          <w:sz w:val="24"/>
          <w:szCs w:val="24"/>
          <w:lang w:val="en-GB"/>
        </w:rPr>
        <w:t xml:space="preserve">share of </w:t>
      </w:r>
      <w:r w:rsidR="00F026B4">
        <w:rPr>
          <w:rFonts w:cs="Arial"/>
          <w:sz w:val="24"/>
          <w:szCs w:val="24"/>
          <w:lang w:val="en-GB"/>
        </w:rPr>
        <w:t>FTTx</w:t>
      </w:r>
      <w:r w:rsidR="00C6116C" w:rsidRPr="00BC1ABD">
        <w:rPr>
          <w:rFonts w:cs="Arial"/>
          <w:sz w:val="24"/>
          <w:szCs w:val="24"/>
          <w:lang w:val="en-GB"/>
        </w:rPr>
        <w:t xml:space="preserve"> </w:t>
      </w:r>
      <w:r w:rsidR="00C6116C">
        <w:rPr>
          <w:rFonts w:cs="Arial"/>
          <w:sz w:val="24"/>
          <w:szCs w:val="24"/>
          <w:lang w:val="en-GB"/>
        </w:rPr>
        <w:t xml:space="preserve">retail </w:t>
      </w:r>
      <w:r w:rsidR="00C6116C" w:rsidRPr="00BC1ABD">
        <w:rPr>
          <w:rFonts w:cs="Arial"/>
          <w:sz w:val="24"/>
          <w:szCs w:val="24"/>
          <w:lang w:val="en-GB"/>
        </w:rPr>
        <w:t xml:space="preserve">broadband access </w:t>
      </w:r>
      <w:r w:rsidR="00C6116C">
        <w:rPr>
          <w:rFonts w:cs="Arial"/>
          <w:sz w:val="24"/>
          <w:szCs w:val="24"/>
          <w:lang w:val="en-GB"/>
        </w:rPr>
        <w:t>users</w:t>
      </w:r>
      <w:r w:rsidR="00C6116C" w:rsidRPr="00BC1ABD" w:rsidDel="007355E2">
        <w:rPr>
          <w:rFonts w:cs="Arial"/>
          <w:sz w:val="24"/>
          <w:szCs w:val="24"/>
          <w:lang w:val="en-GB"/>
        </w:rPr>
        <w:t xml:space="preserve"> </w:t>
      </w:r>
      <w:r w:rsidR="00F026B4">
        <w:rPr>
          <w:rFonts w:cs="Arial"/>
          <w:sz w:val="24"/>
          <w:szCs w:val="24"/>
          <w:lang w:val="en-GB"/>
        </w:rPr>
        <w:t>FTTx</w:t>
      </w:r>
      <w:r w:rsidR="00B134C3">
        <w:rPr>
          <w:rFonts w:cs="Arial"/>
          <w:sz w:val="24"/>
          <w:szCs w:val="24"/>
          <w:lang w:val="en-GB"/>
        </w:rPr>
        <w:t xml:space="preserve"> </w:t>
      </w:r>
      <w:r w:rsidRPr="00BC1ABD">
        <w:rPr>
          <w:rFonts w:cs="Arial"/>
          <w:sz w:val="24"/>
          <w:szCs w:val="24"/>
          <w:lang w:val="en-GB"/>
        </w:rPr>
        <w:t xml:space="preserve">of at least 10%. This criterion therefore could apply to a settlement with three </w:t>
      </w:r>
      <w:r w:rsidR="00F026B4">
        <w:rPr>
          <w:rFonts w:cs="Arial"/>
          <w:sz w:val="24"/>
          <w:szCs w:val="24"/>
          <w:lang w:val="en-GB"/>
        </w:rPr>
        <w:t>FTTx</w:t>
      </w:r>
      <w:r w:rsidRPr="00BC1ABD">
        <w:rPr>
          <w:rFonts w:cs="Arial"/>
          <w:sz w:val="24"/>
          <w:szCs w:val="24"/>
          <w:lang w:val="en-GB"/>
        </w:rPr>
        <w:t xml:space="preserve"> network operators including Magticom (for example </w:t>
      </w:r>
      <w:r w:rsidRPr="00852C30">
        <w:rPr>
          <w:rFonts w:cs="Arial"/>
          <w:sz w:val="24"/>
          <w:szCs w:val="24"/>
          <w:highlight w:val="yellow"/>
          <w:lang w:val="en-GB"/>
        </w:rPr>
        <w:t>1</w:t>
      </w:r>
      <w:r w:rsidR="00301650" w:rsidRPr="00852C30">
        <w:rPr>
          <w:rFonts w:cs="Arial"/>
          <w:sz w:val="24"/>
          <w:szCs w:val="24"/>
          <w:highlight w:val="yellow"/>
          <w:lang w:val="en-GB"/>
        </w:rPr>
        <w:t>0</w:t>
      </w:r>
      <w:r w:rsidRPr="00852C30">
        <w:rPr>
          <w:rFonts w:cs="Arial"/>
          <w:sz w:val="24"/>
          <w:szCs w:val="24"/>
          <w:highlight w:val="yellow"/>
          <w:lang w:val="en-GB"/>
        </w:rPr>
        <w:t>%. 1</w:t>
      </w:r>
      <w:r w:rsidR="00301650" w:rsidRPr="00852C30">
        <w:rPr>
          <w:rFonts w:cs="Arial"/>
          <w:sz w:val="24"/>
          <w:szCs w:val="24"/>
          <w:highlight w:val="yellow"/>
          <w:lang w:val="en-GB"/>
        </w:rPr>
        <w:t>0</w:t>
      </w:r>
      <w:r w:rsidRPr="00852C30">
        <w:rPr>
          <w:rFonts w:cs="Arial"/>
          <w:sz w:val="24"/>
          <w:szCs w:val="24"/>
          <w:highlight w:val="yellow"/>
          <w:lang w:val="en-GB"/>
        </w:rPr>
        <w:t>%, 8</w:t>
      </w:r>
      <w:r w:rsidR="00301650" w:rsidRPr="00852C30">
        <w:rPr>
          <w:rFonts w:cs="Arial"/>
          <w:sz w:val="24"/>
          <w:szCs w:val="24"/>
          <w:highlight w:val="yellow"/>
          <w:lang w:val="en-GB"/>
        </w:rPr>
        <w:t>0</w:t>
      </w:r>
      <w:r w:rsidRPr="00852C30">
        <w:rPr>
          <w:rFonts w:cs="Arial"/>
          <w:sz w:val="24"/>
          <w:szCs w:val="24"/>
          <w:highlight w:val="yellow"/>
          <w:lang w:val="en-GB"/>
        </w:rPr>
        <w:t>%)</w:t>
      </w:r>
      <w:r w:rsidRPr="00BC1ABD">
        <w:rPr>
          <w:rFonts w:cs="Arial"/>
          <w:sz w:val="24"/>
          <w:szCs w:val="24"/>
          <w:lang w:val="en-GB"/>
        </w:rPr>
        <w:t xml:space="preserve"> and also settlements with only two </w:t>
      </w:r>
      <w:r w:rsidR="00F026B4">
        <w:rPr>
          <w:rFonts w:cs="Arial"/>
          <w:sz w:val="24"/>
          <w:szCs w:val="24"/>
          <w:lang w:val="en-GB"/>
        </w:rPr>
        <w:t>FTTx</w:t>
      </w:r>
      <w:r w:rsidRPr="00BC1ABD">
        <w:rPr>
          <w:rFonts w:cs="Arial"/>
          <w:sz w:val="24"/>
          <w:szCs w:val="24"/>
          <w:lang w:val="en-GB"/>
        </w:rPr>
        <w:t xml:space="preserve"> operators and Magticom is not present (for example 50%, 50%). However, there are only 10 settlements with only two </w:t>
      </w:r>
      <w:r w:rsidR="00F026B4">
        <w:rPr>
          <w:rFonts w:cs="Arial"/>
          <w:sz w:val="24"/>
          <w:szCs w:val="24"/>
          <w:lang w:val="en-GB"/>
        </w:rPr>
        <w:t>FTTx</w:t>
      </w:r>
      <w:r w:rsidRPr="00BC1ABD">
        <w:rPr>
          <w:rFonts w:cs="Arial"/>
          <w:sz w:val="24"/>
          <w:szCs w:val="24"/>
          <w:lang w:val="en-GB"/>
        </w:rPr>
        <w:t xml:space="preserve"> operators and Magticom not present, with 6,097 population </w:t>
      </w:r>
      <w:r w:rsidRPr="00957A44">
        <w:rPr>
          <w:rFonts w:cs="Arial"/>
          <w:sz w:val="24"/>
          <w:szCs w:val="24"/>
          <w:lang w:val="en-GB"/>
        </w:rPr>
        <w:t xml:space="preserve">(see Figure </w:t>
      </w:r>
      <w:r w:rsidRPr="00957A44">
        <w:rPr>
          <w:sz w:val="24"/>
          <w:lang w:val="en-GB"/>
        </w:rPr>
        <w:t>6</w:t>
      </w:r>
      <w:r w:rsidR="00080335">
        <w:rPr>
          <w:sz w:val="24"/>
          <w:lang w:val="en-GB"/>
        </w:rPr>
        <w:t>1</w:t>
      </w:r>
      <w:r w:rsidRPr="00957A44">
        <w:rPr>
          <w:rFonts w:cs="Arial"/>
          <w:sz w:val="24"/>
          <w:szCs w:val="24"/>
          <w:lang w:val="en-GB"/>
        </w:rPr>
        <w:t>).</w:t>
      </w:r>
    </w:p>
    <w:p w14:paraId="6E999678" w14:textId="74C8FC70" w:rsidR="00A0244C" w:rsidRPr="00BC1ABD" w:rsidRDefault="00A0244C" w:rsidP="00A0244C">
      <w:pPr>
        <w:pStyle w:val="Caption"/>
        <w:jc w:val="center"/>
        <w:rPr>
          <w:rFonts w:cs="Arial"/>
          <w:b/>
          <w:sz w:val="24"/>
          <w:szCs w:val="24"/>
          <w:lang w:val="en-GB"/>
        </w:rPr>
      </w:pPr>
      <w:bookmarkStart w:id="309" w:name="_Toc152931412"/>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61</w:t>
      </w:r>
      <w:r w:rsidRPr="00BC1ABD">
        <w:rPr>
          <w:lang w:val="en-GB"/>
        </w:rPr>
        <w:fldChar w:fldCharType="end"/>
      </w:r>
      <w:r w:rsidRPr="00BC1ABD">
        <w:rPr>
          <w:lang w:val="en-GB"/>
        </w:rPr>
        <w:t xml:space="preserve">: Summary of settlements with at least two other </w:t>
      </w:r>
      <w:r w:rsidR="00F026B4">
        <w:rPr>
          <w:lang w:val="en-GB"/>
        </w:rPr>
        <w:t>FTTx</w:t>
      </w:r>
      <w:r w:rsidRPr="00BC1ABD">
        <w:rPr>
          <w:lang w:val="en-GB"/>
        </w:rPr>
        <w:t xml:space="preserve"> network operators present and both with a</w:t>
      </w:r>
      <w:r w:rsidR="007355E2">
        <w:rPr>
          <w:lang w:val="en-GB"/>
        </w:rPr>
        <w:t xml:space="preserve"> </w:t>
      </w:r>
      <w:r w:rsidR="007355E2" w:rsidRPr="007355E2">
        <w:rPr>
          <w:lang w:val="en-GB"/>
        </w:rPr>
        <w:t xml:space="preserve">share of </w:t>
      </w:r>
      <w:r w:rsidR="00F026B4">
        <w:rPr>
          <w:lang w:val="en-GB"/>
        </w:rPr>
        <w:t>FTTx</w:t>
      </w:r>
      <w:r w:rsidR="007355E2" w:rsidRPr="007355E2">
        <w:rPr>
          <w:lang w:val="en-GB"/>
        </w:rPr>
        <w:t xml:space="preserve"> broadband</w:t>
      </w:r>
      <w:r w:rsidR="007355E2" w:rsidRPr="007355E2" w:rsidDel="007355E2">
        <w:rPr>
          <w:lang w:val="en-GB"/>
        </w:rPr>
        <w:t xml:space="preserve"> </w:t>
      </w:r>
      <w:r w:rsidR="00F026B4">
        <w:rPr>
          <w:lang w:val="en-GB"/>
        </w:rPr>
        <w:t>FTTx</w:t>
      </w:r>
      <w:r w:rsidR="00B134C3">
        <w:rPr>
          <w:lang w:val="en-GB"/>
        </w:rPr>
        <w:t xml:space="preserve"> </w:t>
      </w:r>
      <w:r w:rsidRPr="00BC1ABD">
        <w:rPr>
          <w:lang w:val="en-GB"/>
        </w:rPr>
        <w:t>of 10% or more</w:t>
      </w:r>
      <w:bookmarkEnd w:id="309"/>
    </w:p>
    <w:tbl>
      <w:tblPr>
        <w:tblW w:w="10710" w:type="dxa"/>
        <w:tblInd w:w="-820" w:type="dxa"/>
        <w:tblCellMar>
          <w:left w:w="70" w:type="dxa"/>
          <w:right w:w="70" w:type="dxa"/>
        </w:tblCellMar>
        <w:tblLook w:val="04A0" w:firstRow="1" w:lastRow="0" w:firstColumn="1" w:lastColumn="0" w:noHBand="0" w:noVBand="1"/>
      </w:tblPr>
      <w:tblGrid>
        <w:gridCol w:w="954"/>
        <w:gridCol w:w="1129"/>
        <w:gridCol w:w="1113"/>
        <w:gridCol w:w="1094"/>
        <w:gridCol w:w="1050"/>
        <w:gridCol w:w="1254"/>
        <w:gridCol w:w="1416"/>
        <w:gridCol w:w="1530"/>
        <w:gridCol w:w="1170"/>
      </w:tblGrid>
      <w:tr w:rsidR="00A0244C" w:rsidRPr="00BC1ABD" w14:paraId="1B3B7150" w14:textId="77777777" w:rsidTr="00E82B0B">
        <w:trPr>
          <w:trHeight w:val="1035"/>
        </w:trPr>
        <w:tc>
          <w:tcPr>
            <w:tcW w:w="954" w:type="dxa"/>
            <w:tcBorders>
              <w:top w:val="single" w:sz="8" w:space="0" w:color="auto"/>
              <w:left w:val="single" w:sz="8" w:space="0" w:color="auto"/>
              <w:bottom w:val="single" w:sz="8" w:space="0" w:color="auto"/>
              <w:right w:val="single" w:sz="8" w:space="0" w:color="auto"/>
            </w:tcBorders>
            <w:shd w:val="clear" w:color="000000" w:fill="5B9BD5"/>
            <w:vAlign w:val="center"/>
            <w:hideMark/>
          </w:tcPr>
          <w:p w14:paraId="152E718F"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No of operators</w:t>
            </w:r>
          </w:p>
        </w:tc>
        <w:tc>
          <w:tcPr>
            <w:tcW w:w="1129" w:type="dxa"/>
            <w:tcBorders>
              <w:top w:val="single" w:sz="8" w:space="0" w:color="auto"/>
              <w:left w:val="nil"/>
              <w:bottom w:val="single" w:sz="8" w:space="0" w:color="auto"/>
              <w:right w:val="single" w:sz="8" w:space="0" w:color="auto"/>
            </w:tcBorders>
            <w:shd w:val="clear" w:color="000000" w:fill="5B9BD5"/>
            <w:vAlign w:val="center"/>
            <w:hideMark/>
          </w:tcPr>
          <w:p w14:paraId="31C72715"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settlements </w:t>
            </w:r>
          </w:p>
        </w:tc>
        <w:tc>
          <w:tcPr>
            <w:tcW w:w="1113" w:type="dxa"/>
            <w:tcBorders>
              <w:top w:val="single" w:sz="8" w:space="0" w:color="auto"/>
              <w:left w:val="nil"/>
              <w:bottom w:val="single" w:sz="8" w:space="0" w:color="auto"/>
              <w:right w:val="single" w:sz="8" w:space="0" w:color="auto"/>
            </w:tcBorders>
            <w:shd w:val="clear" w:color="000000" w:fill="5B9BD5"/>
            <w:vAlign w:val="center"/>
            <w:hideMark/>
          </w:tcPr>
          <w:p w14:paraId="403329F2"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No of Households </w:t>
            </w:r>
          </w:p>
        </w:tc>
        <w:tc>
          <w:tcPr>
            <w:tcW w:w="1094" w:type="dxa"/>
            <w:tcBorders>
              <w:top w:val="single" w:sz="8" w:space="0" w:color="auto"/>
              <w:left w:val="nil"/>
              <w:bottom w:val="single" w:sz="8" w:space="0" w:color="auto"/>
              <w:right w:val="single" w:sz="8" w:space="0" w:color="auto"/>
            </w:tcBorders>
            <w:shd w:val="clear" w:color="000000" w:fill="5B9BD5"/>
            <w:vAlign w:val="center"/>
            <w:hideMark/>
          </w:tcPr>
          <w:p w14:paraId="05DCF02D"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 of total households </w:t>
            </w:r>
          </w:p>
        </w:tc>
        <w:tc>
          <w:tcPr>
            <w:tcW w:w="1050" w:type="dxa"/>
            <w:tcBorders>
              <w:top w:val="single" w:sz="8" w:space="0" w:color="auto"/>
              <w:left w:val="nil"/>
              <w:bottom w:val="single" w:sz="8" w:space="0" w:color="auto"/>
              <w:right w:val="single" w:sz="8" w:space="0" w:color="auto"/>
            </w:tcBorders>
            <w:shd w:val="clear" w:color="000000" w:fill="5B9BD5"/>
            <w:vAlign w:val="center"/>
            <w:hideMark/>
          </w:tcPr>
          <w:p w14:paraId="07F697DD"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 xml:space="preserve">Population </w:t>
            </w:r>
          </w:p>
        </w:tc>
        <w:tc>
          <w:tcPr>
            <w:tcW w:w="1254" w:type="dxa"/>
            <w:tcBorders>
              <w:top w:val="single" w:sz="8" w:space="0" w:color="auto"/>
              <w:left w:val="nil"/>
              <w:bottom w:val="single" w:sz="8" w:space="0" w:color="auto"/>
              <w:right w:val="single" w:sz="8" w:space="0" w:color="auto"/>
            </w:tcBorders>
            <w:shd w:val="clear" w:color="000000" w:fill="5B9BD5"/>
            <w:vAlign w:val="center"/>
            <w:hideMark/>
          </w:tcPr>
          <w:p w14:paraId="1A2C9E87" w14:textId="6DBC98E6"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Pr="00BC1ABD">
              <w:rPr>
                <w:rFonts w:eastAsia="Times New Roman" w:cs="Calibri"/>
                <w:b/>
                <w:bCs/>
                <w:color w:val="000000"/>
                <w:sz w:val="20"/>
                <w:szCs w:val="20"/>
                <w:lang w:val="en-GB" w:eastAsia="sl-SI"/>
              </w:rPr>
              <w:t>all operators</w:t>
            </w:r>
          </w:p>
        </w:tc>
        <w:tc>
          <w:tcPr>
            <w:tcW w:w="1416" w:type="dxa"/>
            <w:tcBorders>
              <w:top w:val="single" w:sz="8" w:space="0" w:color="auto"/>
              <w:left w:val="nil"/>
              <w:bottom w:val="single" w:sz="8" w:space="0" w:color="auto"/>
              <w:right w:val="single" w:sz="8" w:space="0" w:color="auto"/>
            </w:tcBorders>
            <w:shd w:val="clear" w:color="000000" w:fill="5B9BD5"/>
            <w:vAlign w:val="center"/>
            <w:hideMark/>
          </w:tcPr>
          <w:p w14:paraId="3AAE91C1" w14:textId="53FBBB9F" w:rsidR="00A0244C" w:rsidRPr="00BC1ABD" w:rsidRDefault="00A0244C" w:rsidP="00670CD8">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Subscriptions</w:t>
            </w:r>
            <w:r w:rsidR="00195B2F">
              <w:rPr>
                <w:rFonts w:eastAsia="Times New Roman" w:cs="Calibri"/>
                <w:b/>
                <w:bCs/>
                <w:color w:val="000000"/>
                <w:sz w:val="20"/>
                <w:szCs w:val="20"/>
                <w:lang w:val="en-GB" w:eastAsia="sl-SI"/>
              </w:rPr>
              <w:t xml:space="preserve"> </w:t>
            </w:r>
            <w:r w:rsidRPr="00BC1ABD">
              <w:rPr>
                <w:rFonts w:eastAsia="Times New Roman" w:cs="Calibri"/>
                <w:b/>
                <w:bCs/>
                <w:color w:val="000000"/>
                <w:sz w:val="20"/>
                <w:szCs w:val="20"/>
                <w:lang w:val="en-GB" w:eastAsia="sl-SI"/>
              </w:rPr>
              <w:t>Magticom</w:t>
            </w:r>
          </w:p>
        </w:tc>
        <w:tc>
          <w:tcPr>
            <w:tcW w:w="1530" w:type="dxa"/>
            <w:tcBorders>
              <w:top w:val="single" w:sz="8" w:space="0" w:color="auto"/>
              <w:left w:val="nil"/>
              <w:bottom w:val="single" w:sz="8" w:space="0" w:color="auto"/>
              <w:right w:val="single" w:sz="8" w:space="0" w:color="auto"/>
            </w:tcBorders>
            <w:shd w:val="clear" w:color="000000" w:fill="5B9BD5"/>
            <w:vAlign w:val="center"/>
            <w:hideMark/>
          </w:tcPr>
          <w:p w14:paraId="561A6CE2"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all operators</w:t>
            </w:r>
          </w:p>
        </w:tc>
        <w:tc>
          <w:tcPr>
            <w:tcW w:w="1170" w:type="dxa"/>
            <w:tcBorders>
              <w:top w:val="single" w:sz="8" w:space="0" w:color="auto"/>
              <w:left w:val="nil"/>
              <w:bottom w:val="single" w:sz="8" w:space="0" w:color="auto"/>
              <w:right w:val="single" w:sz="8" w:space="0" w:color="auto"/>
            </w:tcBorders>
            <w:shd w:val="clear" w:color="000000" w:fill="5B9BD5"/>
            <w:vAlign w:val="center"/>
            <w:hideMark/>
          </w:tcPr>
          <w:p w14:paraId="4ECFF6CA" w14:textId="77777777" w:rsidR="00A0244C" w:rsidRPr="00BC1ABD" w:rsidRDefault="00A0244C" w:rsidP="007354E3">
            <w:pPr>
              <w:spacing w:after="0" w:line="240" w:lineRule="auto"/>
              <w:jc w:val="center"/>
              <w:rPr>
                <w:rFonts w:eastAsia="Times New Roman" w:cs="Calibri"/>
                <w:b/>
                <w:bCs/>
                <w:color w:val="000000"/>
                <w:sz w:val="20"/>
                <w:szCs w:val="20"/>
                <w:lang w:val="en-GB" w:eastAsia="sl-SI"/>
              </w:rPr>
            </w:pPr>
            <w:r w:rsidRPr="00BC1ABD">
              <w:rPr>
                <w:rFonts w:eastAsia="Times New Roman" w:cs="Calibri"/>
                <w:b/>
                <w:bCs/>
                <w:color w:val="000000"/>
                <w:sz w:val="20"/>
                <w:szCs w:val="20"/>
                <w:lang w:val="en-GB" w:eastAsia="sl-SI"/>
              </w:rPr>
              <w:t>Premises passed Magticom</w:t>
            </w:r>
          </w:p>
        </w:tc>
      </w:tr>
      <w:tr w:rsidR="00A0244C" w:rsidRPr="00BC1ABD" w14:paraId="3FDA7A3D" w14:textId="77777777" w:rsidTr="00E82B0B">
        <w:trPr>
          <w:trHeight w:val="300"/>
        </w:trPr>
        <w:tc>
          <w:tcPr>
            <w:tcW w:w="954" w:type="dxa"/>
            <w:tcBorders>
              <w:top w:val="nil"/>
              <w:left w:val="single" w:sz="8" w:space="0" w:color="auto"/>
              <w:bottom w:val="single" w:sz="4" w:space="0" w:color="auto"/>
              <w:right w:val="single" w:sz="4" w:space="0" w:color="auto"/>
            </w:tcBorders>
            <w:shd w:val="clear" w:color="auto" w:fill="auto"/>
            <w:noWrap/>
            <w:vAlign w:val="bottom"/>
            <w:hideMark/>
          </w:tcPr>
          <w:p w14:paraId="5276B9F1"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5</w:t>
            </w:r>
          </w:p>
        </w:tc>
        <w:tc>
          <w:tcPr>
            <w:tcW w:w="1129" w:type="dxa"/>
            <w:tcBorders>
              <w:top w:val="nil"/>
              <w:left w:val="nil"/>
              <w:bottom w:val="single" w:sz="4" w:space="0" w:color="auto"/>
              <w:right w:val="single" w:sz="4" w:space="0" w:color="auto"/>
            </w:tcBorders>
            <w:shd w:val="clear" w:color="auto" w:fill="auto"/>
            <w:noWrap/>
            <w:vAlign w:val="bottom"/>
            <w:hideMark/>
          </w:tcPr>
          <w:p w14:paraId="2FC82F0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w:t>
            </w:r>
          </w:p>
        </w:tc>
        <w:tc>
          <w:tcPr>
            <w:tcW w:w="1113" w:type="dxa"/>
            <w:tcBorders>
              <w:top w:val="nil"/>
              <w:left w:val="nil"/>
              <w:bottom w:val="single" w:sz="4" w:space="0" w:color="auto"/>
              <w:right w:val="single" w:sz="4" w:space="0" w:color="auto"/>
            </w:tcBorders>
            <w:shd w:val="clear" w:color="auto" w:fill="auto"/>
            <w:noWrap/>
            <w:vAlign w:val="bottom"/>
            <w:hideMark/>
          </w:tcPr>
          <w:p w14:paraId="2DC0657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45,249</w:t>
            </w:r>
          </w:p>
        </w:tc>
        <w:tc>
          <w:tcPr>
            <w:tcW w:w="1094" w:type="dxa"/>
            <w:tcBorders>
              <w:top w:val="nil"/>
              <w:left w:val="nil"/>
              <w:bottom w:val="single" w:sz="4" w:space="0" w:color="auto"/>
              <w:right w:val="single" w:sz="4" w:space="0" w:color="auto"/>
            </w:tcBorders>
            <w:shd w:val="clear" w:color="auto" w:fill="auto"/>
            <w:noWrap/>
            <w:vAlign w:val="bottom"/>
            <w:hideMark/>
          </w:tcPr>
          <w:p w14:paraId="4901B59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3.6%</w:t>
            </w:r>
          </w:p>
        </w:tc>
        <w:tc>
          <w:tcPr>
            <w:tcW w:w="1050" w:type="dxa"/>
            <w:tcBorders>
              <w:top w:val="nil"/>
              <w:left w:val="nil"/>
              <w:bottom w:val="single" w:sz="4" w:space="0" w:color="auto"/>
              <w:right w:val="single" w:sz="4" w:space="0" w:color="auto"/>
            </w:tcBorders>
            <w:shd w:val="clear" w:color="auto" w:fill="auto"/>
            <w:noWrap/>
            <w:vAlign w:val="bottom"/>
            <w:hideMark/>
          </w:tcPr>
          <w:p w14:paraId="619F30A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147,635</w:t>
            </w:r>
          </w:p>
        </w:tc>
        <w:tc>
          <w:tcPr>
            <w:tcW w:w="1254" w:type="dxa"/>
            <w:tcBorders>
              <w:top w:val="nil"/>
              <w:left w:val="nil"/>
              <w:bottom w:val="single" w:sz="4" w:space="0" w:color="auto"/>
              <w:right w:val="single" w:sz="4" w:space="0" w:color="auto"/>
            </w:tcBorders>
            <w:shd w:val="clear" w:color="auto" w:fill="auto"/>
            <w:noWrap/>
            <w:vAlign w:val="bottom"/>
            <w:hideMark/>
          </w:tcPr>
          <w:p w14:paraId="331A3A4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44,049</w:t>
            </w:r>
          </w:p>
        </w:tc>
        <w:tc>
          <w:tcPr>
            <w:tcW w:w="1416" w:type="dxa"/>
            <w:tcBorders>
              <w:top w:val="nil"/>
              <w:left w:val="nil"/>
              <w:bottom w:val="single" w:sz="4" w:space="0" w:color="auto"/>
              <w:right w:val="single" w:sz="4" w:space="0" w:color="auto"/>
            </w:tcBorders>
            <w:shd w:val="clear" w:color="auto" w:fill="auto"/>
            <w:noWrap/>
            <w:vAlign w:val="bottom"/>
            <w:hideMark/>
          </w:tcPr>
          <w:p w14:paraId="1039A35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16,707</w:t>
            </w:r>
          </w:p>
        </w:tc>
        <w:tc>
          <w:tcPr>
            <w:tcW w:w="1530" w:type="dxa"/>
            <w:tcBorders>
              <w:top w:val="nil"/>
              <w:left w:val="nil"/>
              <w:bottom w:val="single" w:sz="4" w:space="0" w:color="auto"/>
              <w:right w:val="single" w:sz="4" w:space="0" w:color="auto"/>
            </w:tcBorders>
            <w:shd w:val="clear" w:color="auto" w:fill="auto"/>
            <w:noWrap/>
            <w:vAlign w:val="bottom"/>
            <w:hideMark/>
          </w:tcPr>
          <w:p w14:paraId="0E3AE36C"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110,507</w:t>
            </w:r>
          </w:p>
        </w:tc>
        <w:tc>
          <w:tcPr>
            <w:tcW w:w="1170" w:type="dxa"/>
            <w:tcBorders>
              <w:top w:val="nil"/>
              <w:left w:val="nil"/>
              <w:bottom w:val="single" w:sz="4" w:space="0" w:color="auto"/>
              <w:right w:val="single" w:sz="8" w:space="0" w:color="auto"/>
            </w:tcBorders>
            <w:shd w:val="clear" w:color="auto" w:fill="auto"/>
            <w:noWrap/>
            <w:vAlign w:val="bottom"/>
            <w:hideMark/>
          </w:tcPr>
          <w:p w14:paraId="043351EC"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60,296</w:t>
            </w:r>
          </w:p>
        </w:tc>
      </w:tr>
      <w:tr w:rsidR="00A0244C" w:rsidRPr="00BC1ABD" w14:paraId="5F7CE3A8" w14:textId="77777777" w:rsidTr="00E82B0B">
        <w:trPr>
          <w:trHeight w:val="300"/>
        </w:trPr>
        <w:tc>
          <w:tcPr>
            <w:tcW w:w="954" w:type="dxa"/>
            <w:tcBorders>
              <w:top w:val="nil"/>
              <w:left w:val="single" w:sz="8" w:space="0" w:color="auto"/>
              <w:bottom w:val="single" w:sz="4" w:space="0" w:color="auto"/>
              <w:right w:val="single" w:sz="4" w:space="0" w:color="auto"/>
            </w:tcBorders>
            <w:shd w:val="clear" w:color="auto" w:fill="auto"/>
            <w:noWrap/>
            <w:vAlign w:val="bottom"/>
            <w:hideMark/>
          </w:tcPr>
          <w:p w14:paraId="3B905625"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4</w:t>
            </w:r>
          </w:p>
        </w:tc>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45971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w:t>
            </w:r>
          </w:p>
        </w:tc>
        <w:tc>
          <w:tcPr>
            <w:tcW w:w="1113" w:type="dxa"/>
            <w:tcBorders>
              <w:top w:val="single" w:sz="4" w:space="0" w:color="auto"/>
              <w:left w:val="nil"/>
              <w:bottom w:val="single" w:sz="4" w:space="0" w:color="auto"/>
              <w:right w:val="single" w:sz="4" w:space="0" w:color="auto"/>
            </w:tcBorders>
            <w:shd w:val="clear" w:color="auto" w:fill="auto"/>
            <w:noWrap/>
            <w:vAlign w:val="bottom"/>
            <w:hideMark/>
          </w:tcPr>
          <w:p w14:paraId="27C147E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59,429</w:t>
            </w:r>
          </w:p>
        </w:tc>
        <w:tc>
          <w:tcPr>
            <w:tcW w:w="1094" w:type="dxa"/>
            <w:tcBorders>
              <w:top w:val="single" w:sz="4" w:space="0" w:color="auto"/>
              <w:left w:val="nil"/>
              <w:bottom w:val="single" w:sz="4" w:space="0" w:color="auto"/>
              <w:right w:val="single" w:sz="4" w:space="0" w:color="auto"/>
            </w:tcBorders>
            <w:shd w:val="clear" w:color="auto" w:fill="auto"/>
            <w:noWrap/>
            <w:vAlign w:val="bottom"/>
            <w:hideMark/>
          </w:tcPr>
          <w:p w14:paraId="3CF07C3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4.7%</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14:paraId="70DA9AF4"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197,210</w:t>
            </w: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14:paraId="0D77735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69,260</w:t>
            </w:r>
          </w:p>
        </w:tc>
        <w:tc>
          <w:tcPr>
            <w:tcW w:w="1416" w:type="dxa"/>
            <w:tcBorders>
              <w:top w:val="single" w:sz="4" w:space="0" w:color="auto"/>
              <w:left w:val="nil"/>
              <w:bottom w:val="single" w:sz="4" w:space="0" w:color="auto"/>
              <w:right w:val="single" w:sz="4" w:space="0" w:color="auto"/>
            </w:tcBorders>
            <w:shd w:val="clear" w:color="auto" w:fill="auto"/>
            <w:noWrap/>
            <w:vAlign w:val="bottom"/>
            <w:hideMark/>
          </w:tcPr>
          <w:p w14:paraId="3A9064E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19,642</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507C211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213,797</w:t>
            </w:r>
          </w:p>
        </w:tc>
        <w:tc>
          <w:tcPr>
            <w:tcW w:w="1170" w:type="dxa"/>
            <w:tcBorders>
              <w:top w:val="nil"/>
              <w:left w:val="single" w:sz="4" w:space="0" w:color="auto"/>
              <w:bottom w:val="single" w:sz="4" w:space="0" w:color="auto"/>
              <w:right w:val="single" w:sz="8" w:space="0" w:color="auto"/>
            </w:tcBorders>
            <w:shd w:val="clear" w:color="auto" w:fill="auto"/>
            <w:noWrap/>
            <w:vAlign w:val="bottom"/>
            <w:hideMark/>
          </w:tcPr>
          <w:p w14:paraId="450EAFD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73,668</w:t>
            </w:r>
          </w:p>
        </w:tc>
      </w:tr>
      <w:tr w:rsidR="00A0244C" w:rsidRPr="00BC1ABD" w14:paraId="6FE6AA4F" w14:textId="77777777" w:rsidTr="00E82B0B">
        <w:trPr>
          <w:trHeight w:val="300"/>
        </w:trPr>
        <w:tc>
          <w:tcPr>
            <w:tcW w:w="954" w:type="dxa"/>
            <w:tcBorders>
              <w:top w:val="nil"/>
              <w:left w:val="single" w:sz="8" w:space="0" w:color="auto"/>
              <w:bottom w:val="single" w:sz="4" w:space="0" w:color="auto"/>
              <w:right w:val="single" w:sz="4" w:space="0" w:color="auto"/>
            </w:tcBorders>
            <w:shd w:val="clear" w:color="auto" w:fill="auto"/>
            <w:noWrap/>
            <w:vAlign w:val="bottom"/>
            <w:hideMark/>
          </w:tcPr>
          <w:p w14:paraId="55369D57"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3</w:t>
            </w:r>
          </w:p>
        </w:tc>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B3EEF5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11</w:t>
            </w:r>
          </w:p>
        </w:tc>
        <w:tc>
          <w:tcPr>
            <w:tcW w:w="1113" w:type="dxa"/>
            <w:tcBorders>
              <w:top w:val="nil"/>
              <w:left w:val="nil"/>
              <w:bottom w:val="single" w:sz="4" w:space="0" w:color="auto"/>
              <w:right w:val="single" w:sz="4" w:space="0" w:color="auto"/>
            </w:tcBorders>
            <w:shd w:val="clear" w:color="auto" w:fill="auto"/>
            <w:noWrap/>
            <w:vAlign w:val="bottom"/>
            <w:hideMark/>
          </w:tcPr>
          <w:p w14:paraId="2871BE0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19,526</w:t>
            </w:r>
          </w:p>
        </w:tc>
        <w:tc>
          <w:tcPr>
            <w:tcW w:w="1094" w:type="dxa"/>
            <w:tcBorders>
              <w:top w:val="nil"/>
              <w:left w:val="nil"/>
              <w:bottom w:val="single" w:sz="4" w:space="0" w:color="auto"/>
              <w:right w:val="single" w:sz="4" w:space="0" w:color="auto"/>
            </w:tcBorders>
            <w:shd w:val="clear" w:color="auto" w:fill="auto"/>
            <w:noWrap/>
            <w:vAlign w:val="bottom"/>
            <w:hideMark/>
          </w:tcPr>
          <w:p w14:paraId="2E947E1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1.6%</w:t>
            </w:r>
          </w:p>
        </w:tc>
        <w:tc>
          <w:tcPr>
            <w:tcW w:w="1050" w:type="dxa"/>
            <w:tcBorders>
              <w:top w:val="nil"/>
              <w:left w:val="nil"/>
              <w:bottom w:val="single" w:sz="4" w:space="0" w:color="auto"/>
              <w:right w:val="single" w:sz="4" w:space="0" w:color="auto"/>
            </w:tcBorders>
            <w:shd w:val="clear" w:color="auto" w:fill="auto"/>
            <w:noWrap/>
            <w:vAlign w:val="bottom"/>
            <w:hideMark/>
          </w:tcPr>
          <w:p w14:paraId="11B721B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63,117</w:t>
            </w:r>
          </w:p>
        </w:tc>
        <w:tc>
          <w:tcPr>
            <w:tcW w:w="1254" w:type="dxa"/>
            <w:tcBorders>
              <w:top w:val="nil"/>
              <w:left w:val="nil"/>
              <w:bottom w:val="single" w:sz="4" w:space="0" w:color="auto"/>
              <w:right w:val="single" w:sz="4" w:space="0" w:color="auto"/>
            </w:tcBorders>
            <w:shd w:val="clear" w:color="auto" w:fill="auto"/>
            <w:noWrap/>
            <w:vAlign w:val="bottom"/>
            <w:hideMark/>
          </w:tcPr>
          <w:p w14:paraId="3996052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14,212</w:t>
            </w:r>
          </w:p>
        </w:tc>
        <w:tc>
          <w:tcPr>
            <w:tcW w:w="1416" w:type="dxa"/>
            <w:tcBorders>
              <w:top w:val="nil"/>
              <w:left w:val="nil"/>
              <w:bottom w:val="single" w:sz="4" w:space="0" w:color="auto"/>
              <w:right w:val="single" w:sz="4" w:space="0" w:color="auto"/>
            </w:tcBorders>
            <w:shd w:val="clear" w:color="auto" w:fill="auto"/>
            <w:noWrap/>
            <w:vAlign w:val="bottom"/>
            <w:hideMark/>
          </w:tcPr>
          <w:p w14:paraId="4B50C3E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6,404</w:t>
            </w:r>
          </w:p>
        </w:tc>
        <w:tc>
          <w:tcPr>
            <w:tcW w:w="1530" w:type="dxa"/>
            <w:tcBorders>
              <w:top w:val="nil"/>
              <w:left w:val="nil"/>
              <w:bottom w:val="single" w:sz="4" w:space="0" w:color="auto"/>
              <w:right w:val="single" w:sz="4" w:space="0" w:color="auto"/>
            </w:tcBorders>
            <w:shd w:val="clear" w:color="auto" w:fill="auto"/>
            <w:noWrap/>
            <w:vAlign w:val="bottom"/>
            <w:hideMark/>
          </w:tcPr>
          <w:p w14:paraId="7478056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48,598</w:t>
            </w:r>
          </w:p>
        </w:tc>
        <w:tc>
          <w:tcPr>
            <w:tcW w:w="1170" w:type="dxa"/>
            <w:tcBorders>
              <w:top w:val="nil"/>
              <w:left w:val="single" w:sz="4" w:space="0" w:color="auto"/>
              <w:bottom w:val="single" w:sz="4" w:space="0" w:color="auto"/>
              <w:right w:val="single" w:sz="8" w:space="0" w:color="auto"/>
            </w:tcBorders>
            <w:shd w:val="clear" w:color="auto" w:fill="auto"/>
            <w:noWrap/>
            <w:vAlign w:val="bottom"/>
            <w:hideMark/>
          </w:tcPr>
          <w:p w14:paraId="3B7418C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19,197</w:t>
            </w:r>
          </w:p>
        </w:tc>
      </w:tr>
      <w:tr w:rsidR="00A0244C" w:rsidRPr="00BC1ABD" w14:paraId="539B17D8" w14:textId="77777777" w:rsidTr="00E82B0B">
        <w:trPr>
          <w:trHeight w:val="315"/>
        </w:trPr>
        <w:tc>
          <w:tcPr>
            <w:tcW w:w="954" w:type="dxa"/>
            <w:tcBorders>
              <w:top w:val="nil"/>
              <w:left w:val="single" w:sz="8" w:space="0" w:color="auto"/>
              <w:bottom w:val="nil"/>
              <w:right w:val="single" w:sz="4" w:space="0" w:color="auto"/>
            </w:tcBorders>
            <w:shd w:val="clear" w:color="auto" w:fill="auto"/>
            <w:noWrap/>
            <w:vAlign w:val="bottom"/>
            <w:hideMark/>
          </w:tcPr>
          <w:p w14:paraId="7F207EBF"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2</w:t>
            </w:r>
          </w:p>
        </w:tc>
        <w:tc>
          <w:tcPr>
            <w:tcW w:w="1129" w:type="dxa"/>
            <w:tcBorders>
              <w:top w:val="nil"/>
              <w:left w:val="single" w:sz="4" w:space="0" w:color="auto"/>
              <w:bottom w:val="nil"/>
              <w:right w:val="single" w:sz="4" w:space="0" w:color="auto"/>
            </w:tcBorders>
            <w:shd w:val="clear" w:color="auto" w:fill="auto"/>
            <w:noWrap/>
            <w:vAlign w:val="bottom"/>
            <w:hideMark/>
          </w:tcPr>
          <w:p w14:paraId="1CAB74E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10</w:t>
            </w:r>
          </w:p>
        </w:tc>
        <w:tc>
          <w:tcPr>
            <w:tcW w:w="1113" w:type="dxa"/>
            <w:tcBorders>
              <w:top w:val="nil"/>
              <w:left w:val="nil"/>
              <w:bottom w:val="nil"/>
              <w:right w:val="single" w:sz="4" w:space="0" w:color="auto"/>
            </w:tcBorders>
            <w:shd w:val="clear" w:color="auto" w:fill="auto"/>
            <w:noWrap/>
            <w:vAlign w:val="bottom"/>
            <w:hideMark/>
          </w:tcPr>
          <w:p w14:paraId="78AF893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1,858</w:t>
            </w:r>
          </w:p>
        </w:tc>
        <w:tc>
          <w:tcPr>
            <w:tcW w:w="1094" w:type="dxa"/>
            <w:tcBorders>
              <w:top w:val="nil"/>
              <w:left w:val="nil"/>
              <w:bottom w:val="nil"/>
              <w:right w:val="single" w:sz="4" w:space="0" w:color="auto"/>
            </w:tcBorders>
            <w:shd w:val="clear" w:color="auto" w:fill="auto"/>
            <w:noWrap/>
            <w:vAlign w:val="bottom"/>
            <w:hideMark/>
          </w:tcPr>
          <w:p w14:paraId="01300D0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0.1%</w:t>
            </w:r>
          </w:p>
        </w:tc>
        <w:tc>
          <w:tcPr>
            <w:tcW w:w="1050" w:type="dxa"/>
            <w:tcBorders>
              <w:top w:val="nil"/>
              <w:left w:val="nil"/>
              <w:bottom w:val="nil"/>
              <w:right w:val="single" w:sz="4" w:space="0" w:color="auto"/>
            </w:tcBorders>
            <w:shd w:val="clear" w:color="auto" w:fill="auto"/>
            <w:noWrap/>
            <w:vAlign w:val="bottom"/>
            <w:hideMark/>
          </w:tcPr>
          <w:p w14:paraId="2B6F82F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6,097</w:t>
            </w:r>
          </w:p>
        </w:tc>
        <w:tc>
          <w:tcPr>
            <w:tcW w:w="1254" w:type="dxa"/>
            <w:tcBorders>
              <w:top w:val="nil"/>
              <w:left w:val="nil"/>
              <w:bottom w:val="nil"/>
              <w:right w:val="single" w:sz="4" w:space="0" w:color="auto"/>
            </w:tcBorders>
            <w:shd w:val="clear" w:color="auto" w:fill="auto"/>
            <w:noWrap/>
            <w:vAlign w:val="bottom"/>
            <w:hideMark/>
          </w:tcPr>
          <w:p w14:paraId="6FFFAF3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1,126</w:t>
            </w:r>
          </w:p>
        </w:tc>
        <w:tc>
          <w:tcPr>
            <w:tcW w:w="1416" w:type="dxa"/>
            <w:tcBorders>
              <w:top w:val="nil"/>
              <w:left w:val="nil"/>
              <w:bottom w:val="nil"/>
              <w:right w:val="single" w:sz="4" w:space="0" w:color="auto"/>
            </w:tcBorders>
            <w:shd w:val="clear" w:color="auto" w:fill="auto"/>
            <w:noWrap/>
            <w:vAlign w:val="bottom"/>
            <w:hideMark/>
          </w:tcPr>
          <w:p w14:paraId="3EF0ED5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w:t>
            </w:r>
          </w:p>
        </w:tc>
        <w:tc>
          <w:tcPr>
            <w:tcW w:w="1530" w:type="dxa"/>
            <w:tcBorders>
              <w:top w:val="nil"/>
              <w:left w:val="nil"/>
              <w:bottom w:val="nil"/>
              <w:right w:val="single" w:sz="4" w:space="0" w:color="auto"/>
            </w:tcBorders>
            <w:shd w:val="clear" w:color="auto" w:fill="auto"/>
            <w:noWrap/>
            <w:vAlign w:val="bottom"/>
            <w:hideMark/>
          </w:tcPr>
          <w:p w14:paraId="3BCEE31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868</w:t>
            </w:r>
          </w:p>
        </w:tc>
        <w:tc>
          <w:tcPr>
            <w:tcW w:w="1170" w:type="dxa"/>
            <w:tcBorders>
              <w:top w:val="nil"/>
              <w:left w:val="single" w:sz="4" w:space="0" w:color="auto"/>
              <w:bottom w:val="nil"/>
              <w:right w:val="single" w:sz="8" w:space="0" w:color="auto"/>
            </w:tcBorders>
            <w:shd w:val="clear" w:color="auto" w:fill="auto"/>
            <w:noWrap/>
            <w:vAlign w:val="bottom"/>
            <w:hideMark/>
          </w:tcPr>
          <w:p w14:paraId="0AEA250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w:t>
            </w:r>
          </w:p>
        </w:tc>
      </w:tr>
      <w:tr w:rsidR="00A0244C" w:rsidRPr="00BC1ABD" w14:paraId="778C9FD8" w14:textId="77777777" w:rsidTr="00E82B0B">
        <w:trPr>
          <w:trHeight w:val="315"/>
        </w:trPr>
        <w:tc>
          <w:tcPr>
            <w:tcW w:w="95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FEE89F0"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SUM</w:t>
            </w:r>
          </w:p>
        </w:tc>
        <w:tc>
          <w:tcPr>
            <w:tcW w:w="1129" w:type="dxa"/>
            <w:tcBorders>
              <w:top w:val="single" w:sz="8" w:space="0" w:color="auto"/>
              <w:left w:val="nil"/>
              <w:bottom w:val="single" w:sz="8" w:space="0" w:color="auto"/>
              <w:right w:val="single" w:sz="4" w:space="0" w:color="auto"/>
            </w:tcBorders>
            <w:shd w:val="clear" w:color="auto" w:fill="auto"/>
            <w:noWrap/>
            <w:vAlign w:val="bottom"/>
            <w:hideMark/>
          </w:tcPr>
          <w:p w14:paraId="7D2EBF89"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26</w:t>
            </w:r>
          </w:p>
        </w:tc>
        <w:tc>
          <w:tcPr>
            <w:tcW w:w="1113" w:type="dxa"/>
            <w:tcBorders>
              <w:top w:val="single" w:sz="8" w:space="0" w:color="auto"/>
              <w:left w:val="nil"/>
              <w:bottom w:val="single" w:sz="8" w:space="0" w:color="auto"/>
              <w:right w:val="single" w:sz="4" w:space="0" w:color="auto"/>
            </w:tcBorders>
            <w:shd w:val="clear" w:color="auto" w:fill="auto"/>
            <w:noWrap/>
            <w:vAlign w:val="bottom"/>
            <w:hideMark/>
          </w:tcPr>
          <w:p w14:paraId="0576D4A6"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126,062</w:t>
            </w:r>
          </w:p>
        </w:tc>
        <w:tc>
          <w:tcPr>
            <w:tcW w:w="1094" w:type="dxa"/>
            <w:tcBorders>
              <w:top w:val="single" w:sz="8" w:space="0" w:color="auto"/>
              <w:left w:val="nil"/>
              <w:bottom w:val="single" w:sz="8" w:space="0" w:color="auto"/>
              <w:right w:val="single" w:sz="4" w:space="0" w:color="auto"/>
            </w:tcBorders>
            <w:shd w:val="clear" w:color="auto" w:fill="auto"/>
            <w:noWrap/>
            <w:vAlign w:val="bottom"/>
            <w:hideMark/>
          </w:tcPr>
          <w:p w14:paraId="3AC88ABE"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10.1%</w:t>
            </w:r>
          </w:p>
        </w:tc>
        <w:tc>
          <w:tcPr>
            <w:tcW w:w="1050" w:type="dxa"/>
            <w:tcBorders>
              <w:top w:val="single" w:sz="8" w:space="0" w:color="auto"/>
              <w:left w:val="nil"/>
              <w:bottom w:val="single" w:sz="8" w:space="0" w:color="auto"/>
              <w:right w:val="single" w:sz="4" w:space="0" w:color="auto"/>
            </w:tcBorders>
            <w:shd w:val="clear" w:color="auto" w:fill="auto"/>
            <w:noWrap/>
            <w:vAlign w:val="bottom"/>
            <w:hideMark/>
          </w:tcPr>
          <w:p w14:paraId="3A7F7BD5"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414,059</w:t>
            </w:r>
          </w:p>
        </w:tc>
        <w:tc>
          <w:tcPr>
            <w:tcW w:w="1254" w:type="dxa"/>
            <w:tcBorders>
              <w:top w:val="single" w:sz="8" w:space="0" w:color="auto"/>
              <w:left w:val="nil"/>
              <w:bottom w:val="single" w:sz="8" w:space="0" w:color="auto"/>
              <w:right w:val="single" w:sz="4" w:space="0" w:color="auto"/>
            </w:tcBorders>
            <w:shd w:val="clear" w:color="auto" w:fill="auto"/>
            <w:noWrap/>
            <w:vAlign w:val="bottom"/>
            <w:hideMark/>
          </w:tcPr>
          <w:p w14:paraId="47BE67EE"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128,647</w:t>
            </w:r>
          </w:p>
        </w:tc>
        <w:tc>
          <w:tcPr>
            <w:tcW w:w="1416" w:type="dxa"/>
            <w:tcBorders>
              <w:top w:val="single" w:sz="8" w:space="0" w:color="auto"/>
              <w:left w:val="nil"/>
              <w:bottom w:val="single" w:sz="8" w:space="0" w:color="auto"/>
              <w:right w:val="single" w:sz="4" w:space="0" w:color="auto"/>
            </w:tcBorders>
            <w:shd w:val="clear" w:color="auto" w:fill="auto"/>
            <w:noWrap/>
            <w:vAlign w:val="bottom"/>
            <w:hideMark/>
          </w:tcPr>
          <w:p w14:paraId="6EA5EF39"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42,753</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14:paraId="6ED74EC5"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373,770</w:t>
            </w:r>
          </w:p>
        </w:tc>
        <w:tc>
          <w:tcPr>
            <w:tcW w:w="1170" w:type="dxa"/>
            <w:tcBorders>
              <w:top w:val="single" w:sz="8" w:space="0" w:color="auto"/>
              <w:left w:val="nil"/>
              <w:bottom w:val="single" w:sz="8" w:space="0" w:color="auto"/>
              <w:right w:val="single" w:sz="8" w:space="0" w:color="auto"/>
            </w:tcBorders>
            <w:shd w:val="clear" w:color="auto" w:fill="auto"/>
            <w:noWrap/>
            <w:vAlign w:val="bottom"/>
            <w:hideMark/>
          </w:tcPr>
          <w:p w14:paraId="54F5DF84"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153,161</w:t>
            </w:r>
          </w:p>
        </w:tc>
      </w:tr>
    </w:tbl>
    <w:p w14:paraId="68DD19F4" w14:textId="77777777" w:rsidR="00A0244C" w:rsidRPr="00BC1ABD" w:rsidRDefault="00A0244C" w:rsidP="00A0244C">
      <w:pPr>
        <w:jc w:val="center"/>
        <w:rPr>
          <w:rFonts w:cs="Arial"/>
          <w:sz w:val="4"/>
          <w:szCs w:val="4"/>
          <w:lang w:val="en-GB"/>
        </w:rPr>
      </w:pPr>
    </w:p>
    <w:p w14:paraId="0A4F5E30" w14:textId="4289A174" w:rsidR="00A0244C" w:rsidRPr="00793E5F" w:rsidRDefault="00A0244C" w:rsidP="00793E5F">
      <w:pPr>
        <w:jc w:val="center"/>
        <w:rPr>
          <w:rFonts w:cs="Arial"/>
          <w:sz w:val="20"/>
          <w:szCs w:val="20"/>
          <w:lang w:val="en-GB"/>
        </w:rPr>
      </w:pPr>
      <w:r w:rsidRPr="00BC1ABD">
        <w:rPr>
          <w:rFonts w:cs="Arial"/>
          <w:sz w:val="20"/>
          <w:szCs w:val="20"/>
          <w:lang w:val="en-GB"/>
        </w:rPr>
        <w:t>Source: Answers to the ComCom questionnaire on coverage</w:t>
      </w:r>
    </w:p>
    <w:p w14:paraId="21DCFF14" w14:textId="77777777" w:rsidR="00A0244C" w:rsidRPr="00BC1ABD" w:rsidRDefault="00A0244C" w:rsidP="00033EBE">
      <w:pPr>
        <w:pStyle w:val="Heading2"/>
        <w:numPr>
          <w:ilvl w:val="1"/>
          <w:numId w:val="88"/>
        </w:numPr>
        <w:spacing w:after="240"/>
        <w:rPr>
          <w:lang w:val="en-GB"/>
        </w:rPr>
      </w:pPr>
      <w:bookmarkStart w:id="310" w:name="_Toc131088633"/>
      <w:bookmarkStart w:id="311" w:name="_Toc169258980"/>
      <w:r w:rsidRPr="00BC1ABD">
        <w:rPr>
          <w:lang w:val="en-GB"/>
        </w:rPr>
        <w:t>Assessment of all three cumulative criteria together</w:t>
      </w:r>
      <w:bookmarkEnd w:id="310"/>
      <w:bookmarkEnd w:id="311"/>
    </w:p>
    <w:p w14:paraId="3632591D" w14:textId="7B5995DB" w:rsidR="00A0244C" w:rsidRPr="00BC1ABD" w:rsidRDefault="00A0244C" w:rsidP="00A0244C">
      <w:pPr>
        <w:adjustRightInd w:val="0"/>
        <w:spacing w:after="240"/>
        <w:jc w:val="both"/>
        <w:rPr>
          <w:rFonts w:cs="Arial"/>
          <w:sz w:val="24"/>
          <w:szCs w:val="24"/>
          <w:lang w:val="en-GB"/>
        </w:rPr>
      </w:pPr>
      <w:r w:rsidRPr="00BC1ABD">
        <w:rPr>
          <w:rFonts w:cs="Arial"/>
          <w:sz w:val="24"/>
          <w:szCs w:val="24"/>
          <w:lang w:val="en-GB"/>
        </w:rPr>
        <w:t xml:space="preserve">The logic chart algorithm of geographical competition assessment using all criteria is depicted below. Each criterion is applied sequentially such that the cumulative result is the geographic segmentation of </w:t>
      </w:r>
      <w:r w:rsidR="00F026B4">
        <w:rPr>
          <w:rFonts w:cs="Arial"/>
          <w:sz w:val="24"/>
          <w:szCs w:val="24"/>
          <w:lang w:val="en-GB"/>
        </w:rPr>
        <w:t>FTTx</w:t>
      </w:r>
      <w:r w:rsidRPr="00BC1ABD">
        <w:rPr>
          <w:rFonts w:cs="Arial"/>
          <w:sz w:val="24"/>
          <w:szCs w:val="24"/>
          <w:lang w:val="en-GB"/>
        </w:rPr>
        <w:t xml:space="preserve"> fixed broadband access competitive market conditions covering all settlements where </w:t>
      </w:r>
      <w:r w:rsidR="00F026B4">
        <w:rPr>
          <w:rFonts w:cs="Arial"/>
          <w:sz w:val="24"/>
          <w:szCs w:val="24"/>
          <w:lang w:val="en-GB"/>
        </w:rPr>
        <w:t>FTTx</w:t>
      </w:r>
      <w:r w:rsidRPr="00BC1ABD">
        <w:rPr>
          <w:rFonts w:cs="Arial"/>
          <w:sz w:val="24"/>
          <w:szCs w:val="24"/>
          <w:lang w:val="en-GB"/>
        </w:rPr>
        <w:t xml:space="preserve"> networks are present. The three results reflect the need for three different levels of </w:t>
      </w:r>
      <w:r w:rsidRPr="00BC1ABD">
        <w:rPr>
          <w:rFonts w:cs="Arial"/>
          <w:i/>
          <w:iCs/>
          <w:sz w:val="24"/>
          <w:szCs w:val="24"/>
          <w:lang w:val="en-GB"/>
        </w:rPr>
        <w:t>ex-ante</w:t>
      </w:r>
      <w:r w:rsidRPr="00BC1ABD">
        <w:rPr>
          <w:rFonts w:cs="Arial"/>
          <w:sz w:val="24"/>
          <w:szCs w:val="24"/>
          <w:lang w:val="en-GB"/>
        </w:rPr>
        <w:t xml:space="preserve"> regulatory measures, categorised as</w:t>
      </w:r>
      <w:r w:rsidR="00657438">
        <w:rPr>
          <w:rFonts w:cs="Arial"/>
          <w:sz w:val="24"/>
          <w:szCs w:val="24"/>
          <w:lang w:val="en-GB"/>
        </w:rPr>
        <w:t>:</w:t>
      </w:r>
    </w:p>
    <w:p w14:paraId="449185E0" w14:textId="0F12A994" w:rsidR="00A0244C" w:rsidRPr="00BC1ABD" w:rsidRDefault="00A0244C" w:rsidP="00722085">
      <w:pPr>
        <w:pStyle w:val="ListParagraph"/>
        <w:numPr>
          <w:ilvl w:val="0"/>
          <w:numId w:val="46"/>
        </w:numPr>
        <w:adjustRightInd w:val="0"/>
        <w:spacing w:after="240"/>
        <w:jc w:val="both"/>
        <w:rPr>
          <w:rFonts w:cs="Arial"/>
          <w:sz w:val="24"/>
          <w:szCs w:val="24"/>
          <w:lang w:val="en-GB"/>
        </w:rPr>
      </w:pPr>
      <w:r w:rsidRPr="00BC1ABD">
        <w:rPr>
          <w:rFonts w:cs="Arial"/>
          <w:sz w:val="24"/>
          <w:szCs w:val="24"/>
          <w:lang w:val="en-GB"/>
        </w:rPr>
        <w:t>Full regulation</w:t>
      </w:r>
      <w:r w:rsidR="00657438">
        <w:rPr>
          <w:rFonts w:cs="Arial"/>
          <w:sz w:val="24"/>
          <w:szCs w:val="24"/>
          <w:lang w:val="en-GB"/>
        </w:rPr>
        <w:t>.</w:t>
      </w:r>
    </w:p>
    <w:p w14:paraId="1DC9C223" w14:textId="78440C9C" w:rsidR="00A0244C" w:rsidRPr="00BC1ABD" w:rsidRDefault="00A0244C" w:rsidP="00722085">
      <w:pPr>
        <w:pStyle w:val="ListParagraph"/>
        <w:numPr>
          <w:ilvl w:val="0"/>
          <w:numId w:val="46"/>
        </w:numPr>
        <w:adjustRightInd w:val="0"/>
        <w:spacing w:after="240"/>
        <w:jc w:val="both"/>
        <w:rPr>
          <w:rFonts w:cs="Arial"/>
          <w:sz w:val="24"/>
          <w:szCs w:val="24"/>
          <w:lang w:val="en-GB"/>
        </w:rPr>
      </w:pPr>
      <w:r w:rsidRPr="00BC1ABD">
        <w:rPr>
          <w:rFonts w:cs="Arial"/>
          <w:sz w:val="24"/>
          <w:szCs w:val="24"/>
          <w:lang w:val="en-GB"/>
        </w:rPr>
        <w:t>Lighter regulation</w:t>
      </w:r>
      <w:r w:rsidR="00657438">
        <w:rPr>
          <w:rFonts w:cs="Arial"/>
          <w:sz w:val="24"/>
          <w:szCs w:val="24"/>
          <w:lang w:val="en-GB"/>
        </w:rPr>
        <w:t>.</w:t>
      </w:r>
    </w:p>
    <w:p w14:paraId="6029716F" w14:textId="4C64AF43" w:rsidR="00A0244C" w:rsidRPr="00BC1ABD" w:rsidRDefault="00A0244C" w:rsidP="00722085">
      <w:pPr>
        <w:pStyle w:val="ListParagraph"/>
        <w:numPr>
          <w:ilvl w:val="0"/>
          <w:numId w:val="46"/>
        </w:numPr>
        <w:adjustRightInd w:val="0"/>
        <w:spacing w:after="240"/>
        <w:jc w:val="both"/>
        <w:rPr>
          <w:rFonts w:cs="Arial"/>
          <w:sz w:val="24"/>
          <w:szCs w:val="24"/>
          <w:lang w:val="en-GB"/>
        </w:rPr>
      </w:pPr>
      <w:r w:rsidRPr="00BC1ABD">
        <w:rPr>
          <w:rFonts w:cs="Arial"/>
          <w:sz w:val="24"/>
          <w:szCs w:val="24"/>
          <w:lang w:val="en-GB"/>
        </w:rPr>
        <w:t>Deregulation</w:t>
      </w:r>
      <w:r w:rsidR="00657438">
        <w:rPr>
          <w:rFonts w:cs="Arial"/>
          <w:sz w:val="24"/>
          <w:szCs w:val="24"/>
          <w:lang w:val="en-GB"/>
        </w:rPr>
        <w:t>.</w:t>
      </w:r>
    </w:p>
    <w:p w14:paraId="156D65E6" w14:textId="34594269" w:rsidR="00A0244C" w:rsidRPr="00BC1ABD" w:rsidRDefault="00A0244C" w:rsidP="003336AC">
      <w:pPr>
        <w:adjustRightInd w:val="0"/>
        <w:spacing w:after="240"/>
        <w:jc w:val="both"/>
        <w:rPr>
          <w:rFonts w:cs="Arial"/>
          <w:sz w:val="24"/>
          <w:szCs w:val="24"/>
          <w:lang w:val="en-GB"/>
        </w:rPr>
      </w:pPr>
      <w:r w:rsidRPr="00BC1ABD">
        <w:rPr>
          <w:rFonts w:cs="Arial"/>
          <w:sz w:val="24"/>
          <w:szCs w:val="24"/>
          <w:lang w:val="en-GB"/>
        </w:rPr>
        <w:t xml:space="preserve">These three types of regulatory measures are defined in Chapter </w:t>
      </w:r>
      <w:r w:rsidR="00C37571">
        <w:rPr>
          <w:rFonts w:cs="Arial"/>
          <w:sz w:val="24"/>
          <w:szCs w:val="24"/>
          <w:lang w:val="en-GB"/>
        </w:rPr>
        <w:t>8</w:t>
      </w:r>
      <w:r w:rsidRPr="00BC1ABD">
        <w:rPr>
          <w:rFonts w:cs="Arial"/>
          <w:sz w:val="24"/>
          <w:szCs w:val="24"/>
          <w:lang w:val="en-GB"/>
        </w:rPr>
        <w:t>.</w:t>
      </w:r>
      <w:r w:rsidR="003336AC">
        <w:rPr>
          <w:rFonts w:cs="Arial"/>
          <w:sz w:val="24"/>
          <w:szCs w:val="24"/>
          <w:lang w:val="en-GB"/>
        </w:rPr>
        <w:t xml:space="preserve"> </w:t>
      </w:r>
      <w:r w:rsidRPr="00BC1ABD">
        <w:rPr>
          <w:rFonts w:cs="Arial"/>
          <w:sz w:val="24"/>
          <w:szCs w:val="24"/>
          <w:lang w:val="en-GB"/>
        </w:rPr>
        <w:t xml:space="preserve">In the chart below, the national SMP operator for the wholesale market of local and central access has already been determined. The chart below seeks to define the geographical areas (settlements) where full regulation, lighter regulation or deregulation measures are appropriate to be applied to the national SMP operator. Where </w:t>
      </w:r>
      <w:r w:rsidR="007355E2">
        <w:rPr>
          <w:rFonts w:cs="Arial"/>
          <w:sz w:val="24"/>
          <w:szCs w:val="24"/>
          <w:lang w:val="en-GB"/>
        </w:rPr>
        <w:t xml:space="preserve">the share of </w:t>
      </w:r>
      <w:r w:rsidR="00F026B4">
        <w:rPr>
          <w:rFonts w:cs="Arial"/>
          <w:sz w:val="24"/>
          <w:szCs w:val="24"/>
          <w:lang w:val="en-GB"/>
        </w:rPr>
        <w:t>FTTx</w:t>
      </w:r>
      <w:r w:rsidR="007355E2" w:rsidRPr="00BC1ABD">
        <w:rPr>
          <w:rFonts w:cs="Arial"/>
          <w:sz w:val="24"/>
          <w:szCs w:val="24"/>
          <w:lang w:val="en-GB"/>
        </w:rPr>
        <w:t xml:space="preserve"> broadband access</w:t>
      </w:r>
      <w:r w:rsidR="007355E2" w:rsidRPr="00BC1ABD" w:rsidDel="007355E2">
        <w:rPr>
          <w:rFonts w:cs="Arial"/>
          <w:sz w:val="24"/>
          <w:szCs w:val="24"/>
          <w:lang w:val="en-GB"/>
        </w:rPr>
        <w:t xml:space="preserve"> </w:t>
      </w:r>
      <w:r w:rsidRPr="00BC1ABD">
        <w:rPr>
          <w:rFonts w:cs="Arial"/>
          <w:sz w:val="24"/>
          <w:szCs w:val="24"/>
          <w:lang w:val="en-GB"/>
        </w:rPr>
        <w:t xml:space="preserve">criteria (%) are indicated in the chart, this refers to the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within the settlement.</w:t>
      </w:r>
      <w:r w:rsidR="00AB6EC5">
        <w:rPr>
          <w:rFonts w:cs="Arial"/>
          <w:sz w:val="24"/>
          <w:szCs w:val="24"/>
          <w:lang w:val="en-GB"/>
        </w:rPr>
        <w:t xml:space="preserve"> </w:t>
      </w:r>
      <w:r w:rsidRPr="00BC1ABD">
        <w:rPr>
          <w:rFonts w:cs="Arial"/>
          <w:sz w:val="24"/>
          <w:szCs w:val="24"/>
          <w:lang w:val="en-GB"/>
        </w:rPr>
        <w:t xml:space="preserve">These three levels of resulting regulation are defined in Chapter </w:t>
      </w:r>
      <w:r w:rsidR="00C37571">
        <w:rPr>
          <w:rFonts w:cs="Arial"/>
          <w:sz w:val="24"/>
          <w:szCs w:val="24"/>
          <w:lang w:val="en-GB"/>
        </w:rPr>
        <w:t>8</w:t>
      </w:r>
      <w:r w:rsidRPr="00BC1ABD">
        <w:rPr>
          <w:rFonts w:cs="Arial"/>
          <w:sz w:val="24"/>
          <w:szCs w:val="24"/>
          <w:lang w:val="en-GB"/>
        </w:rPr>
        <w:t>.</w:t>
      </w:r>
    </w:p>
    <w:p w14:paraId="086A037C" w14:textId="2D9D9DDF" w:rsidR="00793E5F" w:rsidRDefault="00A0244C" w:rsidP="00155F29">
      <w:pPr>
        <w:pStyle w:val="Caption"/>
        <w:jc w:val="center"/>
        <w:rPr>
          <w:lang w:val="en-GB"/>
        </w:rPr>
      </w:pPr>
      <w:bookmarkStart w:id="312" w:name="_Toc152931413"/>
      <w:r w:rsidRPr="00BC1ABD">
        <w:rPr>
          <w:lang w:val="en-GB"/>
        </w:rPr>
        <w:t xml:space="preserve">Figure </w:t>
      </w:r>
      <w:r w:rsidRPr="00BC1ABD">
        <w:rPr>
          <w:i w:val="0"/>
          <w:iCs w:val="0"/>
          <w:lang w:val="en-GB"/>
        </w:rPr>
        <w:fldChar w:fldCharType="begin"/>
      </w:r>
      <w:r w:rsidRPr="00BC1ABD">
        <w:rPr>
          <w:lang w:val="en-GB"/>
        </w:rPr>
        <w:instrText xml:space="preserve"> SEQ Figure \* ARABIC </w:instrText>
      </w:r>
      <w:r w:rsidRPr="00BC1ABD">
        <w:rPr>
          <w:i w:val="0"/>
          <w:iCs w:val="0"/>
          <w:lang w:val="en-GB"/>
        </w:rPr>
        <w:fldChar w:fldCharType="separate"/>
      </w:r>
      <w:r w:rsidR="00ED2C35">
        <w:rPr>
          <w:noProof/>
          <w:lang w:val="en-GB"/>
        </w:rPr>
        <w:t>62</w:t>
      </w:r>
      <w:r w:rsidRPr="00BC1ABD">
        <w:rPr>
          <w:i w:val="0"/>
          <w:iCs w:val="0"/>
          <w:lang w:val="en-GB"/>
        </w:rPr>
        <w:fldChar w:fldCharType="end"/>
      </w:r>
      <w:r w:rsidRPr="00BC1ABD">
        <w:rPr>
          <w:lang w:val="en-GB"/>
        </w:rPr>
        <w:t>: Flow chart for the geographic segmentation analysis</w:t>
      </w:r>
      <w:bookmarkEnd w:id="312"/>
    </w:p>
    <w:p w14:paraId="20EAD3B7" w14:textId="543ECDCD" w:rsidR="00A0244C" w:rsidRPr="00BC1ABD" w:rsidRDefault="00B40D8D" w:rsidP="00155F29">
      <w:pPr>
        <w:pStyle w:val="Caption"/>
        <w:jc w:val="center"/>
        <w:rPr>
          <w:rFonts w:cs="Arial"/>
          <w:sz w:val="24"/>
          <w:szCs w:val="24"/>
          <w:lang w:val="en-GB"/>
        </w:rPr>
      </w:pPr>
      <w:r w:rsidRPr="00BC1ABD">
        <w:rPr>
          <w:noProof/>
          <w:lang w:eastAsia="sl-SI"/>
        </w:rPr>
        <w:drawing>
          <wp:inline distT="0" distB="0" distL="0" distR="0" wp14:anchorId="5F84336D" wp14:editId="1863C2B9">
            <wp:extent cx="3792636" cy="5872480"/>
            <wp:effectExtent l="0" t="0" r="0" b="0"/>
            <wp:docPr id="966345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7777" cy="5957860"/>
                    </a:xfrm>
                    <a:prstGeom prst="rect">
                      <a:avLst/>
                    </a:prstGeom>
                    <a:noFill/>
                    <a:ln>
                      <a:noFill/>
                    </a:ln>
                  </pic:spPr>
                </pic:pic>
              </a:graphicData>
            </a:graphic>
          </wp:inline>
        </w:drawing>
      </w:r>
    </w:p>
    <w:p w14:paraId="6BC8DEEE" w14:textId="77777777" w:rsidR="00A0244C" w:rsidRDefault="00A0244C" w:rsidP="00155F29">
      <w:pPr>
        <w:jc w:val="center"/>
        <w:rPr>
          <w:rFonts w:cs="Arial"/>
          <w:sz w:val="20"/>
          <w:szCs w:val="20"/>
          <w:lang w:val="en-GB"/>
        </w:rPr>
      </w:pPr>
      <w:r w:rsidRPr="00BC1ABD">
        <w:rPr>
          <w:rFonts w:cs="Arial"/>
          <w:sz w:val="20"/>
          <w:szCs w:val="20"/>
          <w:lang w:val="en-GB"/>
        </w:rPr>
        <w:t>Source: Consultants to ComCom</w:t>
      </w:r>
    </w:p>
    <w:p w14:paraId="141D4D4B" w14:textId="77777777"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13" w:name="_Toc169258981"/>
      <w:r w:rsidRPr="00F028B0">
        <w:rPr>
          <w:rFonts w:asciiTheme="minorHAnsi" w:hAnsiTheme="minorHAnsi" w:cstheme="minorHAnsi"/>
          <w:b w:val="0"/>
          <w:bCs w:val="0"/>
          <w:sz w:val="24"/>
          <w:szCs w:val="24"/>
          <w:lang w:val="en-GB"/>
        </w:rPr>
        <w:t>The three main criteria together</w:t>
      </w:r>
      <w:bookmarkEnd w:id="313"/>
    </w:p>
    <w:p w14:paraId="432B0166" w14:textId="197CA613" w:rsidR="00A0244C" w:rsidRPr="00BC1ABD" w:rsidRDefault="00A0244C" w:rsidP="00A0244C">
      <w:pPr>
        <w:jc w:val="both"/>
        <w:rPr>
          <w:rFonts w:cs="Arial"/>
          <w:sz w:val="24"/>
          <w:szCs w:val="24"/>
          <w:lang w:val="en-GB"/>
        </w:rPr>
      </w:pPr>
      <w:r w:rsidRPr="00BC1ABD">
        <w:rPr>
          <w:rFonts w:cs="Arial"/>
          <w:sz w:val="24"/>
          <w:szCs w:val="24"/>
          <w:lang w:val="en-GB"/>
        </w:rPr>
        <w:t xml:space="preserve">In this chapter the three criteria are taken into account together, but only for settlements, where criterion (i.) - settlements where at least three </w:t>
      </w:r>
      <w:r w:rsidR="00F026B4">
        <w:rPr>
          <w:rFonts w:cs="Arial"/>
          <w:sz w:val="24"/>
          <w:szCs w:val="24"/>
          <w:lang w:val="en-GB"/>
        </w:rPr>
        <w:t>FTTx</w:t>
      </w:r>
      <w:r w:rsidRPr="00BC1ABD">
        <w:rPr>
          <w:rFonts w:cs="Arial"/>
          <w:sz w:val="24"/>
          <w:szCs w:val="24"/>
          <w:lang w:val="en-GB"/>
        </w:rPr>
        <w:t xml:space="preserve"> network operators are present - is fulfilled. Since all three criteria have to be fulfilled cumulatively, settlements with less than 3 </w:t>
      </w:r>
      <w:r w:rsidR="00F026B4">
        <w:rPr>
          <w:rFonts w:cs="Arial"/>
          <w:sz w:val="24"/>
          <w:szCs w:val="24"/>
          <w:lang w:val="en-GB"/>
        </w:rPr>
        <w:t>FTTx</w:t>
      </w:r>
      <w:r w:rsidRPr="00BC1ABD">
        <w:rPr>
          <w:rFonts w:cs="Arial"/>
          <w:sz w:val="24"/>
          <w:szCs w:val="24"/>
          <w:lang w:val="en-GB"/>
        </w:rPr>
        <w:t xml:space="preserve"> networks are not considered to be contestable and are not therefore tested for the other two main criteria or the additional complementary criteria (see Chapter </w:t>
      </w:r>
      <w:r w:rsidR="00974F95">
        <w:rPr>
          <w:rFonts w:cs="Arial"/>
          <w:sz w:val="24"/>
          <w:szCs w:val="24"/>
          <w:lang w:val="en-GB"/>
        </w:rPr>
        <w:t>6</w:t>
      </w:r>
      <w:r w:rsidRPr="00BC1ABD">
        <w:rPr>
          <w:rFonts w:cs="Arial"/>
          <w:sz w:val="24"/>
          <w:szCs w:val="24"/>
          <w:lang w:val="en-GB"/>
        </w:rPr>
        <w:t>.2).</w:t>
      </w:r>
    </w:p>
    <w:p w14:paraId="63E18703" w14:textId="23BBB87B" w:rsidR="00A0244C" w:rsidRPr="00BC1ABD" w:rsidRDefault="00A0244C" w:rsidP="00A0244C">
      <w:pPr>
        <w:jc w:val="both"/>
        <w:rPr>
          <w:rFonts w:cs="Arial"/>
          <w:sz w:val="24"/>
          <w:szCs w:val="24"/>
          <w:lang w:val="en-GB"/>
        </w:rPr>
      </w:pPr>
      <w:r w:rsidRPr="00BC1ABD">
        <w:rPr>
          <w:rFonts w:cs="Arial"/>
          <w:sz w:val="24"/>
          <w:szCs w:val="24"/>
          <w:lang w:val="en-GB"/>
        </w:rPr>
        <w:t xml:space="preserve">In the following tables, the term ‘contestable’ means an area where rival networks could significantly increase their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in a settlement and therefore become an effective competitor to the larger player(s) already present (see Chapter </w:t>
      </w:r>
      <w:r w:rsidR="00974F95">
        <w:rPr>
          <w:rFonts w:cs="Arial"/>
          <w:sz w:val="24"/>
          <w:szCs w:val="24"/>
          <w:lang w:val="en-GB"/>
        </w:rPr>
        <w:t>6</w:t>
      </w:r>
      <w:r w:rsidRPr="00BC1ABD">
        <w:rPr>
          <w:rFonts w:cs="Arial"/>
          <w:sz w:val="24"/>
          <w:szCs w:val="24"/>
          <w:lang w:val="en-GB"/>
        </w:rPr>
        <w:t>.1).</w:t>
      </w:r>
    </w:p>
    <w:p w14:paraId="5E055993" w14:textId="01C0C789" w:rsidR="00A0244C" w:rsidRPr="00BC1ABD" w:rsidRDefault="00A0244C" w:rsidP="00A0244C">
      <w:pPr>
        <w:jc w:val="both"/>
        <w:rPr>
          <w:rFonts w:cs="Arial"/>
          <w:sz w:val="24"/>
          <w:szCs w:val="24"/>
          <w:lang w:val="en-GB"/>
        </w:rPr>
      </w:pPr>
      <w:r w:rsidRPr="00BC1ABD">
        <w:rPr>
          <w:rFonts w:cs="Arial"/>
          <w:sz w:val="24"/>
          <w:szCs w:val="24"/>
          <w:lang w:val="en-GB"/>
        </w:rPr>
        <w:t xml:space="preserve">The settlements with three or more </w:t>
      </w:r>
      <w:r w:rsidR="00F026B4">
        <w:rPr>
          <w:rFonts w:cs="Arial"/>
          <w:sz w:val="24"/>
          <w:szCs w:val="24"/>
          <w:lang w:val="en-GB"/>
        </w:rPr>
        <w:t>FTTx</w:t>
      </w:r>
      <w:r w:rsidRPr="00BC1ABD">
        <w:rPr>
          <w:rFonts w:cs="Arial"/>
          <w:sz w:val="24"/>
          <w:szCs w:val="24"/>
          <w:lang w:val="en-GB"/>
        </w:rPr>
        <w:t xml:space="preserve"> network operators are summari</w:t>
      </w:r>
      <w:r w:rsidR="002E7EAF">
        <w:rPr>
          <w:rFonts w:cs="Arial"/>
          <w:sz w:val="24"/>
          <w:szCs w:val="24"/>
          <w:lang w:val="en-GB"/>
        </w:rPr>
        <w:t>s</w:t>
      </w:r>
      <w:r w:rsidRPr="00BC1ABD">
        <w:rPr>
          <w:rFonts w:cs="Arial"/>
          <w:sz w:val="24"/>
          <w:szCs w:val="24"/>
          <w:lang w:val="en-GB"/>
        </w:rPr>
        <w:t>ed in the tables below. The additional criterion, the size of settlements (above or below 100,000 inhabitants) is also taken into account.</w:t>
      </w:r>
    </w:p>
    <w:p w14:paraId="0E4A544A" w14:textId="08D2DDC8" w:rsidR="00A0244C" w:rsidRPr="00BC1ABD" w:rsidRDefault="00A0244C" w:rsidP="00A0244C">
      <w:pPr>
        <w:pStyle w:val="Caption"/>
        <w:jc w:val="center"/>
        <w:rPr>
          <w:rFonts w:cs="Arial"/>
          <w:b/>
          <w:sz w:val="24"/>
          <w:szCs w:val="24"/>
          <w:lang w:val="en-GB"/>
        </w:rPr>
      </w:pPr>
      <w:bookmarkStart w:id="314" w:name="_Toc152931414"/>
      <w:r w:rsidRPr="00852C30">
        <w:rPr>
          <w:highlight w:val="yellow"/>
          <w:lang w:val="en-GB"/>
        </w:rPr>
        <w:t xml:space="preserve">Figure </w:t>
      </w:r>
      <w:r w:rsidRPr="00852C30">
        <w:rPr>
          <w:highlight w:val="yellow"/>
          <w:lang w:val="en-GB"/>
        </w:rPr>
        <w:fldChar w:fldCharType="begin"/>
      </w:r>
      <w:r w:rsidRPr="00852C30">
        <w:rPr>
          <w:highlight w:val="yellow"/>
          <w:lang w:val="en-GB"/>
        </w:rPr>
        <w:instrText xml:space="preserve"> SEQ Figure \* ARABIC </w:instrText>
      </w:r>
      <w:r w:rsidRPr="00852C30">
        <w:rPr>
          <w:highlight w:val="yellow"/>
          <w:lang w:val="en-GB"/>
        </w:rPr>
        <w:fldChar w:fldCharType="separate"/>
      </w:r>
      <w:r w:rsidR="00ED2C35" w:rsidRPr="00852C30">
        <w:rPr>
          <w:noProof/>
          <w:highlight w:val="yellow"/>
          <w:lang w:val="en-GB"/>
        </w:rPr>
        <w:t>63</w:t>
      </w:r>
      <w:r w:rsidRPr="00852C30">
        <w:rPr>
          <w:highlight w:val="yellow"/>
          <w:lang w:val="en-GB"/>
        </w:rPr>
        <w:fldChar w:fldCharType="end"/>
      </w:r>
      <w:r w:rsidRPr="00852C30">
        <w:rPr>
          <w:highlight w:val="yellow"/>
          <w:lang w:val="en-GB"/>
        </w:rPr>
        <w:t xml:space="preserve">: Competition assessment summarised for settlement with three or more </w:t>
      </w:r>
      <w:r w:rsidR="00F026B4" w:rsidRPr="00852C30">
        <w:rPr>
          <w:highlight w:val="yellow"/>
          <w:lang w:val="en-GB"/>
        </w:rPr>
        <w:t>FTTx</w:t>
      </w:r>
      <w:r w:rsidRPr="00852C30">
        <w:rPr>
          <w:highlight w:val="yellow"/>
          <w:lang w:val="en-GB"/>
        </w:rPr>
        <w:t xml:space="preserve"> network operators</w:t>
      </w:r>
      <w:bookmarkEnd w:id="314"/>
    </w:p>
    <w:tbl>
      <w:tblPr>
        <w:tblW w:w="9067" w:type="dxa"/>
        <w:tblInd w:w="-5" w:type="dxa"/>
        <w:tblCellMar>
          <w:left w:w="70" w:type="dxa"/>
          <w:right w:w="70" w:type="dxa"/>
        </w:tblCellMar>
        <w:tblLook w:val="04A0" w:firstRow="1" w:lastRow="0" w:firstColumn="1" w:lastColumn="0" w:noHBand="0" w:noVBand="1"/>
      </w:tblPr>
      <w:tblGrid>
        <w:gridCol w:w="2673"/>
        <w:gridCol w:w="1590"/>
        <w:gridCol w:w="1223"/>
        <w:gridCol w:w="1186"/>
        <w:gridCol w:w="1209"/>
        <w:gridCol w:w="1186"/>
      </w:tblGrid>
      <w:tr w:rsidR="00A0244C" w:rsidRPr="000E716C" w14:paraId="0D51A0A9" w14:textId="77777777" w:rsidTr="00900C13">
        <w:trPr>
          <w:trHeight w:val="300"/>
        </w:trPr>
        <w:tc>
          <w:tcPr>
            <w:tcW w:w="2677" w:type="dxa"/>
            <w:tcBorders>
              <w:top w:val="single" w:sz="4" w:space="0" w:color="9BC2E6"/>
              <w:left w:val="single" w:sz="4" w:space="0" w:color="9BC2E6"/>
              <w:bottom w:val="single" w:sz="4" w:space="0" w:color="9BC2E6"/>
              <w:right w:val="nil"/>
            </w:tcBorders>
            <w:shd w:val="clear" w:color="5B9BD5" w:fill="5B9BD5"/>
            <w:noWrap/>
            <w:vAlign w:val="bottom"/>
            <w:hideMark/>
          </w:tcPr>
          <w:p w14:paraId="54906656" w14:textId="77777777" w:rsidR="00A0244C" w:rsidRPr="00355738" w:rsidRDefault="00A0244C" w:rsidP="007354E3">
            <w:pPr>
              <w:spacing w:after="0" w:line="240" w:lineRule="auto"/>
              <w:rPr>
                <w:rFonts w:eastAsia="Times New Roman" w:cs="Calibri"/>
                <w:b/>
                <w:bCs/>
                <w:color w:val="FFFFFF"/>
                <w:lang w:val="en-GB" w:eastAsia="sl-SI"/>
              </w:rPr>
            </w:pPr>
            <w:r w:rsidRPr="00355738">
              <w:rPr>
                <w:rFonts w:eastAsia="Times New Roman" w:cs="Calibri"/>
                <w:b/>
                <w:bCs/>
                <w:color w:val="FFFFFF"/>
                <w:lang w:val="en-GB" w:eastAsia="sl-SI"/>
              </w:rPr>
              <w:t>Level of competition</w:t>
            </w:r>
          </w:p>
        </w:tc>
        <w:tc>
          <w:tcPr>
            <w:tcW w:w="1592" w:type="dxa"/>
            <w:tcBorders>
              <w:top w:val="single" w:sz="4" w:space="0" w:color="9BC2E6"/>
              <w:left w:val="nil"/>
              <w:bottom w:val="single" w:sz="4" w:space="0" w:color="9BC2E6"/>
              <w:right w:val="nil"/>
            </w:tcBorders>
            <w:shd w:val="clear" w:color="5B9BD5" w:fill="5B9BD5"/>
            <w:noWrap/>
            <w:vAlign w:val="bottom"/>
            <w:hideMark/>
          </w:tcPr>
          <w:p w14:paraId="42B2C7B6" w14:textId="77777777" w:rsidR="00A0244C" w:rsidRPr="000E716C" w:rsidRDefault="00A0244C" w:rsidP="007354E3">
            <w:pPr>
              <w:spacing w:after="0" w:line="240" w:lineRule="auto"/>
              <w:rPr>
                <w:rFonts w:eastAsia="Times New Roman" w:cs="Calibri"/>
                <w:b/>
                <w:bCs/>
                <w:color w:val="FFFFFF"/>
                <w:lang w:val="en-GB" w:eastAsia="sl-SI"/>
              </w:rPr>
            </w:pPr>
            <w:r w:rsidRPr="000E716C">
              <w:rPr>
                <w:rFonts w:eastAsia="Times New Roman" w:cs="Calibri"/>
                <w:b/>
                <w:bCs/>
                <w:color w:val="FFFFFF"/>
                <w:lang w:val="en-GB" w:eastAsia="sl-SI"/>
              </w:rPr>
              <w:t>No of settlements</w:t>
            </w:r>
          </w:p>
        </w:tc>
        <w:tc>
          <w:tcPr>
            <w:tcW w:w="1224" w:type="dxa"/>
            <w:tcBorders>
              <w:top w:val="single" w:sz="4" w:space="0" w:color="9BC2E6"/>
              <w:left w:val="nil"/>
              <w:bottom w:val="single" w:sz="4" w:space="0" w:color="9BC2E6"/>
              <w:right w:val="nil"/>
            </w:tcBorders>
            <w:shd w:val="clear" w:color="5B9BD5" w:fill="5B9BD5"/>
            <w:noWrap/>
            <w:vAlign w:val="bottom"/>
            <w:hideMark/>
          </w:tcPr>
          <w:p w14:paraId="5FA45C1E" w14:textId="77777777" w:rsidR="00A0244C" w:rsidRPr="000E716C" w:rsidRDefault="00A0244C" w:rsidP="007354E3">
            <w:pPr>
              <w:spacing w:after="0" w:line="240" w:lineRule="auto"/>
              <w:rPr>
                <w:rFonts w:eastAsia="Times New Roman" w:cs="Calibri"/>
                <w:b/>
                <w:bCs/>
                <w:color w:val="FFFFFF"/>
                <w:lang w:val="en-GB" w:eastAsia="sl-SI"/>
              </w:rPr>
            </w:pPr>
            <w:r w:rsidRPr="000E716C">
              <w:rPr>
                <w:rFonts w:eastAsia="Times New Roman" w:cs="Calibri"/>
                <w:b/>
                <w:bCs/>
                <w:color w:val="FFFFFF"/>
                <w:lang w:val="en-GB" w:eastAsia="sl-SI"/>
              </w:rPr>
              <w:t>Population</w:t>
            </w:r>
          </w:p>
        </w:tc>
        <w:tc>
          <w:tcPr>
            <w:tcW w:w="1187" w:type="dxa"/>
            <w:tcBorders>
              <w:top w:val="single" w:sz="4" w:space="0" w:color="9BC2E6"/>
              <w:left w:val="nil"/>
              <w:bottom w:val="single" w:sz="4" w:space="0" w:color="9BC2E6"/>
              <w:right w:val="nil"/>
            </w:tcBorders>
            <w:shd w:val="clear" w:color="5B9BD5" w:fill="5B9BD5"/>
            <w:noWrap/>
            <w:vAlign w:val="bottom"/>
            <w:hideMark/>
          </w:tcPr>
          <w:p w14:paraId="3F6EE448" w14:textId="77777777" w:rsidR="00A0244C" w:rsidRPr="000E716C" w:rsidRDefault="00A0244C" w:rsidP="007354E3">
            <w:pPr>
              <w:spacing w:after="0" w:line="240" w:lineRule="auto"/>
              <w:rPr>
                <w:rFonts w:eastAsia="Times New Roman" w:cs="Calibri"/>
                <w:b/>
                <w:bCs/>
                <w:color w:val="FFFFFF"/>
                <w:lang w:val="en-GB" w:eastAsia="sl-SI"/>
              </w:rPr>
            </w:pPr>
            <w:r w:rsidRPr="000E716C">
              <w:rPr>
                <w:rFonts w:eastAsia="Times New Roman" w:cs="Calibri"/>
                <w:b/>
                <w:bCs/>
                <w:color w:val="FFFFFF"/>
                <w:lang w:val="en-GB" w:eastAsia="sl-SI"/>
              </w:rPr>
              <w:t>% of pop</w:t>
            </w:r>
          </w:p>
        </w:tc>
        <w:tc>
          <w:tcPr>
            <w:tcW w:w="1200" w:type="dxa"/>
            <w:tcBorders>
              <w:top w:val="single" w:sz="4" w:space="0" w:color="9BC2E6"/>
              <w:left w:val="nil"/>
              <w:bottom w:val="single" w:sz="4" w:space="0" w:color="9BC2E6"/>
              <w:right w:val="nil"/>
            </w:tcBorders>
            <w:shd w:val="clear" w:color="5B9BD5" w:fill="5B9BD5"/>
            <w:noWrap/>
            <w:vAlign w:val="bottom"/>
            <w:hideMark/>
          </w:tcPr>
          <w:p w14:paraId="1C3881E3" w14:textId="77777777" w:rsidR="00A0244C" w:rsidRPr="000E716C" w:rsidRDefault="00A0244C" w:rsidP="007354E3">
            <w:pPr>
              <w:spacing w:after="0" w:line="240" w:lineRule="auto"/>
              <w:rPr>
                <w:rFonts w:eastAsia="Times New Roman" w:cs="Calibri"/>
                <w:b/>
                <w:bCs/>
                <w:color w:val="FFFFFF"/>
                <w:lang w:val="en-GB" w:eastAsia="sl-SI"/>
              </w:rPr>
            </w:pPr>
            <w:r w:rsidRPr="000E716C">
              <w:rPr>
                <w:rFonts w:eastAsia="Times New Roman" w:cs="Calibri"/>
                <w:b/>
                <w:bCs/>
                <w:color w:val="FFFFFF"/>
                <w:lang w:val="en-GB" w:eastAsia="sl-SI"/>
              </w:rPr>
              <w:t>Households</w:t>
            </w:r>
          </w:p>
        </w:tc>
        <w:tc>
          <w:tcPr>
            <w:tcW w:w="1187" w:type="dxa"/>
            <w:tcBorders>
              <w:top w:val="single" w:sz="4" w:space="0" w:color="9BC2E6"/>
              <w:left w:val="nil"/>
              <w:bottom w:val="single" w:sz="4" w:space="0" w:color="9BC2E6"/>
              <w:right w:val="single" w:sz="4" w:space="0" w:color="9BC2E6"/>
            </w:tcBorders>
            <w:shd w:val="clear" w:color="5B9BD5" w:fill="5B9BD5"/>
            <w:noWrap/>
            <w:vAlign w:val="bottom"/>
            <w:hideMark/>
          </w:tcPr>
          <w:p w14:paraId="3EDBB23D" w14:textId="540673DF" w:rsidR="00A0244C" w:rsidRPr="000E716C" w:rsidRDefault="00A0244C" w:rsidP="007354E3">
            <w:pPr>
              <w:spacing w:after="0" w:line="240" w:lineRule="auto"/>
              <w:rPr>
                <w:rFonts w:eastAsia="Times New Roman" w:cs="Calibri"/>
                <w:b/>
                <w:bCs/>
                <w:color w:val="FFFFFF"/>
                <w:lang w:val="en-GB" w:eastAsia="sl-SI"/>
              </w:rPr>
            </w:pPr>
            <w:r w:rsidRPr="000E716C">
              <w:rPr>
                <w:rFonts w:eastAsia="Times New Roman" w:cs="Calibri"/>
                <w:b/>
                <w:bCs/>
                <w:color w:val="FFFFFF"/>
                <w:lang w:val="en-GB" w:eastAsia="sl-SI"/>
              </w:rPr>
              <w:t xml:space="preserve">%of </w:t>
            </w:r>
            <w:r w:rsidR="002B126E">
              <w:rPr>
                <w:rFonts w:eastAsia="Times New Roman" w:cs="Calibri"/>
                <w:b/>
                <w:bCs/>
                <w:color w:val="FFFFFF"/>
                <w:lang w:val="en-GB" w:eastAsia="sl-SI"/>
              </w:rPr>
              <w:t>household</w:t>
            </w:r>
          </w:p>
        </w:tc>
      </w:tr>
      <w:tr w:rsidR="00900C13" w:rsidRPr="00355738" w14:paraId="687AC2F1" w14:textId="77777777" w:rsidTr="00900C13">
        <w:trPr>
          <w:trHeight w:val="300"/>
        </w:trPr>
        <w:tc>
          <w:tcPr>
            <w:tcW w:w="2677" w:type="dxa"/>
            <w:tcBorders>
              <w:top w:val="single" w:sz="4" w:space="0" w:color="9BC2E6"/>
              <w:left w:val="single" w:sz="4" w:space="0" w:color="9BC2E6"/>
              <w:bottom w:val="single" w:sz="4" w:space="0" w:color="9BC2E6"/>
              <w:right w:val="nil"/>
            </w:tcBorders>
            <w:shd w:val="clear" w:color="DDEBF7" w:fill="DDEBF7"/>
            <w:noWrap/>
            <w:vAlign w:val="bottom"/>
            <w:hideMark/>
          </w:tcPr>
          <w:p w14:paraId="0F8D2659" w14:textId="77777777" w:rsidR="00900C13" w:rsidRPr="000E716C" w:rsidRDefault="00900C13" w:rsidP="00900C13">
            <w:pPr>
              <w:spacing w:after="0" w:line="240" w:lineRule="auto"/>
              <w:rPr>
                <w:rFonts w:eastAsia="Times New Roman" w:cs="Calibri"/>
                <w:color w:val="000000"/>
                <w:lang w:val="en-GB" w:eastAsia="sl-SI"/>
              </w:rPr>
            </w:pPr>
            <w:r w:rsidRPr="000E716C">
              <w:rPr>
                <w:rFonts w:eastAsia="Times New Roman" w:cs="Calibri"/>
                <w:color w:val="000000"/>
                <w:lang w:val="en-GB" w:eastAsia="sl-SI"/>
              </w:rPr>
              <w:t>CONTESTABLE</w:t>
            </w:r>
          </w:p>
        </w:tc>
        <w:tc>
          <w:tcPr>
            <w:tcW w:w="1592" w:type="dxa"/>
            <w:tcBorders>
              <w:top w:val="single" w:sz="4" w:space="0" w:color="9BC2E6"/>
              <w:left w:val="nil"/>
              <w:bottom w:val="single" w:sz="4" w:space="0" w:color="9BC2E6"/>
              <w:right w:val="nil"/>
            </w:tcBorders>
            <w:shd w:val="clear" w:color="DDEBF7" w:fill="DDEBF7"/>
            <w:noWrap/>
            <w:vAlign w:val="bottom"/>
            <w:hideMark/>
          </w:tcPr>
          <w:p w14:paraId="3504EB97" w14:textId="064FCA87"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9</w:t>
            </w:r>
          </w:p>
        </w:tc>
        <w:tc>
          <w:tcPr>
            <w:tcW w:w="1224" w:type="dxa"/>
            <w:tcBorders>
              <w:top w:val="single" w:sz="4" w:space="0" w:color="9BC2E6"/>
              <w:left w:val="nil"/>
              <w:bottom w:val="single" w:sz="4" w:space="0" w:color="9BC2E6"/>
              <w:right w:val="nil"/>
            </w:tcBorders>
            <w:shd w:val="clear" w:color="DDEBF7" w:fill="DDEBF7"/>
            <w:noWrap/>
            <w:vAlign w:val="bottom"/>
            <w:hideMark/>
          </w:tcPr>
          <w:p w14:paraId="18CECFBB" w14:textId="3E1942CF"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24.964</w:t>
            </w:r>
          </w:p>
        </w:tc>
        <w:tc>
          <w:tcPr>
            <w:tcW w:w="1187" w:type="dxa"/>
            <w:tcBorders>
              <w:top w:val="single" w:sz="4" w:space="0" w:color="9BC2E6"/>
              <w:left w:val="nil"/>
              <w:bottom w:val="single" w:sz="4" w:space="0" w:color="9BC2E6"/>
              <w:right w:val="nil"/>
            </w:tcBorders>
            <w:shd w:val="clear" w:color="DDEBF7" w:fill="DDEBF7"/>
            <w:noWrap/>
            <w:vAlign w:val="bottom"/>
            <w:hideMark/>
          </w:tcPr>
          <w:p w14:paraId="51040489" w14:textId="6A24C7A7"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0.68</w:t>
            </w:r>
          </w:p>
        </w:tc>
        <w:tc>
          <w:tcPr>
            <w:tcW w:w="1200" w:type="dxa"/>
            <w:tcBorders>
              <w:top w:val="single" w:sz="4" w:space="0" w:color="9BC2E6"/>
              <w:left w:val="nil"/>
              <w:bottom w:val="single" w:sz="4" w:space="0" w:color="9BC2E6"/>
              <w:right w:val="nil"/>
            </w:tcBorders>
            <w:shd w:val="clear" w:color="DDEBF7" w:fill="DDEBF7"/>
            <w:noWrap/>
            <w:vAlign w:val="bottom"/>
            <w:hideMark/>
          </w:tcPr>
          <w:p w14:paraId="222EE02D" w14:textId="200C444F"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7,004</w:t>
            </w:r>
          </w:p>
        </w:tc>
        <w:tc>
          <w:tcPr>
            <w:tcW w:w="1187" w:type="dxa"/>
            <w:tcBorders>
              <w:top w:val="single" w:sz="4" w:space="0" w:color="9BC2E6"/>
              <w:left w:val="nil"/>
              <w:bottom w:val="single" w:sz="4" w:space="0" w:color="9BC2E6"/>
              <w:right w:val="single" w:sz="4" w:space="0" w:color="9BC2E6"/>
            </w:tcBorders>
            <w:shd w:val="clear" w:color="DDEBF7" w:fill="DDEBF7"/>
            <w:noWrap/>
            <w:vAlign w:val="bottom"/>
            <w:hideMark/>
          </w:tcPr>
          <w:p w14:paraId="7B5AE11B" w14:textId="11A56118"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0.56</w:t>
            </w:r>
          </w:p>
        </w:tc>
      </w:tr>
      <w:tr w:rsidR="00900C13" w:rsidRPr="00355738" w14:paraId="02BE6132" w14:textId="77777777" w:rsidTr="00900C13">
        <w:trPr>
          <w:trHeight w:val="300"/>
        </w:trPr>
        <w:tc>
          <w:tcPr>
            <w:tcW w:w="2677" w:type="dxa"/>
            <w:tcBorders>
              <w:top w:val="single" w:sz="4" w:space="0" w:color="9BC2E6"/>
              <w:left w:val="single" w:sz="4" w:space="0" w:color="9BC2E6"/>
              <w:bottom w:val="single" w:sz="4" w:space="0" w:color="9BC2E6"/>
              <w:right w:val="nil"/>
            </w:tcBorders>
            <w:shd w:val="clear" w:color="auto" w:fill="auto"/>
            <w:noWrap/>
            <w:vAlign w:val="bottom"/>
            <w:hideMark/>
          </w:tcPr>
          <w:p w14:paraId="48957463" w14:textId="77777777" w:rsidR="00900C13" w:rsidRPr="00355738" w:rsidRDefault="00900C13" w:rsidP="00900C13">
            <w:pPr>
              <w:spacing w:after="0" w:line="240" w:lineRule="auto"/>
              <w:rPr>
                <w:rFonts w:eastAsia="Times New Roman" w:cs="Calibri"/>
                <w:color w:val="000000"/>
                <w:lang w:val="en-GB" w:eastAsia="sl-SI"/>
              </w:rPr>
            </w:pPr>
            <w:r w:rsidRPr="00355738">
              <w:rPr>
                <w:rFonts w:eastAsia="Times New Roman" w:cs="Calibri"/>
                <w:color w:val="000000"/>
                <w:lang w:val="en-GB" w:eastAsia="sl-SI"/>
              </w:rPr>
              <w:t>CONTESTABLE BUT TOO BIG</w:t>
            </w:r>
          </w:p>
        </w:tc>
        <w:tc>
          <w:tcPr>
            <w:tcW w:w="1592" w:type="dxa"/>
            <w:tcBorders>
              <w:top w:val="single" w:sz="4" w:space="0" w:color="9BC2E6"/>
              <w:left w:val="nil"/>
              <w:bottom w:val="single" w:sz="4" w:space="0" w:color="9BC2E6"/>
              <w:right w:val="nil"/>
            </w:tcBorders>
            <w:shd w:val="clear" w:color="auto" w:fill="auto"/>
            <w:noWrap/>
            <w:vAlign w:val="bottom"/>
            <w:hideMark/>
          </w:tcPr>
          <w:p w14:paraId="289ED5D4" w14:textId="108A99C2"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2</w:t>
            </w:r>
          </w:p>
        </w:tc>
        <w:tc>
          <w:tcPr>
            <w:tcW w:w="1224" w:type="dxa"/>
            <w:tcBorders>
              <w:top w:val="nil"/>
              <w:left w:val="nil"/>
              <w:bottom w:val="single" w:sz="4" w:space="0" w:color="9BC2E6"/>
              <w:right w:val="nil"/>
            </w:tcBorders>
            <w:shd w:val="clear" w:color="auto" w:fill="auto"/>
            <w:noWrap/>
            <w:vAlign w:val="bottom"/>
            <w:hideMark/>
          </w:tcPr>
          <w:p w14:paraId="707DF403" w14:textId="30395842"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272,738</w:t>
            </w:r>
          </w:p>
        </w:tc>
        <w:tc>
          <w:tcPr>
            <w:tcW w:w="1187" w:type="dxa"/>
            <w:tcBorders>
              <w:top w:val="single" w:sz="4" w:space="0" w:color="9BC2E6"/>
              <w:left w:val="nil"/>
              <w:bottom w:val="single" w:sz="4" w:space="0" w:color="9BC2E6"/>
              <w:right w:val="nil"/>
            </w:tcBorders>
            <w:shd w:val="clear" w:color="auto" w:fill="auto"/>
            <w:noWrap/>
            <w:vAlign w:val="bottom"/>
            <w:hideMark/>
          </w:tcPr>
          <w:p w14:paraId="2B071AAA" w14:textId="22FB98F8"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7.41</w:t>
            </w:r>
          </w:p>
        </w:tc>
        <w:tc>
          <w:tcPr>
            <w:tcW w:w="1200" w:type="dxa"/>
            <w:tcBorders>
              <w:top w:val="nil"/>
              <w:left w:val="nil"/>
              <w:bottom w:val="single" w:sz="4" w:space="0" w:color="9BC2E6"/>
              <w:right w:val="nil"/>
            </w:tcBorders>
            <w:shd w:val="clear" w:color="auto" w:fill="auto"/>
            <w:noWrap/>
            <w:vAlign w:val="bottom"/>
            <w:hideMark/>
          </w:tcPr>
          <w:p w14:paraId="4A96C419" w14:textId="29283664"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82,737</w:t>
            </w:r>
          </w:p>
        </w:tc>
        <w:tc>
          <w:tcPr>
            <w:tcW w:w="1187" w:type="dxa"/>
            <w:tcBorders>
              <w:top w:val="single" w:sz="4" w:space="0" w:color="9BC2E6"/>
              <w:left w:val="nil"/>
              <w:bottom w:val="single" w:sz="4" w:space="0" w:color="9BC2E6"/>
              <w:right w:val="single" w:sz="4" w:space="0" w:color="9BC2E6"/>
            </w:tcBorders>
            <w:shd w:val="clear" w:color="auto" w:fill="auto"/>
            <w:noWrap/>
            <w:vAlign w:val="bottom"/>
            <w:hideMark/>
          </w:tcPr>
          <w:p w14:paraId="14EDD2D8" w14:textId="06BB5B12"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6.61</w:t>
            </w:r>
          </w:p>
        </w:tc>
      </w:tr>
      <w:tr w:rsidR="00900C13" w:rsidRPr="00BC1ABD" w14:paraId="448FB155" w14:textId="77777777" w:rsidTr="00900C13">
        <w:trPr>
          <w:trHeight w:val="300"/>
        </w:trPr>
        <w:tc>
          <w:tcPr>
            <w:tcW w:w="2677" w:type="dxa"/>
            <w:tcBorders>
              <w:top w:val="single" w:sz="4" w:space="0" w:color="9BC2E6"/>
              <w:left w:val="single" w:sz="4" w:space="0" w:color="9BC2E6"/>
              <w:bottom w:val="single" w:sz="4" w:space="0" w:color="9BC2E6"/>
              <w:right w:val="nil"/>
            </w:tcBorders>
            <w:shd w:val="clear" w:color="DDEBF7" w:fill="DDEBF7"/>
            <w:noWrap/>
            <w:vAlign w:val="bottom"/>
            <w:hideMark/>
          </w:tcPr>
          <w:p w14:paraId="5CA35B88" w14:textId="77777777" w:rsidR="00900C13" w:rsidRPr="00355738" w:rsidRDefault="00900C13" w:rsidP="00900C13">
            <w:pPr>
              <w:spacing w:after="0" w:line="240" w:lineRule="auto"/>
              <w:rPr>
                <w:rFonts w:eastAsia="Times New Roman" w:cs="Calibri"/>
                <w:color w:val="000000"/>
                <w:lang w:val="en-GB" w:eastAsia="sl-SI"/>
              </w:rPr>
            </w:pPr>
            <w:r w:rsidRPr="00355738">
              <w:rPr>
                <w:rFonts w:eastAsia="Times New Roman" w:cs="Calibri"/>
                <w:color w:val="000000"/>
                <w:lang w:val="en-GB" w:eastAsia="sl-SI"/>
              </w:rPr>
              <w:t>NOT CONTESTABLE</w:t>
            </w:r>
          </w:p>
        </w:tc>
        <w:tc>
          <w:tcPr>
            <w:tcW w:w="1592" w:type="dxa"/>
            <w:tcBorders>
              <w:top w:val="single" w:sz="4" w:space="0" w:color="9BC2E6"/>
              <w:left w:val="nil"/>
              <w:bottom w:val="single" w:sz="4" w:space="0" w:color="9BC2E6"/>
              <w:right w:val="nil"/>
            </w:tcBorders>
            <w:shd w:val="clear" w:color="DDEBF7" w:fill="DDEBF7"/>
            <w:noWrap/>
            <w:vAlign w:val="bottom"/>
            <w:hideMark/>
          </w:tcPr>
          <w:p w14:paraId="01FB5C3C" w14:textId="5CA1729E"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34</w:t>
            </w:r>
          </w:p>
        </w:tc>
        <w:tc>
          <w:tcPr>
            <w:tcW w:w="1224" w:type="dxa"/>
            <w:tcBorders>
              <w:top w:val="single" w:sz="4" w:space="0" w:color="9BC2E6"/>
              <w:left w:val="nil"/>
              <w:bottom w:val="single" w:sz="4" w:space="0" w:color="9BC2E6"/>
              <w:right w:val="nil"/>
            </w:tcBorders>
            <w:shd w:val="clear" w:color="DDEBF7" w:fill="DDEBF7"/>
            <w:noWrap/>
            <w:vAlign w:val="bottom"/>
            <w:hideMark/>
          </w:tcPr>
          <w:p w14:paraId="230E1C87" w14:textId="649E8727" w:rsidR="00900C13" w:rsidRPr="00355738" w:rsidRDefault="00900C13" w:rsidP="00900C13">
            <w:pPr>
              <w:spacing w:after="0" w:line="240" w:lineRule="auto"/>
              <w:jc w:val="right"/>
              <w:rPr>
                <w:rFonts w:eastAsia="Times New Roman" w:cs="Calibri"/>
                <w:color w:val="000000"/>
                <w:lang w:val="en-GB" w:eastAsia="sl-SI"/>
              </w:rPr>
            </w:pPr>
            <w:bookmarkStart w:id="315" w:name="OLE_LINK1"/>
            <w:r w:rsidRPr="00355738">
              <w:rPr>
                <w:rFonts w:ascii="Sylfaen" w:eastAsia="Times New Roman" w:hAnsi="Sylfaen" w:cs="Calibri"/>
                <w:color w:val="000000"/>
                <w:sz w:val="16"/>
                <w:szCs w:val="16"/>
                <w:lang w:val="ka-GE" w:eastAsia="sl-SI"/>
              </w:rPr>
              <w:t>1,689,746</w:t>
            </w:r>
            <w:bookmarkEnd w:id="315"/>
          </w:p>
        </w:tc>
        <w:tc>
          <w:tcPr>
            <w:tcW w:w="1187" w:type="dxa"/>
            <w:tcBorders>
              <w:top w:val="single" w:sz="4" w:space="0" w:color="9BC2E6"/>
              <w:left w:val="nil"/>
              <w:bottom w:val="single" w:sz="4" w:space="0" w:color="9BC2E6"/>
              <w:right w:val="nil"/>
            </w:tcBorders>
            <w:shd w:val="clear" w:color="DDEBF7" w:fill="DDEBF7"/>
            <w:noWrap/>
            <w:vAlign w:val="bottom"/>
            <w:hideMark/>
          </w:tcPr>
          <w:p w14:paraId="6F691965" w14:textId="30B3DCB4"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45,9</w:t>
            </w:r>
          </w:p>
        </w:tc>
        <w:tc>
          <w:tcPr>
            <w:tcW w:w="1200" w:type="dxa"/>
            <w:tcBorders>
              <w:top w:val="single" w:sz="4" w:space="0" w:color="9BC2E6"/>
              <w:left w:val="nil"/>
              <w:bottom w:val="single" w:sz="4" w:space="0" w:color="9BC2E6"/>
              <w:right w:val="nil"/>
            </w:tcBorders>
            <w:shd w:val="clear" w:color="DDEBF7" w:fill="DDEBF7"/>
            <w:noWrap/>
            <w:vAlign w:val="bottom"/>
            <w:hideMark/>
          </w:tcPr>
          <w:p w14:paraId="2E002AEF" w14:textId="7F26BC27"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659,412</w:t>
            </w:r>
          </w:p>
        </w:tc>
        <w:tc>
          <w:tcPr>
            <w:tcW w:w="1187" w:type="dxa"/>
            <w:tcBorders>
              <w:top w:val="single" w:sz="4" w:space="0" w:color="9BC2E6"/>
              <w:left w:val="nil"/>
              <w:bottom w:val="single" w:sz="4" w:space="0" w:color="9BC2E6"/>
              <w:right w:val="single" w:sz="4" w:space="0" w:color="9BC2E6"/>
            </w:tcBorders>
            <w:shd w:val="clear" w:color="DDEBF7" w:fill="DDEBF7"/>
            <w:noWrap/>
            <w:vAlign w:val="bottom"/>
            <w:hideMark/>
          </w:tcPr>
          <w:p w14:paraId="577BD463" w14:textId="0C0D3169" w:rsidR="00900C13" w:rsidRPr="00355738" w:rsidRDefault="00900C13" w:rsidP="00900C13">
            <w:pPr>
              <w:spacing w:after="0" w:line="240" w:lineRule="auto"/>
              <w:jc w:val="right"/>
              <w:rPr>
                <w:rFonts w:eastAsia="Times New Roman" w:cs="Calibri"/>
                <w:color w:val="000000"/>
                <w:lang w:val="en-GB" w:eastAsia="sl-SI"/>
              </w:rPr>
            </w:pPr>
            <w:r w:rsidRPr="00355738">
              <w:rPr>
                <w:rFonts w:ascii="Sylfaen" w:eastAsia="Times New Roman" w:hAnsi="Sylfaen" w:cs="Calibri"/>
                <w:color w:val="000000"/>
                <w:sz w:val="16"/>
                <w:szCs w:val="16"/>
                <w:lang w:val="ka-GE" w:eastAsia="sl-SI"/>
              </w:rPr>
              <w:t>52.7</w:t>
            </w:r>
          </w:p>
        </w:tc>
      </w:tr>
    </w:tbl>
    <w:p w14:paraId="5792DBC6" w14:textId="77777777" w:rsidR="00A0244C" w:rsidRPr="00BC1ABD" w:rsidRDefault="00A0244C" w:rsidP="00A0244C">
      <w:pPr>
        <w:jc w:val="center"/>
        <w:rPr>
          <w:rFonts w:cs="Arial"/>
          <w:sz w:val="4"/>
          <w:szCs w:val="4"/>
          <w:lang w:val="en-GB"/>
        </w:rPr>
      </w:pPr>
    </w:p>
    <w:p w14:paraId="3806293A"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5F6857EE" w14:textId="712D4BC1" w:rsidR="00A0244C" w:rsidRPr="00BC1ABD" w:rsidRDefault="00A0244C" w:rsidP="00A0244C">
      <w:pPr>
        <w:jc w:val="both"/>
        <w:rPr>
          <w:rFonts w:cs="Arial"/>
          <w:sz w:val="24"/>
          <w:szCs w:val="24"/>
          <w:lang w:val="en-GB"/>
        </w:rPr>
      </w:pPr>
      <w:r w:rsidRPr="00BC1ABD">
        <w:rPr>
          <w:rFonts w:cs="Arial"/>
          <w:sz w:val="24"/>
          <w:szCs w:val="24"/>
          <w:lang w:val="en-GB"/>
        </w:rPr>
        <w:t xml:space="preserve">In the settlements where three or more </w:t>
      </w:r>
      <w:r w:rsidR="00F026B4">
        <w:rPr>
          <w:rFonts w:cs="Arial"/>
          <w:sz w:val="24"/>
          <w:szCs w:val="24"/>
          <w:lang w:val="en-GB"/>
        </w:rPr>
        <w:t>FTTx</w:t>
      </w:r>
      <w:r w:rsidRPr="00BC1ABD">
        <w:rPr>
          <w:rFonts w:cs="Arial"/>
          <w:sz w:val="24"/>
          <w:szCs w:val="24"/>
          <w:lang w:val="en-GB"/>
        </w:rPr>
        <w:t xml:space="preserve"> network operators are present, the significant majority of the population live in non-contestable areas (see Figure </w:t>
      </w:r>
      <w:r w:rsidR="00974DC1">
        <w:rPr>
          <w:sz w:val="24"/>
          <w:lang w:val="en-GB"/>
        </w:rPr>
        <w:t>6</w:t>
      </w:r>
      <w:r w:rsidR="00080335">
        <w:rPr>
          <w:sz w:val="24"/>
          <w:lang w:val="en-GB"/>
        </w:rPr>
        <w:t>4</w:t>
      </w:r>
      <w:r w:rsidRPr="00BC1ABD">
        <w:rPr>
          <w:rFonts w:cs="Arial"/>
          <w:sz w:val="24"/>
          <w:szCs w:val="24"/>
          <w:lang w:val="en-GB"/>
        </w:rPr>
        <w:t xml:space="preserve">). The situation is described in the next three tables for settlements with 5, 4 and 3 </w:t>
      </w:r>
      <w:r w:rsidR="00F026B4">
        <w:rPr>
          <w:rFonts w:cs="Arial"/>
          <w:sz w:val="24"/>
          <w:szCs w:val="24"/>
          <w:lang w:val="en-GB"/>
        </w:rPr>
        <w:t>FTTx</w:t>
      </w:r>
      <w:r w:rsidRPr="00BC1ABD">
        <w:rPr>
          <w:rFonts w:cs="Arial"/>
          <w:sz w:val="24"/>
          <w:szCs w:val="24"/>
          <w:lang w:val="en-GB"/>
        </w:rPr>
        <w:t xml:space="preserve"> network operators present. In two settlement above 100,000 inhabitants the three criteria are fulfilled, but due to their size and the unavailability of more granular </w:t>
      </w:r>
      <w:r w:rsidR="00F026B4">
        <w:rPr>
          <w:rFonts w:cs="Arial"/>
          <w:sz w:val="24"/>
          <w:szCs w:val="24"/>
          <w:lang w:val="en-GB"/>
        </w:rPr>
        <w:t>FTTx</w:t>
      </w:r>
      <w:r w:rsidRPr="00BC1ABD">
        <w:rPr>
          <w:rFonts w:cs="Arial"/>
          <w:sz w:val="24"/>
          <w:szCs w:val="24"/>
          <w:lang w:val="en-GB"/>
        </w:rPr>
        <w:t xml:space="preserve"> network coverage data, it is not possible to conclude if these 2 settlements are generally contestable. Only </w:t>
      </w:r>
      <w:r w:rsidR="00EE486E" w:rsidRPr="00852C30">
        <w:rPr>
          <w:rFonts w:cs="Arial"/>
          <w:sz w:val="24"/>
          <w:szCs w:val="24"/>
          <w:highlight w:val="yellow"/>
          <w:lang w:val="en-GB"/>
        </w:rPr>
        <w:t>9</w:t>
      </w:r>
      <w:r w:rsidRPr="00BC1ABD">
        <w:rPr>
          <w:rFonts w:cs="Arial"/>
          <w:sz w:val="24"/>
          <w:szCs w:val="24"/>
          <w:lang w:val="en-GB"/>
        </w:rPr>
        <w:t xml:space="preserve"> settlements fulfil all criteria cumulatively and can be considered as contestable and thus candidates for deregulation.</w:t>
      </w:r>
    </w:p>
    <w:p w14:paraId="410238B3" w14:textId="3AFAFA98" w:rsidR="00A0244C" w:rsidRPr="00BC1ABD" w:rsidRDefault="00A0244C" w:rsidP="00A0244C">
      <w:pPr>
        <w:pStyle w:val="Caption"/>
        <w:jc w:val="center"/>
        <w:rPr>
          <w:rFonts w:cs="Arial"/>
          <w:b/>
          <w:sz w:val="24"/>
          <w:szCs w:val="24"/>
          <w:lang w:val="en-GB"/>
        </w:rPr>
      </w:pPr>
      <w:bookmarkStart w:id="316" w:name="_Toc152931415"/>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64</w:t>
      </w:r>
      <w:r w:rsidRPr="00BC1ABD">
        <w:rPr>
          <w:lang w:val="en-GB"/>
        </w:rPr>
        <w:fldChar w:fldCharType="end"/>
      </w:r>
      <w:r w:rsidRPr="00BC1ABD">
        <w:rPr>
          <w:lang w:val="en-GB"/>
        </w:rPr>
        <w:t xml:space="preserve">: Competition in settlements with 5 </w:t>
      </w:r>
      <w:r w:rsidR="00F026B4">
        <w:rPr>
          <w:lang w:val="en-GB"/>
        </w:rPr>
        <w:t>FTTx</w:t>
      </w:r>
      <w:r w:rsidRPr="00BC1ABD">
        <w:rPr>
          <w:lang w:val="en-GB"/>
        </w:rPr>
        <w:t xml:space="preserve"> network operators</w:t>
      </w:r>
      <w:bookmarkEnd w:id="316"/>
    </w:p>
    <w:tbl>
      <w:tblPr>
        <w:tblW w:w="9067" w:type="dxa"/>
        <w:tblInd w:w="-5" w:type="dxa"/>
        <w:tblBorders>
          <w:top w:val="single" w:sz="4" w:space="0" w:color="9BC2E6"/>
          <w:left w:val="single" w:sz="8" w:space="0" w:color="9BC2E6"/>
          <w:bottom w:val="single" w:sz="4" w:space="0" w:color="9BC2E6"/>
          <w:right w:val="single" w:sz="8" w:space="0" w:color="9BC2E6"/>
          <w:insideV w:val="single" w:sz="8" w:space="0" w:color="9BC2E6"/>
        </w:tblBorders>
        <w:tblLayout w:type="fixed"/>
        <w:tblCellMar>
          <w:left w:w="70" w:type="dxa"/>
          <w:right w:w="70" w:type="dxa"/>
        </w:tblCellMar>
        <w:tblLook w:val="04A0" w:firstRow="1" w:lastRow="0" w:firstColumn="1" w:lastColumn="0" w:noHBand="0" w:noVBand="1"/>
      </w:tblPr>
      <w:tblGrid>
        <w:gridCol w:w="1334"/>
        <w:gridCol w:w="969"/>
        <w:gridCol w:w="1501"/>
        <w:gridCol w:w="869"/>
        <w:gridCol w:w="709"/>
        <w:gridCol w:w="709"/>
        <w:gridCol w:w="567"/>
        <w:gridCol w:w="657"/>
        <w:gridCol w:w="584"/>
        <w:gridCol w:w="584"/>
        <w:gridCol w:w="584"/>
      </w:tblGrid>
      <w:tr w:rsidR="00A0244C" w:rsidRPr="00BC1ABD" w14:paraId="0BFFB674" w14:textId="77777777" w:rsidTr="007354E3">
        <w:trPr>
          <w:trHeight w:val="563"/>
        </w:trPr>
        <w:tc>
          <w:tcPr>
            <w:tcW w:w="1334" w:type="dxa"/>
            <w:shd w:val="clear" w:color="5B9BD5" w:fill="5B9BD5"/>
            <w:vAlign w:val="bottom"/>
            <w:hideMark/>
          </w:tcPr>
          <w:p w14:paraId="0D4612CE"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Municipality</w:t>
            </w:r>
          </w:p>
        </w:tc>
        <w:tc>
          <w:tcPr>
            <w:tcW w:w="969" w:type="dxa"/>
            <w:shd w:val="clear" w:color="5B9BD5" w:fill="5B9BD5"/>
            <w:vAlign w:val="bottom"/>
            <w:hideMark/>
          </w:tcPr>
          <w:p w14:paraId="544C3244"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Settlement</w:t>
            </w:r>
          </w:p>
        </w:tc>
        <w:tc>
          <w:tcPr>
            <w:tcW w:w="1501" w:type="dxa"/>
            <w:shd w:val="clear" w:color="5B9BD5" w:fill="5B9BD5"/>
            <w:vAlign w:val="bottom"/>
            <w:hideMark/>
          </w:tcPr>
          <w:p w14:paraId="0A3134D8"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 xml:space="preserve">Contestable </w:t>
            </w:r>
          </w:p>
        </w:tc>
        <w:tc>
          <w:tcPr>
            <w:tcW w:w="869" w:type="dxa"/>
            <w:shd w:val="clear" w:color="5B9BD5" w:fill="5B9BD5"/>
            <w:vAlign w:val="bottom"/>
            <w:hideMark/>
          </w:tcPr>
          <w:p w14:paraId="1CC509A7"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Population</w:t>
            </w:r>
          </w:p>
        </w:tc>
        <w:tc>
          <w:tcPr>
            <w:tcW w:w="709" w:type="dxa"/>
            <w:shd w:val="clear" w:color="5B9BD5" w:fill="5B9BD5"/>
            <w:vAlign w:val="bottom"/>
            <w:hideMark/>
          </w:tcPr>
          <w:p w14:paraId="4E101493" w14:textId="50FAE3CE" w:rsidR="00A0244C" w:rsidRPr="00BC1ABD" w:rsidRDefault="00E5732A"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H</w:t>
            </w:r>
            <w:r w:rsidR="00A0244C" w:rsidRPr="00BC1ABD">
              <w:rPr>
                <w:rFonts w:eastAsia="Times New Roman" w:cs="Calibri"/>
                <w:b/>
                <w:bCs/>
                <w:color w:val="FFFFFF"/>
                <w:sz w:val="16"/>
                <w:szCs w:val="16"/>
                <w:lang w:val="en-GB" w:eastAsia="sl-SI"/>
              </w:rPr>
              <w:t>ouseholds</w:t>
            </w:r>
          </w:p>
        </w:tc>
        <w:tc>
          <w:tcPr>
            <w:tcW w:w="709" w:type="dxa"/>
            <w:shd w:val="clear" w:color="5B9BD5" w:fill="5B9BD5"/>
            <w:vAlign w:val="bottom"/>
            <w:hideMark/>
          </w:tcPr>
          <w:p w14:paraId="59F21B20"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subscribers total</w:t>
            </w:r>
          </w:p>
        </w:tc>
        <w:tc>
          <w:tcPr>
            <w:tcW w:w="567" w:type="dxa"/>
            <w:shd w:val="clear" w:color="5B9BD5" w:fill="5B9BD5"/>
            <w:vAlign w:val="bottom"/>
            <w:hideMark/>
          </w:tcPr>
          <w:p w14:paraId="38077EA8"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Magticom share</w:t>
            </w:r>
          </w:p>
        </w:tc>
        <w:tc>
          <w:tcPr>
            <w:tcW w:w="657" w:type="dxa"/>
            <w:shd w:val="clear" w:color="5B9BD5" w:fill="5B9BD5"/>
            <w:vAlign w:val="bottom"/>
            <w:hideMark/>
          </w:tcPr>
          <w:p w14:paraId="1292B951"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Silknet share</w:t>
            </w:r>
          </w:p>
        </w:tc>
        <w:tc>
          <w:tcPr>
            <w:tcW w:w="584" w:type="dxa"/>
            <w:shd w:val="clear" w:color="5B9BD5" w:fill="5B9BD5"/>
            <w:vAlign w:val="bottom"/>
            <w:hideMark/>
          </w:tcPr>
          <w:p w14:paraId="21DC1A71"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SkyTel share</w:t>
            </w:r>
          </w:p>
        </w:tc>
        <w:tc>
          <w:tcPr>
            <w:tcW w:w="584" w:type="dxa"/>
            <w:shd w:val="clear" w:color="5B9BD5" w:fill="5B9BD5"/>
            <w:vAlign w:val="bottom"/>
            <w:hideMark/>
          </w:tcPr>
          <w:p w14:paraId="13EF1581"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Akhali Kselebi share</w:t>
            </w:r>
          </w:p>
        </w:tc>
        <w:tc>
          <w:tcPr>
            <w:tcW w:w="584" w:type="dxa"/>
            <w:shd w:val="clear" w:color="5B9BD5" w:fill="5B9BD5"/>
            <w:vAlign w:val="bottom"/>
            <w:hideMark/>
          </w:tcPr>
          <w:p w14:paraId="5618AF08"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Other share</w:t>
            </w:r>
          </w:p>
        </w:tc>
      </w:tr>
      <w:tr w:rsidR="00A0244C" w:rsidRPr="00BC1ABD" w14:paraId="64170CA1" w14:textId="77777777" w:rsidTr="007354E3">
        <w:trPr>
          <w:trHeight w:val="300"/>
        </w:trPr>
        <w:tc>
          <w:tcPr>
            <w:tcW w:w="1334" w:type="dxa"/>
            <w:shd w:val="clear" w:color="DDEBF7" w:fill="DDEBF7"/>
            <w:noWrap/>
            <w:vAlign w:val="center"/>
            <w:hideMark/>
          </w:tcPr>
          <w:p w14:paraId="6C072CDF"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Tbilisi</w:t>
            </w:r>
          </w:p>
        </w:tc>
        <w:tc>
          <w:tcPr>
            <w:tcW w:w="969" w:type="dxa"/>
            <w:shd w:val="clear" w:color="DDEBF7" w:fill="DDEBF7"/>
            <w:noWrap/>
            <w:vAlign w:val="center"/>
            <w:hideMark/>
          </w:tcPr>
          <w:p w14:paraId="6A5151B5" w14:textId="6BF2F9A0" w:rsidR="00A0244C" w:rsidRPr="00BC1ABD" w:rsidRDefault="00C4166A"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Tbilisi</w:t>
            </w:r>
          </w:p>
        </w:tc>
        <w:tc>
          <w:tcPr>
            <w:tcW w:w="1501" w:type="dxa"/>
            <w:shd w:val="clear" w:color="DDEBF7" w:fill="FFC7CE"/>
            <w:noWrap/>
            <w:vAlign w:val="center"/>
            <w:hideMark/>
          </w:tcPr>
          <w:p w14:paraId="4CB87FC5"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869" w:type="dxa"/>
            <w:shd w:val="clear" w:color="DDEBF7" w:fill="DDEBF7"/>
            <w:noWrap/>
            <w:vAlign w:val="bottom"/>
            <w:hideMark/>
          </w:tcPr>
          <w:p w14:paraId="5D0A7B7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1,108,717</w:t>
            </w:r>
          </w:p>
        </w:tc>
        <w:tc>
          <w:tcPr>
            <w:tcW w:w="709" w:type="dxa"/>
            <w:shd w:val="clear" w:color="DDEBF7" w:fill="DDEBF7"/>
            <w:noWrap/>
            <w:vAlign w:val="bottom"/>
            <w:hideMark/>
          </w:tcPr>
          <w:p w14:paraId="762E4D7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464,688</w:t>
            </w:r>
          </w:p>
        </w:tc>
        <w:tc>
          <w:tcPr>
            <w:tcW w:w="709" w:type="dxa"/>
            <w:shd w:val="clear" w:color="DDEBF7" w:fill="DDEBF7"/>
            <w:noWrap/>
            <w:vAlign w:val="bottom"/>
            <w:hideMark/>
          </w:tcPr>
          <w:p w14:paraId="695F40B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414,183</w:t>
            </w:r>
          </w:p>
        </w:tc>
        <w:tc>
          <w:tcPr>
            <w:tcW w:w="567" w:type="dxa"/>
            <w:shd w:val="clear" w:color="DDEBF7" w:fill="DDEBF7"/>
            <w:noWrap/>
            <w:vAlign w:val="bottom"/>
            <w:hideMark/>
          </w:tcPr>
          <w:p w14:paraId="0641E4C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57.68</w:t>
            </w:r>
          </w:p>
        </w:tc>
        <w:tc>
          <w:tcPr>
            <w:tcW w:w="657" w:type="dxa"/>
            <w:shd w:val="clear" w:color="DDEBF7" w:fill="DDEBF7"/>
            <w:noWrap/>
            <w:vAlign w:val="bottom"/>
            <w:hideMark/>
          </w:tcPr>
          <w:p w14:paraId="28F2604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34.36</w:t>
            </w:r>
          </w:p>
        </w:tc>
        <w:tc>
          <w:tcPr>
            <w:tcW w:w="584" w:type="dxa"/>
            <w:shd w:val="clear" w:color="DDEBF7" w:fill="DDEBF7"/>
            <w:noWrap/>
            <w:vAlign w:val="bottom"/>
            <w:hideMark/>
          </w:tcPr>
          <w:p w14:paraId="7564C0F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0.04</w:t>
            </w:r>
          </w:p>
        </w:tc>
        <w:tc>
          <w:tcPr>
            <w:tcW w:w="584" w:type="dxa"/>
            <w:shd w:val="clear" w:color="DDEBF7" w:fill="DDEBF7"/>
            <w:noWrap/>
            <w:vAlign w:val="bottom"/>
            <w:hideMark/>
          </w:tcPr>
          <w:p w14:paraId="354C760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6.81</w:t>
            </w:r>
          </w:p>
        </w:tc>
        <w:tc>
          <w:tcPr>
            <w:tcW w:w="584" w:type="dxa"/>
            <w:shd w:val="clear" w:color="DDEBF7" w:fill="DDEBF7"/>
            <w:noWrap/>
            <w:vAlign w:val="bottom"/>
            <w:hideMark/>
          </w:tcPr>
          <w:p w14:paraId="5159261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1.11</w:t>
            </w:r>
          </w:p>
        </w:tc>
      </w:tr>
      <w:tr w:rsidR="00A0244C" w:rsidRPr="00BC1ABD" w14:paraId="31026577" w14:textId="77777777" w:rsidTr="007354E3">
        <w:trPr>
          <w:trHeight w:val="300"/>
        </w:trPr>
        <w:tc>
          <w:tcPr>
            <w:tcW w:w="1334" w:type="dxa"/>
            <w:shd w:val="clear" w:color="auto" w:fill="auto"/>
            <w:noWrap/>
            <w:vAlign w:val="center"/>
            <w:hideMark/>
          </w:tcPr>
          <w:p w14:paraId="634C793E"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Imereti</w:t>
            </w:r>
          </w:p>
        </w:tc>
        <w:tc>
          <w:tcPr>
            <w:tcW w:w="969" w:type="dxa"/>
            <w:shd w:val="clear" w:color="auto" w:fill="auto"/>
            <w:noWrap/>
            <w:vAlign w:val="center"/>
            <w:hideMark/>
          </w:tcPr>
          <w:p w14:paraId="07D429ED" w14:textId="635F685B" w:rsidR="00A0244C" w:rsidRPr="00BC1ABD" w:rsidRDefault="00C4166A"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Kutaisi</w:t>
            </w:r>
          </w:p>
        </w:tc>
        <w:tc>
          <w:tcPr>
            <w:tcW w:w="1501" w:type="dxa"/>
            <w:shd w:val="clear" w:color="000000" w:fill="FFEB9C"/>
            <w:noWrap/>
            <w:vAlign w:val="center"/>
            <w:hideMark/>
          </w:tcPr>
          <w:p w14:paraId="715919E0" w14:textId="77777777" w:rsidR="00A0244C" w:rsidRPr="00BC1ABD" w:rsidRDefault="00A0244C" w:rsidP="007354E3">
            <w:pPr>
              <w:spacing w:after="0" w:line="240" w:lineRule="auto"/>
              <w:jc w:val="center"/>
              <w:rPr>
                <w:rFonts w:eastAsia="Times New Roman" w:cs="Calibri"/>
                <w:color w:val="9C6500"/>
                <w:sz w:val="16"/>
                <w:szCs w:val="16"/>
                <w:lang w:val="en-GB" w:eastAsia="sl-SI"/>
              </w:rPr>
            </w:pPr>
            <w:r w:rsidRPr="00BC1ABD">
              <w:rPr>
                <w:rFonts w:eastAsia="Times New Roman" w:cs="Calibri"/>
                <w:color w:val="9C6500"/>
                <w:sz w:val="16"/>
                <w:szCs w:val="16"/>
                <w:lang w:val="en-GB" w:eastAsia="sl-SI"/>
              </w:rPr>
              <w:t>CONTESTABLE BUT TOO BIG</w:t>
            </w:r>
          </w:p>
        </w:tc>
        <w:tc>
          <w:tcPr>
            <w:tcW w:w="869" w:type="dxa"/>
            <w:shd w:val="clear" w:color="auto" w:fill="auto"/>
            <w:noWrap/>
            <w:vAlign w:val="bottom"/>
            <w:hideMark/>
          </w:tcPr>
          <w:p w14:paraId="024289B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147,635</w:t>
            </w:r>
          </w:p>
        </w:tc>
        <w:tc>
          <w:tcPr>
            <w:tcW w:w="709" w:type="dxa"/>
            <w:shd w:val="clear" w:color="auto" w:fill="auto"/>
            <w:noWrap/>
            <w:vAlign w:val="bottom"/>
            <w:hideMark/>
          </w:tcPr>
          <w:p w14:paraId="4DAA9F6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45,249</w:t>
            </w:r>
          </w:p>
        </w:tc>
        <w:tc>
          <w:tcPr>
            <w:tcW w:w="709" w:type="dxa"/>
            <w:shd w:val="clear" w:color="auto" w:fill="auto"/>
            <w:noWrap/>
            <w:vAlign w:val="bottom"/>
            <w:hideMark/>
          </w:tcPr>
          <w:p w14:paraId="25B11AE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44,049</w:t>
            </w:r>
          </w:p>
        </w:tc>
        <w:tc>
          <w:tcPr>
            <w:tcW w:w="567" w:type="dxa"/>
            <w:shd w:val="clear" w:color="auto" w:fill="auto"/>
            <w:noWrap/>
            <w:vAlign w:val="bottom"/>
            <w:hideMark/>
          </w:tcPr>
          <w:p w14:paraId="1662693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37.93</w:t>
            </w:r>
          </w:p>
        </w:tc>
        <w:tc>
          <w:tcPr>
            <w:tcW w:w="657" w:type="dxa"/>
            <w:shd w:val="clear" w:color="auto" w:fill="auto"/>
            <w:noWrap/>
            <w:vAlign w:val="bottom"/>
            <w:hideMark/>
          </w:tcPr>
          <w:p w14:paraId="586B0D2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44.91</w:t>
            </w:r>
          </w:p>
        </w:tc>
        <w:tc>
          <w:tcPr>
            <w:tcW w:w="584" w:type="dxa"/>
            <w:shd w:val="clear" w:color="auto" w:fill="auto"/>
            <w:noWrap/>
            <w:vAlign w:val="bottom"/>
            <w:hideMark/>
          </w:tcPr>
          <w:p w14:paraId="1DE4E83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0.14</w:t>
            </w:r>
          </w:p>
        </w:tc>
        <w:tc>
          <w:tcPr>
            <w:tcW w:w="584" w:type="dxa"/>
            <w:shd w:val="clear" w:color="auto" w:fill="auto"/>
            <w:noWrap/>
            <w:vAlign w:val="bottom"/>
            <w:hideMark/>
          </w:tcPr>
          <w:p w14:paraId="71AD454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16.95</w:t>
            </w:r>
          </w:p>
        </w:tc>
        <w:tc>
          <w:tcPr>
            <w:tcW w:w="584" w:type="dxa"/>
            <w:shd w:val="clear" w:color="auto" w:fill="auto"/>
            <w:noWrap/>
            <w:vAlign w:val="bottom"/>
            <w:hideMark/>
          </w:tcPr>
          <w:p w14:paraId="1F483AB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0.07</w:t>
            </w:r>
          </w:p>
        </w:tc>
      </w:tr>
      <w:tr w:rsidR="00A0244C" w:rsidRPr="00BC1ABD" w14:paraId="692C5E70" w14:textId="77777777" w:rsidTr="007354E3">
        <w:trPr>
          <w:trHeight w:val="278"/>
        </w:trPr>
        <w:tc>
          <w:tcPr>
            <w:tcW w:w="1334" w:type="dxa"/>
            <w:shd w:val="clear" w:color="DDEBF7" w:fill="DDEBF7"/>
            <w:noWrap/>
            <w:vAlign w:val="center"/>
            <w:hideMark/>
          </w:tcPr>
          <w:p w14:paraId="43FB42EC"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Shida Kartli </w:t>
            </w:r>
          </w:p>
        </w:tc>
        <w:tc>
          <w:tcPr>
            <w:tcW w:w="969" w:type="dxa"/>
            <w:shd w:val="clear" w:color="DDEBF7" w:fill="DDEBF7"/>
            <w:noWrap/>
            <w:vAlign w:val="center"/>
            <w:hideMark/>
          </w:tcPr>
          <w:p w14:paraId="19433685"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St. Gori</w:t>
            </w:r>
          </w:p>
        </w:tc>
        <w:tc>
          <w:tcPr>
            <w:tcW w:w="1501" w:type="dxa"/>
            <w:shd w:val="clear" w:color="DDEBF7" w:fill="FFC7CE"/>
            <w:noWrap/>
            <w:vAlign w:val="center"/>
            <w:hideMark/>
          </w:tcPr>
          <w:p w14:paraId="428F5D8A"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869" w:type="dxa"/>
            <w:shd w:val="clear" w:color="DDEBF7" w:fill="DDEBF7"/>
            <w:noWrap/>
            <w:vAlign w:val="bottom"/>
            <w:hideMark/>
          </w:tcPr>
          <w:p w14:paraId="11044D1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48,143</w:t>
            </w:r>
          </w:p>
        </w:tc>
        <w:tc>
          <w:tcPr>
            <w:tcW w:w="709" w:type="dxa"/>
            <w:shd w:val="clear" w:color="DDEBF7" w:fill="DDEBF7"/>
            <w:noWrap/>
            <w:vAlign w:val="bottom"/>
            <w:hideMark/>
          </w:tcPr>
          <w:p w14:paraId="6D0DB8D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15,021</w:t>
            </w:r>
          </w:p>
        </w:tc>
        <w:tc>
          <w:tcPr>
            <w:tcW w:w="709" w:type="dxa"/>
            <w:shd w:val="clear" w:color="DDEBF7" w:fill="DDEBF7"/>
            <w:noWrap/>
            <w:vAlign w:val="bottom"/>
            <w:hideMark/>
          </w:tcPr>
          <w:p w14:paraId="4279731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14,539</w:t>
            </w:r>
          </w:p>
        </w:tc>
        <w:tc>
          <w:tcPr>
            <w:tcW w:w="567" w:type="dxa"/>
            <w:shd w:val="clear" w:color="DDEBF7" w:fill="DDEBF7"/>
            <w:noWrap/>
            <w:vAlign w:val="bottom"/>
            <w:hideMark/>
          </w:tcPr>
          <w:p w14:paraId="48400DF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39.25</w:t>
            </w:r>
          </w:p>
        </w:tc>
        <w:tc>
          <w:tcPr>
            <w:tcW w:w="657" w:type="dxa"/>
            <w:shd w:val="clear" w:color="DDEBF7" w:fill="DDEBF7"/>
            <w:noWrap/>
            <w:vAlign w:val="bottom"/>
            <w:hideMark/>
          </w:tcPr>
          <w:p w14:paraId="5C65B9A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57.30</w:t>
            </w:r>
          </w:p>
        </w:tc>
        <w:tc>
          <w:tcPr>
            <w:tcW w:w="584" w:type="dxa"/>
            <w:shd w:val="clear" w:color="DDEBF7" w:fill="DDEBF7"/>
            <w:noWrap/>
            <w:vAlign w:val="bottom"/>
            <w:hideMark/>
          </w:tcPr>
          <w:p w14:paraId="45909A4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0.22</w:t>
            </w:r>
          </w:p>
        </w:tc>
        <w:tc>
          <w:tcPr>
            <w:tcW w:w="584" w:type="dxa"/>
            <w:shd w:val="clear" w:color="DDEBF7" w:fill="DDEBF7"/>
            <w:noWrap/>
            <w:vAlign w:val="bottom"/>
            <w:hideMark/>
          </w:tcPr>
          <w:p w14:paraId="577B88B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3.16</w:t>
            </w:r>
          </w:p>
        </w:tc>
        <w:tc>
          <w:tcPr>
            <w:tcW w:w="584" w:type="dxa"/>
            <w:shd w:val="clear" w:color="DDEBF7" w:fill="DDEBF7"/>
            <w:noWrap/>
            <w:vAlign w:val="bottom"/>
            <w:hideMark/>
          </w:tcPr>
          <w:p w14:paraId="3939603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0.08</w:t>
            </w:r>
          </w:p>
        </w:tc>
      </w:tr>
      <w:tr w:rsidR="00A0244C" w:rsidRPr="00BC1ABD" w14:paraId="78E3F14D" w14:textId="77777777" w:rsidTr="007354E3">
        <w:trPr>
          <w:trHeight w:val="300"/>
        </w:trPr>
        <w:tc>
          <w:tcPr>
            <w:tcW w:w="1334" w:type="dxa"/>
            <w:shd w:val="clear" w:color="auto" w:fill="auto"/>
            <w:noWrap/>
            <w:vAlign w:val="center"/>
            <w:hideMark/>
          </w:tcPr>
          <w:p w14:paraId="662FEDB0" w14:textId="77777777" w:rsidR="00A0244C" w:rsidRPr="00BC1ABD" w:rsidRDefault="00A0244C" w:rsidP="007354E3">
            <w:pPr>
              <w:spacing w:after="0" w:line="240" w:lineRule="auto"/>
              <w:jc w:val="right"/>
              <w:rPr>
                <w:rFonts w:eastAsia="Times New Roman" w:cs="Calibri"/>
                <w:b/>
                <w:color w:val="000000"/>
                <w:sz w:val="16"/>
                <w:szCs w:val="16"/>
                <w:lang w:val="en-GB" w:eastAsia="sl-SI"/>
              </w:rPr>
            </w:pPr>
            <w:r w:rsidRPr="00BC1ABD">
              <w:rPr>
                <w:rFonts w:eastAsia="Times New Roman" w:cs="Calibri"/>
                <w:b/>
                <w:color w:val="000000"/>
                <w:sz w:val="16"/>
                <w:szCs w:val="16"/>
                <w:lang w:val="en-GB" w:eastAsia="sl-SI"/>
              </w:rPr>
              <w:t>No of settlements</w:t>
            </w:r>
          </w:p>
        </w:tc>
        <w:tc>
          <w:tcPr>
            <w:tcW w:w="969" w:type="dxa"/>
            <w:shd w:val="clear" w:color="auto" w:fill="auto"/>
            <w:noWrap/>
            <w:vAlign w:val="bottom"/>
            <w:hideMark/>
          </w:tcPr>
          <w:p w14:paraId="57BE7491"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3</w:t>
            </w:r>
          </w:p>
        </w:tc>
        <w:tc>
          <w:tcPr>
            <w:tcW w:w="1501" w:type="dxa"/>
            <w:shd w:val="clear" w:color="auto" w:fill="auto"/>
            <w:noWrap/>
            <w:vAlign w:val="center"/>
            <w:hideMark/>
          </w:tcPr>
          <w:p w14:paraId="408AD3A4"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Sum/Average</w:t>
            </w:r>
          </w:p>
        </w:tc>
        <w:tc>
          <w:tcPr>
            <w:tcW w:w="869" w:type="dxa"/>
            <w:shd w:val="clear" w:color="auto" w:fill="auto"/>
            <w:noWrap/>
            <w:vAlign w:val="bottom"/>
            <w:hideMark/>
          </w:tcPr>
          <w:p w14:paraId="28E602D0"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1,304,495</w:t>
            </w:r>
          </w:p>
        </w:tc>
        <w:tc>
          <w:tcPr>
            <w:tcW w:w="709" w:type="dxa"/>
            <w:shd w:val="clear" w:color="auto" w:fill="auto"/>
            <w:noWrap/>
            <w:vAlign w:val="bottom"/>
            <w:hideMark/>
          </w:tcPr>
          <w:p w14:paraId="1B069CF0"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524,958</w:t>
            </w:r>
          </w:p>
        </w:tc>
        <w:tc>
          <w:tcPr>
            <w:tcW w:w="709" w:type="dxa"/>
            <w:shd w:val="clear" w:color="auto" w:fill="auto"/>
            <w:noWrap/>
            <w:vAlign w:val="bottom"/>
            <w:hideMark/>
          </w:tcPr>
          <w:p w14:paraId="67BF5F94"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472,771</w:t>
            </w:r>
          </w:p>
        </w:tc>
        <w:tc>
          <w:tcPr>
            <w:tcW w:w="567" w:type="dxa"/>
            <w:shd w:val="clear" w:color="auto" w:fill="auto"/>
            <w:noWrap/>
            <w:vAlign w:val="bottom"/>
            <w:hideMark/>
          </w:tcPr>
          <w:p w14:paraId="33C29A0A"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55.28</w:t>
            </w:r>
          </w:p>
        </w:tc>
        <w:tc>
          <w:tcPr>
            <w:tcW w:w="657" w:type="dxa"/>
            <w:shd w:val="clear" w:color="auto" w:fill="auto"/>
            <w:noWrap/>
            <w:vAlign w:val="bottom"/>
            <w:hideMark/>
          </w:tcPr>
          <w:p w14:paraId="4B9C5357"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36.04</w:t>
            </w:r>
          </w:p>
        </w:tc>
        <w:tc>
          <w:tcPr>
            <w:tcW w:w="584" w:type="dxa"/>
            <w:shd w:val="clear" w:color="auto" w:fill="auto"/>
            <w:noWrap/>
            <w:vAlign w:val="bottom"/>
            <w:hideMark/>
          </w:tcPr>
          <w:p w14:paraId="4736050D"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0.05</w:t>
            </w:r>
          </w:p>
        </w:tc>
        <w:tc>
          <w:tcPr>
            <w:tcW w:w="584" w:type="dxa"/>
            <w:shd w:val="clear" w:color="auto" w:fill="auto"/>
            <w:noWrap/>
            <w:vAlign w:val="bottom"/>
            <w:hideMark/>
          </w:tcPr>
          <w:p w14:paraId="7E6C9265"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7.64</w:t>
            </w:r>
          </w:p>
        </w:tc>
        <w:tc>
          <w:tcPr>
            <w:tcW w:w="584" w:type="dxa"/>
            <w:shd w:val="clear" w:color="auto" w:fill="auto"/>
            <w:noWrap/>
            <w:vAlign w:val="bottom"/>
            <w:hideMark/>
          </w:tcPr>
          <w:p w14:paraId="26392241"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0.98</w:t>
            </w:r>
          </w:p>
        </w:tc>
      </w:tr>
    </w:tbl>
    <w:p w14:paraId="5BAD0112" w14:textId="77777777" w:rsidR="00A0244C" w:rsidRPr="00BC1ABD" w:rsidRDefault="00A0244C" w:rsidP="00A0244C">
      <w:pPr>
        <w:jc w:val="center"/>
        <w:rPr>
          <w:rFonts w:cs="Arial"/>
          <w:sz w:val="4"/>
          <w:szCs w:val="4"/>
          <w:lang w:val="en-GB"/>
        </w:rPr>
      </w:pPr>
    </w:p>
    <w:p w14:paraId="170EF12C"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Questionnaire on coverage</w:t>
      </w:r>
    </w:p>
    <w:p w14:paraId="3346F276" w14:textId="0035BD16" w:rsidR="00A0244C" w:rsidRPr="00BC1ABD" w:rsidRDefault="00A0244C" w:rsidP="00A0244C">
      <w:pPr>
        <w:jc w:val="both"/>
        <w:rPr>
          <w:rFonts w:cs="Arial"/>
          <w:sz w:val="24"/>
          <w:szCs w:val="24"/>
          <w:lang w:val="en-GB"/>
        </w:rPr>
      </w:pPr>
      <w:r w:rsidRPr="00BC1ABD">
        <w:rPr>
          <w:rFonts w:cs="Arial"/>
          <w:sz w:val="24"/>
          <w:szCs w:val="24"/>
          <w:lang w:val="en-GB"/>
        </w:rPr>
        <w:t xml:space="preserve">Five </w:t>
      </w:r>
      <w:r w:rsidR="00F026B4">
        <w:rPr>
          <w:rFonts w:cs="Arial"/>
          <w:sz w:val="24"/>
          <w:szCs w:val="24"/>
          <w:lang w:val="en-GB"/>
        </w:rPr>
        <w:t>FTTx</w:t>
      </w:r>
      <w:r w:rsidRPr="00BC1ABD">
        <w:rPr>
          <w:rFonts w:cs="Arial"/>
          <w:sz w:val="24"/>
          <w:szCs w:val="24"/>
          <w:lang w:val="en-GB"/>
        </w:rPr>
        <w:t xml:space="preserve"> network operators are present only in three settlements in Georgia, including Tbilisi. Two of these settlements do not fulfil all the three main cumulative criteria. In the case of Tbilisi, Magticom’s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is larger than 40% and in the case of St. Gori, there are not at least two </w:t>
      </w:r>
      <w:r w:rsidR="00F026B4">
        <w:rPr>
          <w:rFonts w:cs="Arial"/>
          <w:sz w:val="24"/>
          <w:szCs w:val="24"/>
          <w:lang w:val="en-GB"/>
        </w:rPr>
        <w:t>FTTx</w:t>
      </w:r>
      <w:r w:rsidRPr="00BC1ABD">
        <w:rPr>
          <w:rFonts w:cs="Arial"/>
          <w:sz w:val="24"/>
          <w:szCs w:val="24"/>
          <w:lang w:val="en-GB"/>
        </w:rPr>
        <w:t xml:space="preserve"> network operators with at least 10%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Pr="00BC1ABD">
        <w:rPr>
          <w:rFonts w:cs="Arial"/>
          <w:sz w:val="24"/>
          <w:szCs w:val="24"/>
          <w:lang w:val="en-GB"/>
        </w:rPr>
        <w:t>.</w:t>
      </w:r>
    </w:p>
    <w:p w14:paraId="43D06BAA" w14:textId="2BBE6DF9" w:rsidR="00A0244C" w:rsidRPr="00BC1ABD" w:rsidRDefault="00A0244C" w:rsidP="00A0244C">
      <w:pPr>
        <w:pStyle w:val="Caption"/>
        <w:jc w:val="center"/>
        <w:rPr>
          <w:rFonts w:cs="Arial"/>
          <w:b/>
          <w:sz w:val="24"/>
          <w:szCs w:val="24"/>
          <w:lang w:val="en-GB"/>
        </w:rPr>
      </w:pPr>
      <w:bookmarkStart w:id="317" w:name="_Toc152931416"/>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65</w:t>
      </w:r>
      <w:r w:rsidRPr="00BC1ABD">
        <w:rPr>
          <w:lang w:val="en-GB"/>
        </w:rPr>
        <w:fldChar w:fldCharType="end"/>
      </w:r>
      <w:r w:rsidRPr="00BC1ABD">
        <w:rPr>
          <w:lang w:val="en-GB"/>
        </w:rPr>
        <w:t xml:space="preserve">: Competition in settlements with 4 </w:t>
      </w:r>
      <w:r w:rsidR="00F026B4">
        <w:rPr>
          <w:lang w:val="en-GB"/>
        </w:rPr>
        <w:t>FTTx</w:t>
      </w:r>
      <w:r w:rsidRPr="00BC1ABD">
        <w:rPr>
          <w:lang w:val="en-GB"/>
        </w:rPr>
        <w:t xml:space="preserve"> network operators</w:t>
      </w:r>
      <w:bookmarkEnd w:id="317"/>
    </w:p>
    <w:tbl>
      <w:tblPr>
        <w:tblW w:w="9067" w:type="dxa"/>
        <w:tblInd w:w="-5" w:type="dxa"/>
        <w:tblLayout w:type="fixed"/>
        <w:tblCellMar>
          <w:left w:w="70" w:type="dxa"/>
          <w:right w:w="70" w:type="dxa"/>
        </w:tblCellMar>
        <w:tblLook w:val="04A0" w:firstRow="1" w:lastRow="0" w:firstColumn="1" w:lastColumn="0" w:noHBand="0" w:noVBand="1"/>
      </w:tblPr>
      <w:tblGrid>
        <w:gridCol w:w="1334"/>
        <w:gridCol w:w="969"/>
        <w:gridCol w:w="1501"/>
        <w:gridCol w:w="919"/>
        <w:gridCol w:w="722"/>
        <w:gridCol w:w="702"/>
        <w:gridCol w:w="584"/>
        <w:gridCol w:w="584"/>
        <w:gridCol w:w="584"/>
        <w:gridCol w:w="584"/>
        <w:gridCol w:w="584"/>
      </w:tblGrid>
      <w:tr w:rsidR="00A0244C" w:rsidRPr="00BC1ABD" w14:paraId="2ADC7CD4" w14:textId="77777777" w:rsidTr="007354E3">
        <w:trPr>
          <w:trHeight w:val="563"/>
        </w:trPr>
        <w:tc>
          <w:tcPr>
            <w:tcW w:w="133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DBF2795"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Municipality</w:t>
            </w:r>
          </w:p>
        </w:tc>
        <w:tc>
          <w:tcPr>
            <w:tcW w:w="969"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95E5C44"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Settlement</w:t>
            </w:r>
          </w:p>
        </w:tc>
        <w:tc>
          <w:tcPr>
            <w:tcW w:w="1501"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54066E13"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 xml:space="preserve">Contestable </w:t>
            </w:r>
          </w:p>
        </w:tc>
        <w:tc>
          <w:tcPr>
            <w:tcW w:w="919"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5B9B2C9"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Population</w:t>
            </w:r>
          </w:p>
        </w:tc>
        <w:tc>
          <w:tcPr>
            <w:tcW w:w="722"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00C815E" w14:textId="5513DE7C" w:rsidR="00A0244C" w:rsidRPr="00BC1ABD" w:rsidRDefault="00E5732A"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H</w:t>
            </w:r>
            <w:r w:rsidR="00A0244C" w:rsidRPr="00BC1ABD">
              <w:rPr>
                <w:rFonts w:eastAsia="Times New Roman" w:cs="Calibri"/>
                <w:b/>
                <w:bCs/>
                <w:color w:val="FFFFFF"/>
                <w:sz w:val="16"/>
                <w:szCs w:val="16"/>
                <w:lang w:val="en-GB" w:eastAsia="sl-SI"/>
              </w:rPr>
              <w:t>ouseholds</w:t>
            </w:r>
          </w:p>
        </w:tc>
        <w:tc>
          <w:tcPr>
            <w:tcW w:w="702"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4ACBBD67"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subscribers total</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052DF27C"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Magticom share</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4EBC3F43"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Silknet share</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6D3BA5E"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SkyTel share</w:t>
            </w:r>
          </w:p>
        </w:tc>
        <w:tc>
          <w:tcPr>
            <w:tcW w:w="584"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3A17780"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Akhali Kselebi share</w:t>
            </w:r>
          </w:p>
        </w:tc>
        <w:tc>
          <w:tcPr>
            <w:tcW w:w="584" w:type="dxa"/>
            <w:tcBorders>
              <w:top w:val="single" w:sz="4" w:space="0" w:color="9BC2E6"/>
              <w:left w:val="single" w:sz="8" w:space="0" w:color="9BC2E6"/>
              <w:bottom w:val="single" w:sz="4" w:space="0" w:color="9BC2E6"/>
              <w:right w:val="single" w:sz="4" w:space="0" w:color="9BC2E6"/>
            </w:tcBorders>
            <w:shd w:val="clear" w:color="5B9BD5" w:fill="5B9BD5"/>
            <w:vAlign w:val="bottom"/>
            <w:hideMark/>
          </w:tcPr>
          <w:p w14:paraId="04722AB1"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Other share</w:t>
            </w:r>
          </w:p>
        </w:tc>
      </w:tr>
      <w:tr w:rsidR="00A0244C" w:rsidRPr="00BC1ABD" w14:paraId="710D0F1A"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7AD9127"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Adjara</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8A67198" w14:textId="5E33675D" w:rsidR="00A0244C" w:rsidRPr="00E82B0B" w:rsidRDefault="00C4166A" w:rsidP="007354E3">
            <w:pPr>
              <w:spacing w:after="0" w:line="240" w:lineRule="auto"/>
              <w:jc w:val="center"/>
              <w:rPr>
                <w:rFonts w:eastAsia="Times New Roman" w:cs="Calibri"/>
                <w:color w:val="000000"/>
                <w:sz w:val="16"/>
                <w:szCs w:val="16"/>
                <w:lang w:val="ka-GE" w:eastAsia="sl-SI"/>
              </w:rPr>
            </w:pPr>
            <w:r>
              <w:rPr>
                <w:rFonts w:eastAsia="Times New Roman" w:cs="Calibri"/>
                <w:color w:val="000000"/>
                <w:sz w:val="16"/>
                <w:szCs w:val="16"/>
                <w:lang w:val="en-GB" w:eastAsia="sl-SI"/>
              </w:rPr>
              <w:t>Batumi</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vAlign w:val="center"/>
            <w:hideMark/>
          </w:tcPr>
          <w:p w14:paraId="74608153"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54E345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152,839</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43A590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57,459</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D7530B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73,486</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3DA9C8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34.72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4B465F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62.42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7B7F2D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0.13</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ED157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single" w:sz="4" w:space="0" w:color="9BC2E6"/>
            </w:tcBorders>
            <w:shd w:val="clear" w:color="DDEBF7" w:fill="DDEBF7"/>
            <w:noWrap/>
            <w:vAlign w:val="bottom"/>
            <w:hideMark/>
          </w:tcPr>
          <w:p w14:paraId="305CBEB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2.74</w:t>
            </w:r>
          </w:p>
        </w:tc>
      </w:tr>
      <w:tr w:rsidR="00A0244C" w:rsidRPr="00BC1ABD" w14:paraId="134973F2"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D09411F"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Imereti</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071412AA" w14:textId="751141BC" w:rsidR="00A0244C" w:rsidRPr="00BC1ABD" w:rsidRDefault="00C4166A" w:rsidP="007354E3">
            <w:pPr>
              <w:spacing w:after="0" w:line="240" w:lineRule="auto"/>
              <w:jc w:val="center"/>
              <w:rPr>
                <w:rFonts w:eastAsia="Times New Roman" w:cs="Calibri"/>
                <w:color w:val="000000"/>
                <w:sz w:val="16"/>
                <w:szCs w:val="16"/>
                <w:lang w:val="en-GB" w:eastAsia="sl-SI"/>
              </w:rPr>
            </w:pPr>
            <w:r w:rsidRPr="00C4166A">
              <w:rPr>
                <w:rFonts w:eastAsia="Times New Roman" w:cs="Calibri"/>
                <w:color w:val="000000"/>
                <w:sz w:val="16"/>
                <w:szCs w:val="16"/>
                <w:lang w:val="en-GB" w:eastAsia="sl-SI"/>
              </w:rPr>
              <w:t>Zestafoni</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281CB36A"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01BB11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20,814</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1649E8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6,618</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C23B59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5,928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0F9E2A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45.29</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D7A06F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40.81</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D6A6F8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745453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13.88</w:t>
            </w:r>
          </w:p>
        </w:tc>
        <w:tc>
          <w:tcPr>
            <w:tcW w:w="584" w:type="dxa"/>
            <w:tcBorders>
              <w:top w:val="single" w:sz="4" w:space="0" w:color="9BC2E6"/>
              <w:left w:val="single" w:sz="8" w:space="0" w:color="9BC2E6"/>
              <w:bottom w:val="single" w:sz="4" w:space="0" w:color="9BC2E6"/>
              <w:right w:val="single" w:sz="4" w:space="0" w:color="9BC2E6"/>
            </w:tcBorders>
            <w:shd w:val="clear" w:color="auto" w:fill="auto"/>
            <w:noWrap/>
            <w:vAlign w:val="bottom"/>
            <w:hideMark/>
          </w:tcPr>
          <w:p w14:paraId="177C36A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0.02</w:t>
            </w:r>
          </w:p>
        </w:tc>
      </w:tr>
      <w:tr w:rsidR="00A0244C" w:rsidRPr="00BC1ABD" w14:paraId="5E708027"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3F1C523"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Imereti</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D24885C" w14:textId="3213B92A" w:rsidR="00A0244C" w:rsidRPr="00BC1ABD" w:rsidRDefault="00C4166A" w:rsidP="007354E3">
            <w:pPr>
              <w:spacing w:after="0" w:line="240" w:lineRule="auto"/>
              <w:jc w:val="center"/>
              <w:rPr>
                <w:rFonts w:eastAsia="Times New Roman" w:cs="Calibri"/>
                <w:color w:val="000000"/>
                <w:sz w:val="16"/>
                <w:szCs w:val="16"/>
                <w:lang w:val="en-GB" w:eastAsia="sl-SI"/>
              </w:rPr>
            </w:pPr>
            <w:r w:rsidRPr="00C4166A">
              <w:rPr>
                <w:rFonts w:eastAsia="Times New Roman" w:cs="Calibri"/>
                <w:color w:val="000000"/>
                <w:sz w:val="16"/>
                <w:szCs w:val="16"/>
                <w:lang w:val="en-GB" w:eastAsia="sl-SI"/>
              </w:rPr>
              <w:t>Sachkhere</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vAlign w:val="center"/>
            <w:hideMark/>
          </w:tcPr>
          <w:p w14:paraId="2D90178D"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BE445E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6,140</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F59916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1,807</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A2C970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1,279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BABBE1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80.30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A94A0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16.42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78AEE0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3.21</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7DA4E7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0D00455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0.08</w:t>
            </w:r>
          </w:p>
        </w:tc>
      </w:tr>
      <w:tr w:rsidR="00A0244C" w:rsidRPr="00BC1ABD" w14:paraId="6C37D8F1"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CF153CD"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7128AE12" w14:textId="39B36171" w:rsidR="00A0244C" w:rsidRPr="00BC1ABD" w:rsidRDefault="00C4166A"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US" w:eastAsia="sl-SI"/>
              </w:rPr>
              <w:t>Telavi</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40AAD722"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50C111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19,629</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AF85BB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6,416</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4E497C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6,408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0A0CFE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36.97</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553D8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62.58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526C8C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0.42</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BF2290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741BDE9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0.03</w:t>
            </w:r>
          </w:p>
        </w:tc>
      </w:tr>
      <w:tr w:rsidR="00A0244C" w:rsidRPr="00BC1ABD" w14:paraId="4FB4995A"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58A8079"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Mtskheta-Mtianeti</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1D6F8397" w14:textId="79C648C9" w:rsidR="00A0244C" w:rsidRPr="00BC1ABD" w:rsidRDefault="00C4166A" w:rsidP="007354E3">
            <w:pPr>
              <w:spacing w:after="0" w:line="240" w:lineRule="auto"/>
              <w:jc w:val="center"/>
              <w:rPr>
                <w:rFonts w:eastAsia="Times New Roman" w:cs="Calibri"/>
                <w:color w:val="000000"/>
                <w:sz w:val="16"/>
                <w:szCs w:val="16"/>
                <w:lang w:val="en-GB" w:eastAsia="sl-SI"/>
              </w:rPr>
            </w:pPr>
            <w:r w:rsidRPr="00C4166A">
              <w:rPr>
                <w:rFonts w:eastAsia="Times New Roman" w:cs="Calibri"/>
                <w:color w:val="000000"/>
                <w:sz w:val="16"/>
                <w:szCs w:val="16"/>
                <w:lang w:val="en-GB" w:eastAsia="sl-SI"/>
              </w:rPr>
              <w:t>Dusheti</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vAlign w:val="center"/>
            <w:hideMark/>
          </w:tcPr>
          <w:p w14:paraId="5A180554"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9160A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6,167</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2369BA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2,585</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3FEF29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1,611</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AE8F3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75.79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1B8CF1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22.47</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9EDF30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0.25</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8916AE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6DBEE71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1.49</w:t>
            </w:r>
          </w:p>
        </w:tc>
      </w:tr>
      <w:tr w:rsidR="00A0244C" w:rsidRPr="00BC1ABD" w14:paraId="407B4E70"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E6BE17E"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Mtskheta-Mtianeti</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6BB689C5" w14:textId="46E339F6" w:rsidR="00A0244C" w:rsidRPr="00E82B0B" w:rsidRDefault="00C4166A" w:rsidP="007354E3">
            <w:pPr>
              <w:spacing w:after="0" w:line="240" w:lineRule="auto"/>
              <w:jc w:val="center"/>
              <w:rPr>
                <w:rFonts w:eastAsia="Times New Roman" w:cs="Calibri"/>
                <w:color w:val="000000"/>
                <w:sz w:val="16"/>
                <w:szCs w:val="16"/>
                <w:lang w:val="en-US" w:eastAsia="sl-SI"/>
              </w:rPr>
            </w:pPr>
            <w:r>
              <w:rPr>
                <w:rFonts w:eastAsia="Times New Roman" w:cs="Calibri"/>
                <w:color w:val="000000"/>
                <w:sz w:val="16"/>
                <w:szCs w:val="16"/>
                <w:lang w:val="en-US" w:eastAsia="sl-SI"/>
              </w:rPr>
              <w:t>Mtskheta</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54D03317"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244E22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7,940</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7A5DCF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3,040</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11B034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3,555</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459142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64.64</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8661A5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34.80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00C779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0.48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954670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1601072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0.08</w:t>
            </w:r>
          </w:p>
        </w:tc>
      </w:tr>
      <w:tr w:rsidR="00A0244C" w:rsidRPr="00BC1ABD" w14:paraId="06A78C72"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557CE32C"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Samegrelo-zemo svaneti</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323E993" w14:textId="16335E6C" w:rsidR="00A0244C" w:rsidRPr="00E82B0B" w:rsidRDefault="00C4166A" w:rsidP="007354E3">
            <w:pPr>
              <w:spacing w:after="0" w:line="240" w:lineRule="auto"/>
              <w:jc w:val="center"/>
              <w:rPr>
                <w:rFonts w:eastAsia="Times New Roman" w:cs="Calibri"/>
                <w:color w:val="000000"/>
                <w:sz w:val="16"/>
                <w:szCs w:val="16"/>
                <w:lang w:val="en-US" w:eastAsia="sl-SI"/>
              </w:rPr>
            </w:pPr>
            <w:r>
              <w:rPr>
                <w:rFonts w:eastAsia="Times New Roman" w:cs="Calibri"/>
                <w:color w:val="000000"/>
                <w:sz w:val="16"/>
                <w:szCs w:val="16"/>
                <w:lang w:val="en-US" w:eastAsia="sl-SI"/>
              </w:rPr>
              <w:t>Poti</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vAlign w:val="center"/>
            <w:hideMark/>
          </w:tcPr>
          <w:p w14:paraId="03C47709"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317447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41,465</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EA9C1C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12,744</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17AB1A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11,439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AFE116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56.70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FEEB66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35.46</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3D824F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0E331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7.81</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79CB487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0.03</w:t>
            </w:r>
          </w:p>
        </w:tc>
      </w:tr>
      <w:tr w:rsidR="00A0244C" w:rsidRPr="00BC1ABD" w14:paraId="1CE8C028"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64C3A018"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Samegrelo-zemo svaneti</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3FE198C7" w14:textId="4BBA16B9" w:rsidR="00A0244C" w:rsidRPr="00E82B0B" w:rsidRDefault="00C4166A" w:rsidP="007354E3">
            <w:pPr>
              <w:spacing w:after="0" w:line="240" w:lineRule="auto"/>
              <w:jc w:val="center"/>
              <w:rPr>
                <w:rFonts w:eastAsia="Times New Roman" w:cs="Calibri"/>
                <w:color w:val="000000"/>
                <w:sz w:val="16"/>
                <w:szCs w:val="16"/>
                <w:lang w:val="en-US" w:eastAsia="sl-SI"/>
              </w:rPr>
            </w:pPr>
            <w:r>
              <w:rPr>
                <w:rFonts w:eastAsia="Times New Roman" w:cs="Calibri"/>
                <w:color w:val="000000"/>
                <w:sz w:val="16"/>
                <w:szCs w:val="16"/>
                <w:lang w:val="en-US" w:eastAsia="sl-SI"/>
              </w:rPr>
              <w:t>Zugdidi</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4CAEDEE3"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BA9871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42,998</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1AFD13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13,113</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0FA522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12,036</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0E2E388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43.28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E3A3EE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43.23</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B8CB4F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006F0F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13.48</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45565AD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0.02</w:t>
            </w:r>
          </w:p>
        </w:tc>
      </w:tr>
      <w:tr w:rsidR="00A0244C" w:rsidRPr="00BC1ABD" w14:paraId="617B9CEC"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28207947"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Samegrelo-zemo svaneti</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0D95BDC" w14:textId="3D06879B" w:rsidR="00A0244C" w:rsidRPr="00BC1ABD" w:rsidRDefault="00C4166A"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Senaki</w:t>
            </w:r>
          </w:p>
        </w:tc>
        <w:tc>
          <w:tcPr>
            <w:tcW w:w="1501" w:type="dxa"/>
            <w:tcBorders>
              <w:top w:val="single" w:sz="4" w:space="0" w:color="9BC2E6"/>
              <w:left w:val="single" w:sz="8" w:space="0" w:color="9BC2E6"/>
              <w:bottom w:val="single" w:sz="4" w:space="0" w:color="9BC2E6"/>
              <w:right w:val="single" w:sz="8" w:space="0" w:color="9BC2E6"/>
            </w:tcBorders>
            <w:shd w:val="clear" w:color="DDEBF7" w:fill="FFC7CE"/>
            <w:noWrap/>
            <w:vAlign w:val="center"/>
            <w:hideMark/>
          </w:tcPr>
          <w:p w14:paraId="2DA5A9D7"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771694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21,596</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4E1D69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7,074</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6F38EE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5,658</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8BDA7B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55.69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ED78D4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43.74</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E54351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0.37</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F865C4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408FA36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0.19</w:t>
            </w:r>
          </w:p>
        </w:tc>
      </w:tr>
      <w:tr w:rsidR="00A0244C" w:rsidRPr="00BC1ABD" w14:paraId="02831481"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E3FFE06"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Samtskhe-Javakheti</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801026C" w14:textId="465E2D12" w:rsidR="00A0244C" w:rsidRPr="00BC1ABD" w:rsidRDefault="00C4166A" w:rsidP="007354E3">
            <w:pPr>
              <w:spacing w:after="0" w:line="240" w:lineRule="auto"/>
              <w:jc w:val="center"/>
              <w:rPr>
                <w:rFonts w:eastAsia="Times New Roman" w:cs="Calibri"/>
                <w:color w:val="000000"/>
                <w:sz w:val="16"/>
                <w:szCs w:val="16"/>
                <w:lang w:val="en-GB" w:eastAsia="sl-SI"/>
              </w:rPr>
            </w:pPr>
            <w:r w:rsidRPr="00C4166A">
              <w:rPr>
                <w:rFonts w:eastAsia="Times New Roman" w:cs="Calibri"/>
                <w:color w:val="000000"/>
                <w:sz w:val="16"/>
                <w:szCs w:val="16"/>
                <w:lang w:val="en-GB" w:eastAsia="sl-SI"/>
              </w:rPr>
              <w:t>Akhalkalaki</w:t>
            </w:r>
          </w:p>
        </w:tc>
        <w:tc>
          <w:tcPr>
            <w:tcW w:w="150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39C6C5B2"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99B1D0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8,295</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EB637F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2,210</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F8DDA1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2,751</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FF3A83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29.37</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188873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16.50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0DB7346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0.07</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861FF7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7292BDA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54.05</w:t>
            </w:r>
          </w:p>
        </w:tc>
      </w:tr>
      <w:tr w:rsidR="00A0244C" w:rsidRPr="00BC1ABD" w14:paraId="353A2597"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79B64225"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Shida Kartli </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01488DE" w14:textId="25F3F74A" w:rsidR="00A0244C" w:rsidRPr="00E82B0B" w:rsidRDefault="00C4166A" w:rsidP="007354E3">
            <w:pPr>
              <w:spacing w:after="0" w:line="240" w:lineRule="auto"/>
              <w:jc w:val="center"/>
              <w:rPr>
                <w:rFonts w:eastAsia="Times New Roman" w:cs="Calibri"/>
                <w:color w:val="000000"/>
                <w:sz w:val="16"/>
                <w:szCs w:val="16"/>
                <w:lang w:val="ka-GE" w:eastAsia="sl-SI"/>
              </w:rPr>
            </w:pPr>
            <w:r>
              <w:rPr>
                <w:rFonts w:eastAsia="Times New Roman" w:cs="Calibri"/>
                <w:color w:val="000000"/>
                <w:sz w:val="16"/>
                <w:szCs w:val="16"/>
                <w:lang w:val="en-GB" w:eastAsia="sl-SI"/>
              </w:rPr>
              <w:t>Rustavi</w:t>
            </w:r>
          </w:p>
        </w:tc>
        <w:tc>
          <w:tcPr>
            <w:tcW w:w="1501" w:type="dxa"/>
            <w:tcBorders>
              <w:top w:val="single" w:sz="4" w:space="0" w:color="9BC2E6"/>
              <w:left w:val="single" w:sz="8" w:space="0" w:color="9BC2E6"/>
              <w:bottom w:val="single" w:sz="4" w:space="0" w:color="9BC2E6"/>
              <w:right w:val="single" w:sz="8" w:space="0" w:color="9BC2E6"/>
            </w:tcBorders>
            <w:shd w:val="clear" w:color="DDEBF7" w:fill="FFEB9C"/>
            <w:noWrap/>
            <w:vAlign w:val="center"/>
            <w:hideMark/>
          </w:tcPr>
          <w:p w14:paraId="0ED38E22" w14:textId="77777777" w:rsidR="00A0244C" w:rsidRPr="00BC1ABD" w:rsidRDefault="00A0244C" w:rsidP="007354E3">
            <w:pPr>
              <w:spacing w:after="0" w:line="240" w:lineRule="auto"/>
              <w:jc w:val="center"/>
              <w:rPr>
                <w:rFonts w:eastAsia="Times New Roman" w:cs="Calibri"/>
                <w:color w:val="9C6500"/>
                <w:sz w:val="16"/>
                <w:szCs w:val="16"/>
                <w:lang w:val="en-GB" w:eastAsia="sl-SI"/>
              </w:rPr>
            </w:pPr>
            <w:r w:rsidRPr="00BC1ABD">
              <w:rPr>
                <w:rFonts w:eastAsia="Times New Roman" w:cs="Calibri"/>
                <w:color w:val="9C6500"/>
                <w:sz w:val="16"/>
                <w:szCs w:val="16"/>
                <w:lang w:val="en-GB" w:eastAsia="sl-SI"/>
              </w:rPr>
              <w:t>CONTESTABLE BUT TOO BIG</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5006DE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125,103</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C849ED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37,488</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CF78B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48,545</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057356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22.54</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CA7EB2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23.69</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0F64A3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389AEE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53.77</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5407404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2CF477CC"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2C0F01E"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Shida Kartli </w:t>
            </w:r>
          </w:p>
        </w:tc>
        <w:tc>
          <w:tcPr>
            <w:tcW w:w="969"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0EC875B6" w14:textId="1B628D01" w:rsidR="00A0244C" w:rsidRPr="00BC1ABD" w:rsidRDefault="00C4166A"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Kaspi</w:t>
            </w:r>
          </w:p>
        </w:tc>
        <w:tc>
          <w:tcPr>
            <w:tcW w:w="1501"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3B586D2E"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19"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A61620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13,423</w:t>
            </w:r>
          </w:p>
        </w:tc>
        <w:tc>
          <w:tcPr>
            <w:tcW w:w="72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FAFBC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3,905</w:t>
            </w:r>
          </w:p>
        </w:tc>
        <w:tc>
          <w:tcPr>
            <w:tcW w:w="702"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B9A4C4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3,315</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96CF5B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56.80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1C4B7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41.78</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C88257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84"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E113AA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0.12</w:t>
            </w:r>
          </w:p>
        </w:tc>
        <w:tc>
          <w:tcPr>
            <w:tcW w:w="584" w:type="dxa"/>
            <w:tcBorders>
              <w:top w:val="single" w:sz="4" w:space="0" w:color="9BC2E6"/>
              <w:left w:val="single" w:sz="8" w:space="0" w:color="9BC2E6"/>
              <w:bottom w:val="single" w:sz="4" w:space="0" w:color="9BC2E6"/>
              <w:right w:val="nil"/>
            </w:tcBorders>
            <w:shd w:val="clear" w:color="auto" w:fill="auto"/>
            <w:noWrap/>
            <w:vAlign w:val="bottom"/>
            <w:hideMark/>
          </w:tcPr>
          <w:p w14:paraId="6603703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1.30</w:t>
            </w:r>
          </w:p>
        </w:tc>
      </w:tr>
      <w:tr w:rsidR="00A0244C" w:rsidRPr="00BC1ABD" w14:paraId="03E3ED42" w14:textId="77777777" w:rsidTr="007354E3">
        <w:trPr>
          <w:trHeight w:val="300"/>
        </w:trPr>
        <w:tc>
          <w:tcPr>
            <w:tcW w:w="1334"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9A49F1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b/>
                <w:color w:val="000000"/>
                <w:sz w:val="16"/>
                <w:szCs w:val="16"/>
                <w:lang w:val="en-GB" w:eastAsia="sl-SI"/>
              </w:rPr>
              <w:t>No of settlements</w:t>
            </w:r>
          </w:p>
        </w:tc>
        <w:tc>
          <w:tcPr>
            <w:tcW w:w="96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B77B786"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12</w:t>
            </w:r>
          </w:p>
        </w:tc>
        <w:tc>
          <w:tcPr>
            <w:tcW w:w="150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AC89A26"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Sum/Average</w:t>
            </w:r>
          </w:p>
        </w:tc>
        <w:tc>
          <w:tcPr>
            <w:tcW w:w="919"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CCE710E"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466,409</w:t>
            </w:r>
          </w:p>
        </w:tc>
        <w:tc>
          <w:tcPr>
            <w:tcW w:w="72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D40A57"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154,459</w:t>
            </w:r>
          </w:p>
        </w:tc>
        <w:tc>
          <w:tcPr>
            <w:tcW w:w="702"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F9D86CC"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176,011</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948F5C1"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36.13</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F08EF69"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44.98</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4D58A8E"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0.12</w:t>
            </w:r>
          </w:p>
        </w:tc>
        <w:tc>
          <w:tcPr>
            <w:tcW w:w="584"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F31235B"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16.73</w:t>
            </w:r>
          </w:p>
        </w:tc>
        <w:tc>
          <w:tcPr>
            <w:tcW w:w="584" w:type="dxa"/>
            <w:tcBorders>
              <w:top w:val="single" w:sz="4" w:space="0" w:color="9BC2E6"/>
              <w:left w:val="single" w:sz="8" w:space="0" w:color="9BC2E6"/>
              <w:bottom w:val="single" w:sz="4" w:space="0" w:color="9BC2E6"/>
              <w:right w:val="nil"/>
            </w:tcBorders>
            <w:shd w:val="clear" w:color="DDEBF7" w:fill="DDEBF7"/>
            <w:noWrap/>
            <w:vAlign w:val="bottom"/>
            <w:hideMark/>
          </w:tcPr>
          <w:p w14:paraId="7B26359E"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2.04</w:t>
            </w:r>
          </w:p>
        </w:tc>
      </w:tr>
    </w:tbl>
    <w:p w14:paraId="5A119E05" w14:textId="77777777" w:rsidR="00A0244C" w:rsidRPr="00BC1ABD" w:rsidRDefault="00A0244C" w:rsidP="00A0244C">
      <w:pPr>
        <w:jc w:val="center"/>
        <w:rPr>
          <w:rFonts w:cs="Arial"/>
          <w:sz w:val="4"/>
          <w:szCs w:val="4"/>
          <w:lang w:val="en-GB"/>
        </w:rPr>
      </w:pPr>
    </w:p>
    <w:p w14:paraId="70E803A0"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Questionnaire on coverage</w:t>
      </w:r>
    </w:p>
    <w:p w14:paraId="0FDFFADA" w14:textId="0A46B16A" w:rsidR="00A0244C" w:rsidRPr="00BC1ABD" w:rsidRDefault="00A0244C" w:rsidP="00A0244C">
      <w:pPr>
        <w:jc w:val="both"/>
        <w:rPr>
          <w:rFonts w:cs="Arial"/>
          <w:sz w:val="20"/>
          <w:szCs w:val="20"/>
          <w:lang w:val="en-GB"/>
        </w:rPr>
      </w:pPr>
      <w:r w:rsidRPr="00BC1ABD">
        <w:rPr>
          <w:rFonts w:cs="Arial"/>
          <w:sz w:val="24"/>
          <w:szCs w:val="24"/>
          <w:lang w:val="en-GB"/>
        </w:rPr>
        <w:t xml:space="preserve">The situation in settlements with four </w:t>
      </w:r>
      <w:r w:rsidR="00F026B4">
        <w:rPr>
          <w:rFonts w:cs="Arial"/>
          <w:sz w:val="24"/>
          <w:szCs w:val="24"/>
          <w:lang w:val="en-GB"/>
        </w:rPr>
        <w:t>FTTx</w:t>
      </w:r>
      <w:r w:rsidRPr="00BC1ABD">
        <w:rPr>
          <w:rFonts w:cs="Arial"/>
          <w:sz w:val="24"/>
          <w:szCs w:val="24"/>
          <w:lang w:val="en-GB"/>
        </w:rPr>
        <w:t xml:space="preserve"> network operators is also mostly not contestable; because in 10 of the 12 settlements all three main cumulative criteria are not met. Only 2 settlements are contestable (because all three main cumulative criteria are met), but one of these is </w:t>
      </w:r>
      <w:r w:rsidR="00592449">
        <w:rPr>
          <w:rFonts w:cs="Arial"/>
          <w:sz w:val="24"/>
          <w:szCs w:val="24"/>
          <w:lang w:val="en-GB"/>
        </w:rPr>
        <w:t>larger</w:t>
      </w:r>
      <w:r w:rsidRPr="00BC1ABD">
        <w:rPr>
          <w:rFonts w:cs="Arial"/>
          <w:sz w:val="24"/>
          <w:szCs w:val="24"/>
          <w:lang w:val="en-GB"/>
        </w:rPr>
        <w:t xml:space="preserve"> than 100,000 inhabitants.</w:t>
      </w:r>
    </w:p>
    <w:p w14:paraId="1EA73C10" w14:textId="3EDBF1B5" w:rsidR="00A0244C" w:rsidRPr="00BC1ABD" w:rsidRDefault="00A0244C" w:rsidP="00A0244C">
      <w:pPr>
        <w:pStyle w:val="Caption"/>
        <w:jc w:val="center"/>
        <w:rPr>
          <w:rFonts w:cs="Arial"/>
          <w:b/>
          <w:sz w:val="24"/>
          <w:szCs w:val="24"/>
          <w:lang w:val="en-GB"/>
        </w:rPr>
      </w:pPr>
      <w:bookmarkStart w:id="318" w:name="_Toc152931417"/>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66</w:t>
      </w:r>
      <w:r w:rsidRPr="00BC1ABD">
        <w:rPr>
          <w:lang w:val="en-GB"/>
        </w:rPr>
        <w:fldChar w:fldCharType="end"/>
      </w:r>
      <w:r w:rsidRPr="00BC1ABD">
        <w:rPr>
          <w:lang w:val="en-GB"/>
        </w:rPr>
        <w:t xml:space="preserve">: Competition in settlements with 3 </w:t>
      </w:r>
      <w:r w:rsidR="00F026B4">
        <w:rPr>
          <w:lang w:val="en-GB"/>
        </w:rPr>
        <w:t>FTTx</w:t>
      </w:r>
      <w:r w:rsidRPr="00BC1ABD">
        <w:rPr>
          <w:lang w:val="en-GB"/>
        </w:rPr>
        <w:t xml:space="preserve"> network operators</w:t>
      </w:r>
      <w:bookmarkEnd w:id="318"/>
    </w:p>
    <w:tbl>
      <w:tblPr>
        <w:tblW w:w="9052" w:type="dxa"/>
        <w:tblBorders>
          <w:top w:val="single" w:sz="4" w:space="0" w:color="9BC2E6"/>
          <w:left w:val="single" w:sz="8" w:space="0" w:color="9BC2E6"/>
          <w:bottom w:val="single" w:sz="4" w:space="0" w:color="9BC2E6"/>
          <w:right w:val="single" w:sz="8" w:space="0" w:color="9BC2E6"/>
          <w:insideH w:val="single" w:sz="4" w:space="0" w:color="9BC2E6"/>
          <w:insideV w:val="single" w:sz="8" w:space="0" w:color="9BC2E6"/>
        </w:tblBorders>
        <w:tblLayout w:type="fixed"/>
        <w:tblCellMar>
          <w:left w:w="70" w:type="dxa"/>
          <w:right w:w="70" w:type="dxa"/>
        </w:tblCellMar>
        <w:tblLook w:val="04A0" w:firstRow="1" w:lastRow="0" w:firstColumn="1" w:lastColumn="0" w:noHBand="0" w:noVBand="1"/>
      </w:tblPr>
      <w:tblGrid>
        <w:gridCol w:w="1329"/>
        <w:gridCol w:w="1030"/>
        <w:gridCol w:w="1459"/>
        <w:gridCol w:w="930"/>
        <w:gridCol w:w="629"/>
        <w:gridCol w:w="709"/>
        <w:gridCol w:w="593"/>
        <w:gridCol w:w="593"/>
        <w:gridCol w:w="593"/>
        <w:gridCol w:w="593"/>
        <w:gridCol w:w="594"/>
      </w:tblGrid>
      <w:tr w:rsidR="00A0244C" w:rsidRPr="00BC1ABD" w14:paraId="7B71E43B" w14:textId="77777777" w:rsidTr="007354E3">
        <w:trPr>
          <w:trHeight w:val="552"/>
        </w:trPr>
        <w:tc>
          <w:tcPr>
            <w:tcW w:w="1329" w:type="dxa"/>
            <w:shd w:val="clear" w:color="5B9BD5" w:fill="5B9BD5"/>
            <w:vAlign w:val="bottom"/>
            <w:hideMark/>
          </w:tcPr>
          <w:p w14:paraId="10B7F480"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Municipality</w:t>
            </w:r>
          </w:p>
        </w:tc>
        <w:tc>
          <w:tcPr>
            <w:tcW w:w="1030" w:type="dxa"/>
            <w:shd w:val="clear" w:color="5B9BD5" w:fill="5B9BD5"/>
            <w:vAlign w:val="bottom"/>
            <w:hideMark/>
          </w:tcPr>
          <w:p w14:paraId="7C2B9F4C"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Settlement</w:t>
            </w:r>
          </w:p>
        </w:tc>
        <w:tc>
          <w:tcPr>
            <w:tcW w:w="1459" w:type="dxa"/>
            <w:shd w:val="clear" w:color="5B9BD5" w:fill="5B9BD5"/>
            <w:vAlign w:val="bottom"/>
            <w:hideMark/>
          </w:tcPr>
          <w:p w14:paraId="308B2DC8"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Contestable 3 op.</w:t>
            </w:r>
          </w:p>
        </w:tc>
        <w:tc>
          <w:tcPr>
            <w:tcW w:w="930" w:type="dxa"/>
            <w:shd w:val="clear" w:color="5B9BD5" w:fill="5B9BD5"/>
            <w:vAlign w:val="bottom"/>
            <w:hideMark/>
          </w:tcPr>
          <w:p w14:paraId="66681F34"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Population</w:t>
            </w:r>
          </w:p>
        </w:tc>
        <w:tc>
          <w:tcPr>
            <w:tcW w:w="629" w:type="dxa"/>
            <w:shd w:val="clear" w:color="5B9BD5" w:fill="5B9BD5"/>
            <w:vAlign w:val="bottom"/>
            <w:hideMark/>
          </w:tcPr>
          <w:p w14:paraId="43820E05" w14:textId="516363A9" w:rsidR="00A0244C" w:rsidRPr="00BC1ABD" w:rsidRDefault="00E5732A"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H</w:t>
            </w:r>
            <w:r w:rsidR="00A0244C" w:rsidRPr="00BC1ABD">
              <w:rPr>
                <w:rFonts w:eastAsia="Times New Roman" w:cs="Calibri"/>
                <w:b/>
                <w:bCs/>
                <w:color w:val="FFFFFF"/>
                <w:sz w:val="16"/>
                <w:szCs w:val="16"/>
                <w:lang w:val="en-GB" w:eastAsia="sl-SI"/>
              </w:rPr>
              <w:t>ouseholds</w:t>
            </w:r>
          </w:p>
        </w:tc>
        <w:tc>
          <w:tcPr>
            <w:tcW w:w="709" w:type="dxa"/>
            <w:shd w:val="clear" w:color="5B9BD5" w:fill="5B9BD5"/>
            <w:vAlign w:val="bottom"/>
            <w:hideMark/>
          </w:tcPr>
          <w:p w14:paraId="6F60A084"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subscribers total</w:t>
            </w:r>
          </w:p>
        </w:tc>
        <w:tc>
          <w:tcPr>
            <w:tcW w:w="593" w:type="dxa"/>
            <w:shd w:val="clear" w:color="5B9BD5" w:fill="5B9BD5"/>
            <w:vAlign w:val="bottom"/>
            <w:hideMark/>
          </w:tcPr>
          <w:p w14:paraId="68FAEBD3"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Magti com share</w:t>
            </w:r>
          </w:p>
        </w:tc>
        <w:tc>
          <w:tcPr>
            <w:tcW w:w="593" w:type="dxa"/>
            <w:shd w:val="clear" w:color="5B9BD5" w:fill="5B9BD5"/>
            <w:vAlign w:val="bottom"/>
            <w:hideMark/>
          </w:tcPr>
          <w:p w14:paraId="7D35F1DD"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Silknet share</w:t>
            </w:r>
          </w:p>
        </w:tc>
        <w:tc>
          <w:tcPr>
            <w:tcW w:w="593" w:type="dxa"/>
            <w:shd w:val="clear" w:color="5B9BD5" w:fill="5B9BD5"/>
            <w:vAlign w:val="bottom"/>
            <w:hideMark/>
          </w:tcPr>
          <w:p w14:paraId="198CA0ED"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SkyTel share</w:t>
            </w:r>
          </w:p>
        </w:tc>
        <w:tc>
          <w:tcPr>
            <w:tcW w:w="593" w:type="dxa"/>
            <w:shd w:val="clear" w:color="5B9BD5" w:fill="5B9BD5"/>
            <w:vAlign w:val="bottom"/>
            <w:hideMark/>
          </w:tcPr>
          <w:p w14:paraId="43065E78"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Ahkali Kselebi share</w:t>
            </w:r>
          </w:p>
        </w:tc>
        <w:tc>
          <w:tcPr>
            <w:tcW w:w="594" w:type="dxa"/>
            <w:shd w:val="clear" w:color="5B9BD5" w:fill="5B9BD5"/>
            <w:vAlign w:val="bottom"/>
            <w:hideMark/>
          </w:tcPr>
          <w:p w14:paraId="6662E82D" w14:textId="77777777" w:rsidR="00A0244C" w:rsidRPr="00BC1ABD" w:rsidRDefault="00A0244C" w:rsidP="007354E3">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Other share</w:t>
            </w:r>
          </w:p>
        </w:tc>
      </w:tr>
      <w:tr w:rsidR="00A0244C" w:rsidRPr="00BC1ABD" w14:paraId="1E958E87" w14:textId="77777777" w:rsidTr="007354E3">
        <w:trPr>
          <w:trHeight w:val="288"/>
        </w:trPr>
        <w:tc>
          <w:tcPr>
            <w:tcW w:w="1329" w:type="dxa"/>
            <w:shd w:val="clear" w:color="DDEBF7" w:fill="DDEBF7"/>
            <w:noWrap/>
            <w:vAlign w:val="center"/>
            <w:hideMark/>
          </w:tcPr>
          <w:p w14:paraId="5B4D9C20"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Adjara</w:t>
            </w:r>
          </w:p>
        </w:tc>
        <w:tc>
          <w:tcPr>
            <w:tcW w:w="1030" w:type="dxa"/>
            <w:shd w:val="clear" w:color="DDEBF7" w:fill="DDEBF7"/>
            <w:noWrap/>
            <w:vAlign w:val="center"/>
            <w:hideMark/>
          </w:tcPr>
          <w:p w14:paraId="4B6B58A8" w14:textId="4E565EF5"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Kobuleti</w:t>
            </w:r>
          </w:p>
        </w:tc>
        <w:tc>
          <w:tcPr>
            <w:tcW w:w="1459" w:type="dxa"/>
            <w:shd w:val="clear" w:color="DDEBF7" w:fill="FFC7CE"/>
            <w:noWrap/>
            <w:vAlign w:val="center"/>
            <w:hideMark/>
          </w:tcPr>
          <w:p w14:paraId="7035077C"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3D6D13D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16,546</w:t>
            </w:r>
          </w:p>
        </w:tc>
        <w:tc>
          <w:tcPr>
            <w:tcW w:w="629" w:type="dxa"/>
            <w:shd w:val="clear" w:color="DDEBF7" w:fill="DDEBF7"/>
            <w:noWrap/>
            <w:vAlign w:val="bottom"/>
            <w:hideMark/>
          </w:tcPr>
          <w:p w14:paraId="1C9DDE7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6,406</w:t>
            </w:r>
          </w:p>
        </w:tc>
        <w:tc>
          <w:tcPr>
            <w:tcW w:w="709" w:type="dxa"/>
            <w:shd w:val="clear" w:color="DDEBF7" w:fill="DDEBF7"/>
            <w:noWrap/>
            <w:vAlign w:val="bottom"/>
            <w:hideMark/>
          </w:tcPr>
          <w:p w14:paraId="6F6C552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6,351</w:t>
            </w:r>
          </w:p>
        </w:tc>
        <w:tc>
          <w:tcPr>
            <w:tcW w:w="593" w:type="dxa"/>
            <w:shd w:val="clear" w:color="DDEBF7" w:fill="DDEBF7"/>
            <w:noWrap/>
            <w:vAlign w:val="bottom"/>
            <w:hideMark/>
          </w:tcPr>
          <w:p w14:paraId="2A0B451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45.30</w:t>
            </w:r>
          </w:p>
        </w:tc>
        <w:tc>
          <w:tcPr>
            <w:tcW w:w="593" w:type="dxa"/>
            <w:shd w:val="clear" w:color="DDEBF7" w:fill="DDEBF7"/>
            <w:noWrap/>
            <w:vAlign w:val="bottom"/>
            <w:hideMark/>
          </w:tcPr>
          <w:p w14:paraId="0D660BF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54.68</w:t>
            </w:r>
          </w:p>
        </w:tc>
        <w:tc>
          <w:tcPr>
            <w:tcW w:w="593" w:type="dxa"/>
            <w:shd w:val="clear" w:color="DDEBF7" w:fill="DDEBF7"/>
            <w:noWrap/>
            <w:vAlign w:val="bottom"/>
            <w:hideMark/>
          </w:tcPr>
          <w:p w14:paraId="1EE6250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7E2741A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430E81C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0.02</w:t>
            </w:r>
          </w:p>
        </w:tc>
      </w:tr>
      <w:tr w:rsidR="00A0244C" w:rsidRPr="00BC1ABD" w14:paraId="3459D4E8" w14:textId="77777777" w:rsidTr="007354E3">
        <w:trPr>
          <w:trHeight w:val="288"/>
        </w:trPr>
        <w:tc>
          <w:tcPr>
            <w:tcW w:w="1329" w:type="dxa"/>
            <w:shd w:val="clear" w:color="auto" w:fill="auto"/>
            <w:noWrap/>
            <w:vAlign w:val="center"/>
            <w:hideMark/>
          </w:tcPr>
          <w:p w14:paraId="6A89A5B6"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Guria</w:t>
            </w:r>
          </w:p>
        </w:tc>
        <w:tc>
          <w:tcPr>
            <w:tcW w:w="1030" w:type="dxa"/>
            <w:shd w:val="clear" w:color="auto" w:fill="auto"/>
            <w:noWrap/>
            <w:vAlign w:val="center"/>
            <w:hideMark/>
          </w:tcPr>
          <w:p w14:paraId="3DA71AB3" w14:textId="3D010272"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Ozurgeti</w:t>
            </w:r>
          </w:p>
        </w:tc>
        <w:tc>
          <w:tcPr>
            <w:tcW w:w="1459" w:type="dxa"/>
            <w:shd w:val="clear" w:color="000000" w:fill="FFC7CE"/>
            <w:noWrap/>
            <w:vAlign w:val="center"/>
            <w:hideMark/>
          </w:tcPr>
          <w:p w14:paraId="4EB807DD"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0512840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14,785</w:t>
            </w:r>
          </w:p>
        </w:tc>
        <w:tc>
          <w:tcPr>
            <w:tcW w:w="629" w:type="dxa"/>
            <w:shd w:val="clear" w:color="auto" w:fill="auto"/>
            <w:noWrap/>
            <w:vAlign w:val="bottom"/>
            <w:hideMark/>
          </w:tcPr>
          <w:p w14:paraId="325FB2B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4,895</w:t>
            </w:r>
          </w:p>
        </w:tc>
        <w:tc>
          <w:tcPr>
            <w:tcW w:w="709" w:type="dxa"/>
            <w:shd w:val="clear" w:color="auto" w:fill="auto"/>
            <w:noWrap/>
            <w:vAlign w:val="bottom"/>
            <w:hideMark/>
          </w:tcPr>
          <w:p w14:paraId="1C5917B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3,610</w:t>
            </w:r>
          </w:p>
        </w:tc>
        <w:tc>
          <w:tcPr>
            <w:tcW w:w="593" w:type="dxa"/>
            <w:shd w:val="clear" w:color="auto" w:fill="auto"/>
            <w:noWrap/>
            <w:vAlign w:val="bottom"/>
            <w:hideMark/>
          </w:tcPr>
          <w:p w14:paraId="20EE8DA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82.71</w:t>
            </w:r>
          </w:p>
        </w:tc>
        <w:tc>
          <w:tcPr>
            <w:tcW w:w="593" w:type="dxa"/>
            <w:shd w:val="clear" w:color="auto" w:fill="auto"/>
            <w:noWrap/>
            <w:vAlign w:val="bottom"/>
            <w:hideMark/>
          </w:tcPr>
          <w:p w14:paraId="7ABD543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0.03</w:t>
            </w:r>
          </w:p>
        </w:tc>
        <w:tc>
          <w:tcPr>
            <w:tcW w:w="593" w:type="dxa"/>
            <w:shd w:val="clear" w:color="auto" w:fill="auto"/>
            <w:noWrap/>
            <w:vAlign w:val="bottom"/>
            <w:hideMark/>
          </w:tcPr>
          <w:p w14:paraId="4C55FC8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19C4D86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2FADA9D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17.26</w:t>
            </w:r>
          </w:p>
        </w:tc>
      </w:tr>
      <w:tr w:rsidR="00A0244C" w:rsidRPr="00BC1ABD" w14:paraId="226DD58F" w14:textId="77777777" w:rsidTr="007354E3">
        <w:trPr>
          <w:trHeight w:val="288"/>
        </w:trPr>
        <w:tc>
          <w:tcPr>
            <w:tcW w:w="1329" w:type="dxa"/>
            <w:shd w:val="clear" w:color="DDEBF7" w:fill="DDEBF7"/>
            <w:noWrap/>
            <w:vAlign w:val="center"/>
            <w:hideMark/>
          </w:tcPr>
          <w:p w14:paraId="75499169"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Imereti</w:t>
            </w:r>
          </w:p>
        </w:tc>
        <w:tc>
          <w:tcPr>
            <w:tcW w:w="1030" w:type="dxa"/>
            <w:shd w:val="clear" w:color="DDEBF7" w:fill="DDEBF7"/>
            <w:noWrap/>
            <w:vAlign w:val="center"/>
            <w:hideMark/>
          </w:tcPr>
          <w:p w14:paraId="225C4DC6" w14:textId="07DD5DFD" w:rsidR="00A0244C" w:rsidRPr="00BC1ABD" w:rsidRDefault="00323659" w:rsidP="00E82B0B">
            <w:pPr>
              <w:spacing w:after="0" w:line="240" w:lineRule="auto"/>
              <w:rPr>
                <w:rFonts w:eastAsia="Times New Roman" w:cs="Calibri"/>
                <w:color w:val="000000"/>
                <w:sz w:val="16"/>
                <w:szCs w:val="16"/>
                <w:lang w:val="en-GB" w:eastAsia="sl-SI"/>
              </w:rPr>
            </w:pPr>
            <w:r w:rsidRPr="00323659">
              <w:rPr>
                <w:rFonts w:eastAsia="Times New Roman" w:cs="Calibri"/>
                <w:color w:val="000000"/>
                <w:sz w:val="16"/>
                <w:szCs w:val="16"/>
                <w:lang w:val="en-GB" w:eastAsia="sl-SI"/>
              </w:rPr>
              <w:t>Samtredia</w:t>
            </w:r>
          </w:p>
        </w:tc>
        <w:tc>
          <w:tcPr>
            <w:tcW w:w="1459" w:type="dxa"/>
            <w:shd w:val="clear" w:color="DDEBF7" w:fill="FFC7CE"/>
            <w:noWrap/>
            <w:vAlign w:val="center"/>
            <w:hideMark/>
          </w:tcPr>
          <w:p w14:paraId="4A207CAC"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5B5BA0D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25,318</w:t>
            </w:r>
          </w:p>
        </w:tc>
        <w:tc>
          <w:tcPr>
            <w:tcW w:w="629" w:type="dxa"/>
            <w:shd w:val="clear" w:color="DDEBF7" w:fill="DDEBF7"/>
            <w:noWrap/>
            <w:vAlign w:val="bottom"/>
            <w:hideMark/>
          </w:tcPr>
          <w:p w14:paraId="6536F19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7,774</w:t>
            </w:r>
          </w:p>
        </w:tc>
        <w:tc>
          <w:tcPr>
            <w:tcW w:w="709" w:type="dxa"/>
            <w:shd w:val="clear" w:color="DDEBF7" w:fill="DDEBF7"/>
            <w:noWrap/>
            <w:vAlign w:val="bottom"/>
            <w:hideMark/>
          </w:tcPr>
          <w:p w14:paraId="07DFD7C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6,208</w:t>
            </w:r>
          </w:p>
        </w:tc>
        <w:tc>
          <w:tcPr>
            <w:tcW w:w="593" w:type="dxa"/>
            <w:shd w:val="clear" w:color="DDEBF7" w:fill="DDEBF7"/>
            <w:noWrap/>
            <w:vAlign w:val="bottom"/>
            <w:hideMark/>
          </w:tcPr>
          <w:p w14:paraId="3165823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49.02</w:t>
            </w:r>
          </w:p>
        </w:tc>
        <w:tc>
          <w:tcPr>
            <w:tcW w:w="593" w:type="dxa"/>
            <w:shd w:val="clear" w:color="DDEBF7" w:fill="DDEBF7"/>
            <w:noWrap/>
            <w:vAlign w:val="bottom"/>
            <w:hideMark/>
          </w:tcPr>
          <w:p w14:paraId="1E40AC0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31.67</w:t>
            </w:r>
          </w:p>
        </w:tc>
        <w:tc>
          <w:tcPr>
            <w:tcW w:w="593" w:type="dxa"/>
            <w:shd w:val="clear" w:color="DDEBF7" w:fill="DDEBF7"/>
            <w:noWrap/>
            <w:vAlign w:val="bottom"/>
            <w:hideMark/>
          </w:tcPr>
          <w:p w14:paraId="3213752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2F8274B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3AC493F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19.31</w:t>
            </w:r>
          </w:p>
        </w:tc>
      </w:tr>
      <w:tr w:rsidR="00A0244C" w:rsidRPr="00BC1ABD" w14:paraId="0BB60EEB" w14:textId="77777777" w:rsidTr="007354E3">
        <w:trPr>
          <w:trHeight w:val="288"/>
        </w:trPr>
        <w:tc>
          <w:tcPr>
            <w:tcW w:w="1329" w:type="dxa"/>
            <w:shd w:val="clear" w:color="auto" w:fill="auto"/>
            <w:noWrap/>
            <w:vAlign w:val="center"/>
            <w:hideMark/>
          </w:tcPr>
          <w:p w14:paraId="6AA68C77"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Imereti</w:t>
            </w:r>
          </w:p>
        </w:tc>
        <w:tc>
          <w:tcPr>
            <w:tcW w:w="1030" w:type="dxa"/>
            <w:shd w:val="clear" w:color="auto" w:fill="auto"/>
            <w:noWrap/>
            <w:vAlign w:val="center"/>
            <w:hideMark/>
          </w:tcPr>
          <w:p w14:paraId="12678FF1" w14:textId="7D88B288"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Tskaltubo</w:t>
            </w:r>
          </w:p>
        </w:tc>
        <w:tc>
          <w:tcPr>
            <w:tcW w:w="1459" w:type="dxa"/>
            <w:shd w:val="clear" w:color="000000" w:fill="FFC7CE"/>
            <w:noWrap/>
            <w:vAlign w:val="center"/>
            <w:hideMark/>
          </w:tcPr>
          <w:p w14:paraId="2A09DACE"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571BEAE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11,281</w:t>
            </w:r>
          </w:p>
        </w:tc>
        <w:tc>
          <w:tcPr>
            <w:tcW w:w="629" w:type="dxa"/>
            <w:shd w:val="clear" w:color="auto" w:fill="auto"/>
            <w:noWrap/>
            <w:vAlign w:val="bottom"/>
            <w:hideMark/>
          </w:tcPr>
          <w:p w14:paraId="650F602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3,936</w:t>
            </w:r>
          </w:p>
        </w:tc>
        <w:tc>
          <w:tcPr>
            <w:tcW w:w="709" w:type="dxa"/>
            <w:shd w:val="clear" w:color="auto" w:fill="auto"/>
            <w:noWrap/>
            <w:vAlign w:val="bottom"/>
            <w:hideMark/>
          </w:tcPr>
          <w:p w14:paraId="19E7C56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3,122</w:t>
            </w:r>
          </w:p>
        </w:tc>
        <w:tc>
          <w:tcPr>
            <w:tcW w:w="593" w:type="dxa"/>
            <w:shd w:val="clear" w:color="auto" w:fill="auto"/>
            <w:noWrap/>
            <w:vAlign w:val="bottom"/>
            <w:hideMark/>
          </w:tcPr>
          <w:p w14:paraId="6B8BE99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99.94</w:t>
            </w:r>
          </w:p>
        </w:tc>
        <w:tc>
          <w:tcPr>
            <w:tcW w:w="593" w:type="dxa"/>
            <w:shd w:val="clear" w:color="auto" w:fill="auto"/>
            <w:noWrap/>
            <w:vAlign w:val="bottom"/>
            <w:hideMark/>
          </w:tcPr>
          <w:p w14:paraId="718D070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0.03</w:t>
            </w:r>
          </w:p>
        </w:tc>
        <w:tc>
          <w:tcPr>
            <w:tcW w:w="593" w:type="dxa"/>
            <w:shd w:val="clear" w:color="auto" w:fill="auto"/>
            <w:noWrap/>
            <w:vAlign w:val="bottom"/>
            <w:hideMark/>
          </w:tcPr>
          <w:p w14:paraId="4A540C0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0.03</w:t>
            </w:r>
          </w:p>
        </w:tc>
        <w:tc>
          <w:tcPr>
            <w:tcW w:w="593" w:type="dxa"/>
            <w:shd w:val="clear" w:color="auto" w:fill="auto"/>
            <w:noWrap/>
            <w:vAlign w:val="bottom"/>
            <w:hideMark/>
          </w:tcPr>
          <w:p w14:paraId="155E836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65E48B0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2D188579" w14:textId="77777777" w:rsidTr="007354E3">
        <w:trPr>
          <w:trHeight w:val="288"/>
        </w:trPr>
        <w:tc>
          <w:tcPr>
            <w:tcW w:w="1329" w:type="dxa"/>
            <w:shd w:val="clear" w:color="DDEBF7" w:fill="DDEBF7"/>
            <w:noWrap/>
            <w:vAlign w:val="center"/>
            <w:hideMark/>
          </w:tcPr>
          <w:p w14:paraId="62670784"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DDEBF7" w:fill="DDEBF7"/>
            <w:noWrap/>
            <w:vAlign w:val="center"/>
            <w:hideMark/>
          </w:tcPr>
          <w:p w14:paraId="25982AFF" w14:textId="0035F4FC"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Akhasheni</w:t>
            </w:r>
          </w:p>
        </w:tc>
        <w:tc>
          <w:tcPr>
            <w:tcW w:w="1459" w:type="dxa"/>
            <w:shd w:val="clear" w:color="DDEBF7" w:fill="FFC7CE"/>
            <w:noWrap/>
            <w:vAlign w:val="center"/>
            <w:hideMark/>
          </w:tcPr>
          <w:p w14:paraId="59B63C85"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3F3CA9E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2,420</w:t>
            </w:r>
          </w:p>
        </w:tc>
        <w:tc>
          <w:tcPr>
            <w:tcW w:w="629" w:type="dxa"/>
            <w:shd w:val="clear" w:color="DDEBF7" w:fill="DDEBF7"/>
            <w:noWrap/>
            <w:vAlign w:val="bottom"/>
            <w:hideMark/>
          </w:tcPr>
          <w:p w14:paraId="154E2EB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790</w:t>
            </w:r>
          </w:p>
        </w:tc>
        <w:tc>
          <w:tcPr>
            <w:tcW w:w="709" w:type="dxa"/>
            <w:shd w:val="clear" w:color="DDEBF7" w:fill="DDEBF7"/>
            <w:noWrap/>
            <w:vAlign w:val="bottom"/>
            <w:hideMark/>
          </w:tcPr>
          <w:p w14:paraId="73625C9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519</w:t>
            </w:r>
          </w:p>
        </w:tc>
        <w:tc>
          <w:tcPr>
            <w:tcW w:w="593" w:type="dxa"/>
            <w:shd w:val="clear" w:color="DDEBF7" w:fill="DDEBF7"/>
            <w:noWrap/>
            <w:vAlign w:val="bottom"/>
            <w:hideMark/>
          </w:tcPr>
          <w:p w14:paraId="1F863B3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39.31</w:t>
            </w:r>
          </w:p>
        </w:tc>
        <w:tc>
          <w:tcPr>
            <w:tcW w:w="593" w:type="dxa"/>
            <w:shd w:val="clear" w:color="DDEBF7" w:fill="DDEBF7"/>
            <w:noWrap/>
            <w:vAlign w:val="bottom"/>
            <w:hideMark/>
          </w:tcPr>
          <w:p w14:paraId="7B99548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51.64</w:t>
            </w:r>
          </w:p>
        </w:tc>
        <w:tc>
          <w:tcPr>
            <w:tcW w:w="593" w:type="dxa"/>
            <w:shd w:val="clear" w:color="DDEBF7" w:fill="DDEBF7"/>
            <w:noWrap/>
            <w:vAlign w:val="bottom"/>
            <w:hideMark/>
          </w:tcPr>
          <w:p w14:paraId="444C08A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33F480E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4600F08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9.06</w:t>
            </w:r>
          </w:p>
        </w:tc>
      </w:tr>
      <w:tr w:rsidR="00A0244C" w:rsidRPr="00BC1ABD" w14:paraId="69B79566" w14:textId="77777777" w:rsidTr="007354E3">
        <w:trPr>
          <w:trHeight w:val="288"/>
        </w:trPr>
        <w:tc>
          <w:tcPr>
            <w:tcW w:w="1329" w:type="dxa"/>
            <w:shd w:val="clear" w:color="auto" w:fill="auto"/>
            <w:noWrap/>
            <w:vAlign w:val="center"/>
            <w:hideMark/>
          </w:tcPr>
          <w:p w14:paraId="20C5344C"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auto" w:fill="auto"/>
            <w:noWrap/>
            <w:vAlign w:val="center"/>
            <w:hideMark/>
          </w:tcPr>
          <w:p w14:paraId="48740A12" w14:textId="3104187A"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Busheti</w:t>
            </w:r>
          </w:p>
        </w:tc>
        <w:tc>
          <w:tcPr>
            <w:tcW w:w="1459" w:type="dxa"/>
            <w:shd w:val="clear" w:color="auto" w:fill="auto"/>
            <w:noWrap/>
            <w:vAlign w:val="center"/>
            <w:hideMark/>
          </w:tcPr>
          <w:p w14:paraId="26B332CD"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auto" w:fill="auto"/>
            <w:noWrap/>
            <w:vAlign w:val="bottom"/>
            <w:hideMark/>
          </w:tcPr>
          <w:p w14:paraId="43B0A94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1,090</w:t>
            </w:r>
          </w:p>
        </w:tc>
        <w:tc>
          <w:tcPr>
            <w:tcW w:w="629" w:type="dxa"/>
            <w:shd w:val="clear" w:color="auto" w:fill="auto"/>
            <w:noWrap/>
            <w:vAlign w:val="bottom"/>
            <w:hideMark/>
          </w:tcPr>
          <w:p w14:paraId="6B5AFB9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332</w:t>
            </w:r>
          </w:p>
        </w:tc>
        <w:tc>
          <w:tcPr>
            <w:tcW w:w="709" w:type="dxa"/>
            <w:shd w:val="clear" w:color="auto" w:fill="auto"/>
            <w:noWrap/>
            <w:vAlign w:val="bottom"/>
            <w:hideMark/>
          </w:tcPr>
          <w:p w14:paraId="1C72677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235</w:t>
            </w:r>
          </w:p>
        </w:tc>
        <w:tc>
          <w:tcPr>
            <w:tcW w:w="593" w:type="dxa"/>
            <w:shd w:val="clear" w:color="auto" w:fill="auto"/>
            <w:noWrap/>
            <w:vAlign w:val="bottom"/>
            <w:hideMark/>
          </w:tcPr>
          <w:p w14:paraId="6BF7D5B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20.43</w:t>
            </w:r>
          </w:p>
        </w:tc>
        <w:tc>
          <w:tcPr>
            <w:tcW w:w="593" w:type="dxa"/>
            <w:shd w:val="clear" w:color="auto" w:fill="auto"/>
            <w:noWrap/>
            <w:vAlign w:val="bottom"/>
            <w:hideMark/>
          </w:tcPr>
          <w:p w14:paraId="1DCF6C2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66.81</w:t>
            </w:r>
          </w:p>
        </w:tc>
        <w:tc>
          <w:tcPr>
            <w:tcW w:w="593" w:type="dxa"/>
            <w:shd w:val="clear" w:color="auto" w:fill="auto"/>
            <w:noWrap/>
            <w:vAlign w:val="bottom"/>
            <w:hideMark/>
          </w:tcPr>
          <w:p w14:paraId="397512D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12.77</w:t>
            </w:r>
          </w:p>
        </w:tc>
        <w:tc>
          <w:tcPr>
            <w:tcW w:w="593" w:type="dxa"/>
            <w:shd w:val="clear" w:color="auto" w:fill="auto"/>
            <w:noWrap/>
            <w:vAlign w:val="bottom"/>
            <w:hideMark/>
          </w:tcPr>
          <w:p w14:paraId="5B61D4C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532C68A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34DBABA6" w14:textId="77777777" w:rsidTr="007354E3">
        <w:trPr>
          <w:trHeight w:val="288"/>
        </w:trPr>
        <w:tc>
          <w:tcPr>
            <w:tcW w:w="1329" w:type="dxa"/>
            <w:shd w:val="clear" w:color="DDEBF7" w:fill="DDEBF7"/>
            <w:noWrap/>
            <w:vAlign w:val="center"/>
            <w:hideMark/>
          </w:tcPr>
          <w:p w14:paraId="42EB55E0"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DDEBF7" w:fill="DDEBF7"/>
            <w:noWrap/>
            <w:vAlign w:val="center"/>
            <w:hideMark/>
          </w:tcPr>
          <w:p w14:paraId="594A5AD3" w14:textId="052BCB41" w:rsidR="00A0244C" w:rsidRPr="00BC1ABD" w:rsidRDefault="00323659"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Vanta</w:t>
            </w:r>
          </w:p>
        </w:tc>
        <w:tc>
          <w:tcPr>
            <w:tcW w:w="1459" w:type="dxa"/>
            <w:shd w:val="clear" w:color="DDEBF7" w:fill="DDEBF7"/>
            <w:noWrap/>
            <w:vAlign w:val="center"/>
            <w:hideMark/>
          </w:tcPr>
          <w:p w14:paraId="148B3270"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DDEBF7" w:fill="DDEBF7"/>
            <w:noWrap/>
            <w:vAlign w:val="bottom"/>
            <w:hideMark/>
          </w:tcPr>
          <w:p w14:paraId="3B1AA7B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937</w:t>
            </w:r>
          </w:p>
        </w:tc>
        <w:tc>
          <w:tcPr>
            <w:tcW w:w="629" w:type="dxa"/>
            <w:shd w:val="clear" w:color="DDEBF7" w:fill="DDEBF7"/>
            <w:noWrap/>
            <w:vAlign w:val="bottom"/>
            <w:hideMark/>
          </w:tcPr>
          <w:p w14:paraId="08A1C83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307</w:t>
            </w:r>
          </w:p>
        </w:tc>
        <w:tc>
          <w:tcPr>
            <w:tcW w:w="709" w:type="dxa"/>
            <w:shd w:val="clear" w:color="DDEBF7" w:fill="DDEBF7"/>
            <w:noWrap/>
            <w:vAlign w:val="bottom"/>
            <w:hideMark/>
          </w:tcPr>
          <w:p w14:paraId="418AB58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183</w:t>
            </w:r>
          </w:p>
        </w:tc>
        <w:tc>
          <w:tcPr>
            <w:tcW w:w="593" w:type="dxa"/>
            <w:shd w:val="clear" w:color="DDEBF7" w:fill="DDEBF7"/>
            <w:noWrap/>
            <w:vAlign w:val="bottom"/>
            <w:hideMark/>
          </w:tcPr>
          <w:p w14:paraId="0163DEA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0.55</w:t>
            </w:r>
          </w:p>
        </w:tc>
        <w:tc>
          <w:tcPr>
            <w:tcW w:w="593" w:type="dxa"/>
            <w:shd w:val="clear" w:color="DDEBF7" w:fill="DDEBF7"/>
            <w:noWrap/>
            <w:vAlign w:val="bottom"/>
            <w:hideMark/>
          </w:tcPr>
          <w:p w14:paraId="6F6287B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65.03</w:t>
            </w:r>
          </w:p>
        </w:tc>
        <w:tc>
          <w:tcPr>
            <w:tcW w:w="593" w:type="dxa"/>
            <w:shd w:val="clear" w:color="DDEBF7" w:fill="DDEBF7"/>
            <w:noWrap/>
            <w:vAlign w:val="bottom"/>
            <w:hideMark/>
          </w:tcPr>
          <w:p w14:paraId="31FE1EE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34.43</w:t>
            </w:r>
          </w:p>
        </w:tc>
        <w:tc>
          <w:tcPr>
            <w:tcW w:w="593" w:type="dxa"/>
            <w:shd w:val="clear" w:color="DDEBF7" w:fill="DDEBF7"/>
            <w:noWrap/>
            <w:vAlign w:val="bottom"/>
            <w:hideMark/>
          </w:tcPr>
          <w:p w14:paraId="7CF5313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656D803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2CF48CDC" w14:textId="77777777" w:rsidTr="007354E3">
        <w:trPr>
          <w:trHeight w:val="288"/>
        </w:trPr>
        <w:tc>
          <w:tcPr>
            <w:tcW w:w="1329" w:type="dxa"/>
            <w:shd w:val="clear" w:color="auto" w:fill="auto"/>
            <w:noWrap/>
            <w:vAlign w:val="center"/>
            <w:hideMark/>
          </w:tcPr>
          <w:p w14:paraId="6A54BC98"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auto" w:fill="auto"/>
            <w:noWrap/>
            <w:vAlign w:val="center"/>
            <w:hideMark/>
          </w:tcPr>
          <w:p w14:paraId="4FD40363" w14:textId="7C2130AF"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Vachnadziani</w:t>
            </w:r>
          </w:p>
        </w:tc>
        <w:tc>
          <w:tcPr>
            <w:tcW w:w="1459" w:type="dxa"/>
            <w:shd w:val="clear" w:color="auto" w:fill="auto"/>
            <w:noWrap/>
            <w:vAlign w:val="center"/>
            <w:hideMark/>
          </w:tcPr>
          <w:p w14:paraId="1392C396"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auto" w:fill="auto"/>
            <w:noWrap/>
            <w:vAlign w:val="bottom"/>
            <w:hideMark/>
          </w:tcPr>
          <w:p w14:paraId="0066041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1,529</w:t>
            </w:r>
          </w:p>
        </w:tc>
        <w:tc>
          <w:tcPr>
            <w:tcW w:w="629" w:type="dxa"/>
            <w:shd w:val="clear" w:color="auto" w:fill="auto"/>
            <w:noWrap/>
            <w:vAlign w:val="bottom"/>
            <w:hideMark/>
          </w:tcPr>
          <w:p w14:paraId="64B6F15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503</w:t>
            </w:r>
          </w:p>
        </w:tc>
        <w:tc>
          <w:tcPr>
            <w:tcW w:w="709" w:type="dxa"/>
            <w:shd w:val="clear" w:color="auto" w:fill="auto"/>
            <w:noWrap/>
            <w:vAlign w:val="bottom"/>
            <w:hideMark/>
          </w:tcPr>
          <w:p w14:paraId="595494E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325</w:t>
            </w:r>
          </w:p>
        </w:tc>
        <w:tc>
          <w:tcPr>
            <w:tcW w:w="593" w:type="dxa"/>
            <w:shd w:val="clear" w:color="auto" w:fill="auto"/>
            <w:noWrap/>
            <w:vAlign w:val="bottom"/>
            <w:hideMark/>
          </w:tcPr>
          <w:p w14:paraId="1CE1606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23.38</w:t>
            </w:r>
          </w:p>
        </w:tc>
        <w:tc>
          <w:tcPr>
            <w:tcW w:w="593" w:type="dxa"/>
            <w:shd w:val="clear" w:color="auto" w:fill="auto"/>
            <w:noWrap/>
            <w:vAlign w:val="bottom"/>
            <w:hideMark/>
          </w:tcPr>
          <w:p w14:paraId="0D3BF3E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56.31</w:t>
            </w:r>
          </w:p>
        </w:tc>
        <w:tc>
          <w:tcPr>
            <w:tcW w:w="593" w:type="dxa"/>
            <w:shd w:val="clear" w:color="auto" w:fill="auto"/>
            <w:noWrap/>
            <w:vAlign w:val="bottom"/>
            <w:hideMark/>
          </w:tcPr>
          <w:p w14:paraId="5008F6B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02EE298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05BC898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20.31</w:t>
            </w:r>
          </w:p>
        </w:tc>
      </w:tr>
      <w:tr w:rsidR="00A0244C" w:rsidRPr="00BC1ABD" w14:paraId="6F4F1387" w14:textId="77777777" w:rsidTr="007354E3">
        <w:trPr>
          <w:trHeight w:val="288"/>
        </w:trPr>
        <w:tc>
          <w:tcPr>
            <w:tcW w:w="1329" w:type="dxa"/>
            <w:shd w:val="clear" w:color="DDEBF7" w:fill="DDEBF7"/>
            <w:noWrap/>
            <w:vAlign w:val="center"/>
            <w:hideMark/>
          </w:tcPr>
          <w:p w14:paraId="3CCCA0B7"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DDEBF7" w:fill="DDEBF7"/>
            <w:noWrap/>
            <w:vAlign w:val="center"/>
            <w:hideMark/>
          </w:tcPr>
          <w:p w14:paraId="113E5E0B" w14:textId="2055B2FF"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Kalauri</w:t>
            </w:r>
          </w:p>
        </w:tc>
        <w:tc>
          <w:tcPr>
            <w:tcW w:w="1459" w:type="dxa"/>
            <w:shd w:val="clear" w:color="DDEBF7" w:fill="DDEBF7"/>
            <w:noWrap/>
            <w:vAlign w:val="center"/>
            <w:hideMark/>
          </w:tcPr>
          <w:p w14:paraId="20AA87CB"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DDEBF7" w:fill="DDEBF7"/>
            <w:noWrap/>
            <w:vAlign w:val="bottom"/>
            <w:hideMark/>
          </w:tcPr>
          <w:p w14:paraId="4928284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1,976</w:t>
            </w:r>
          </w:p>
        </w:tc>
        <w:tc>
          <w:tcPr>
            <w:tcW w:w="629" w:type="dxa"/>
            <w:shd w:val="clear" w:color="DDEBF7" w:fill="DDEBF7"/>
            <w:noWrap/>
            <w:vAlign w:val="bottom"/>
            <w:hideMark/>
          </w:tcPr>
          <w:p w14:paraId="249DE1B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650</w:t>
            </w:r>
          </w:p>
        </w:tc>
        <w:tc>
          <w:tcPr>
            <w:tcW w:w="709" w:type="dxa"/>
            <w:shd w:val="clear" w:color="DDEBF7" w:fill="DDEBF7"/>
            <w:noWrap/>
            <w:vAlign w:val="bottom"/>
            <w:hideMark/>
          </w:tcPr>
          <w:p w14:paraId="57EA077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414</w:t>
            </w:r>
          </w:p>
        </w:tc>
        <w:tc>
          <w:tcPr>
            <w:tcW w:w="593" w:type="dxa"/>
            <w:shd w:val="clear" w:color="DDEBF7" w:fill="DDEBF7"/>
            <w:noWrap/>
            <w:vAlign w:val="bottom"/>
            <w:hideMark/>
          </w:tcPr>
          <w:p w14:paraId="482D717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30.19</w:t>
            </w:r>
          </w:p>
        </w:tc>
        <w:tc>
          <w:tcPr>
            <w:tcW w:w="593" w:type="dxa"/>
            <w:shd w:val="clear" w:color="DDEBF7" w:fill="DDEBF7"/>
            <w:noWrap/>
            <w:vAlign w:val="bottom"/>
            <w:hideMark/>
          </w:tcPr>
          <w:p w14:paraId="1265D6A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57.73</w:t>
            </w:r>
          </w:p>
        </w:tc>
        <w:tc>
          <w:tcPr>
            <w:tcW w:w="593" w:type="dxa"/>
            <w:shd w:val="clear" w:color="DDEBF7" w:fill="DDEBF7"/>
            <w:noWrap/>
            <w:vAlign w:val="bottom"/>
            <w:hideMark/>
          </w:tcPr>
          <w:p w14:paraId="67E81C3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4E8EF3C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5D2BAB1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12.08</w:t>
            </w:r>
          </w:p>
        </w:tc>
      </w:tr>
      <w:tr w:rsidR="00A0244C" w:rsidRPr="00BC1ABD" w14:paraId="4428855A" w14:textId="77777777" w:rsidTr="007354E3">
        <w:trPr>
          <w:trHeight w:val="288"/>
        </w:trPr>
        <w:tc>
          <w:tcPr>
            <w:tcW w:w="1329" w:type="dxa"/>
            <w:shd w:val="clear" w:color="auto" w:fill="auto"/>
            <w:noWrap/>
            <w:vAlign w:val="center"/>
            <w:hideMark/>
          </w:tcPr>
          <w:p w14:paraId="47AD0626"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auto" w:fill="auto"/>
            <w:noWrap/>
            <w:vAlign w:val="center"/>
            <w:hideMark/>
          </w:tcPr>
          <w:p w14:paraId="53D1AD0E" w14:textId="12C09936" w:rsidR="00A0244C" w:rsidRPr="00E82B0B" w:rsidRDefault="00323659" w:rsidP="007354E3">
            <w:pPr>
              <w:spacing w:after="0" w:line="240" w:lineRule="auto"/>
              <w:jc w:val="center"/>
              <w:rPr>
                <w:rFonts w:eastAsia="Times New Roman" w:cs="Calibri"/>
                <w:color w:val="000000"/>
                <w:sz w:val="16"/>
                <w:szCs w:val="16"/>
                <w:lang w:val="en-US" w:eastAsia="sl-SI"/>
              </w:rPr>
            </w:pPr>
            <w:r>
              <w:rPr>
                <w:rFonts w:eastAsia="Times New Roman" w:cs="Calibri"/>
                <w:color w:val="000000"/>
                <w:sz w:val="16"/>
                <w:szCs w:val="16"/>
                <w:lang w:val="en-US" w:eastAsia="sl-SI"/>
              </w:rPr>
              <w:t>Mukuzani</w:t>
            </w:r>
          </w:p>
        </w:tc>
        <w:tc>
          <w:tcPr>
            <w:tcW w:w="1459" w:type="dxa"/>
            <w:shd w:val="clear" w:color="000000" w:fill="FFC7CE"/>
            <w:noWrap/>
            <w:vAlign w:val="center"/>
            <w:hideMark/>
          </w:tcPr>
          <w:p w14:paraId="2DE8D657"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5873A2C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919</w:t>
            </w:r>
          </w:p>
        </w:tc>
        <w:tc>
          <w:tcPr>
            <w:tcW w:w="629" w:type="dxa"/>
            <w:shd w:val="clear" w:color="auto" w:fill="auto"/>
            <w:noWrap/>
            <w:vAlign w:val="bottom"/>
            <w:hideMark/>
          </w:tcPr>
          <w:p w14:paraId="673921C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308</w:t>
            </w:r>
          </w:p>
        </w:tc>
        <w:tc>
          <w:tcPr>
            <w:tcW w:w="709" w:type="dxa"/>
            <w:shd w:val="clear" w:color="auto" w:fill="auto"/>
            <w:noWrap/>
            <w:vAlign w:val="bottom"/>
            <w:hideMark/>
          </w:tcPr>
          <w:p w14:paraId="15D0EB6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210</w:t>
            </w:r>
          </w:p>
        </w:tc>
        <w:tc>
          <w:tcPr>
            <w:tcW w:w="593" w:type="dxa"/>
            <w:shd w:val="clear" w:color="auto" w:fill="auto"/>
            <w:noWrap/>
            <w:vAlign w:val="bottom"/>
            <w:hideMark/>
          </w:tcPr>
          <w:p w14:paraId="0AE4167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40.95</w:t>
            </w:r>
          </w:p>
        </w:tc>
        <w:tc>
          <w:tcPr>
            <w:tcW w:w="593" w:type="dxa"/>
            <w:shd w:val="clear" w:color="auto" w:fill="auto"/>
            <w:noWrap/>
            <w:vAlign w:val="bottom"/>
            <w:hideMark/>
          </w:tcPr>
          <w:p w14:paraId="6B3F1F6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46.19</w:t>
            </w:r>
          </w:p>
        </w:tc>
        <w:tc>
          <w:tcPr>
            <w:tcW w:w="593" w:type="dxa"/>
            <w:shd w:val="clear" w:color="auto" w:fill="auto"/>
            <w:noWrap/>
            <w:vAlign w:val="bottom"/>
            <w:hideMark/>
          </w:tcPr>
          <w:p w14:paraId="6FA4D7D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21F9EF2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0C58C27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12.86</w:t>
            </w:r>
          </w:p>
        </w:tc>
      </w:tr>
      <w:tr w:rsidR="00A0244C" w:rsidRPr="00BC1ABD" w14:paraId="41F8FA9A" w14:textId="77777777" w:rsidTr="007354E3">
        <w:trPr>
          <w:trHeight w:val="288"/>
        </w:trPr>
        <w:tc>
          <w:tcPr>
            <w:tcW w:w="1329" w:type="dxa"/>
            <w:shd w:val="clear" w:color="DDEBF7" w:fill="DDEBF7"/>
            <w:noWrap/>
            <w:vAlign w:val="center"/>
            <w:hideMark/>
          </w:tcPr>
          <w:p w14:paraId="6190A3C9"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DDEBF7" w:fill="DDEBF7"/>
            <w:noWrap/>
            <w:vAlign w:val="center"/>
            <w:hideMark/>
          </w:tcPr>
          <w:p w14:paraId="04E84AE9" w14:textId="01C2656B" w:rsidR="00A0244C" w:rsidRPr="00BC1ABD" w:rsidRDefault="00323659" w:rsidP="00323659">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US" w:eastAsia="sl-SI"/>
              </w:rPr>
              <w:t>Sagarejo</w:t>
            </w:r>
          </w:p>
        </w:tc>
        <w:tc>
          <w:tcPr>
            <w:tcW w:w="1459" w:type="dxa"/>
            <w:shd w:val="clear" w:color="DDEBF7" w:fill="FFC7CE"/>
            <w:noWrap/>
            <w:vAlign w:val="center"/>
            <w:hideMark/>
          </w:tcPr>
          <w:p w14:paraId="5E8E8DE8"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1DE6DF2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10,871</w:t>
            </w:r>
          </w:p>
        </w:tc>
        <w:tc>
          <w:tcPr>
            <w:tcW w:w="629" w:type="dxa"/>
            <w:shd w:val="clear" w:color="DDEBF7" w:fill="DDEBF7"/>
            <w:noWrap/>
            <w:vAlign w:val="bottom"/>
            <w:hideMark/>
          </w:tcPr>
          <w:p w14:paraId="3D0B241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3,143</w:t>
            </w:r>
          </w:p>
        </w:tc>
        <w:tc>
          <w:tcPr>
            <w:tcW w:w="709" w:type="dxa"/>
            <w:shd w:val="clear" w:color="DDEBF7" w:fill="DDEBF7"/>
            <w:noWrap/>
            <w:vAlign w:val="bottom"/>
            <w:hideMark/>
          </w:tcPr>
          <w:p w14:paraId="6F74998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2,884</w:t>
            </w:r>
          </w:p>
        </w:tc>
        <w:tc>
          <w:tcPr>
            <w:tcW w:w="593" w:type="dxa"/>
            <w:shd w:val="clear" w:color="DDEBF7" w:fill="DDEBF7"/>
            <w:noWrap/>
            <w:vAlign w:val="bottom"/>
            <w:hideMark/>
          </w:tcPr>
          <w:p w14:paraId="67322CE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73.61</w:t>
            </w:r>
          </w:p>
        </w:tc>
        <w:tc>
          <w:tcPr>
            <w:tcW w:w="593" w:type="dxa"/>
            <w:shd w:val="clear" w:color="DDEBF7" w:fill="DDEBF7"/>
            <w:noWrap/>
            <w:vAlign w:val="bottom"/>
            <w:hideMark/>
          </w:tcPr>
          <w:p w14:paraId="0AF16C9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26.01</w:t>
            </w:r>
          </w:p>
        </w:tc>
        <w:tc>
          <w:tcPr>
            <w:tcW w:w="593" w:type="dxa"/>
            <w:shd w:val="clear" w:color="DDEBF7" w:fill="DDEBF7"/>
            <w:noWrap/>
            <w:vAlign w:val="bottom"/>
            <w:hideMark/>
          </w:tcPr>
          <w:p w14:paraId="6ADEB79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0.38</w:t>
            </w:r>
          </w:p>
        </w:tc>
        <w:tc>
          <w:tcPr>
            <w:tcW w:w="593" w:type="dxa"/>
            <w:shd w:val="clear" w:color="DDEBF7" w:fill="DDEBF7"/>
            <w:noWrap/>
            <w:vAlign w:val="bottom"/>
            <w:hideMark/>
          </w:tcPr>
          <w:p w14:paraId="7D34F4B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739BFAF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35C1C76F" w14:textId="77777777" w:rsidTr="007354E3">
        <w:trPr>
          <w:trHeight w:val="288"/>
        </w:trPr>
        <w:tc>
          <w:tcPr>
            <w:tcW w:w="1329" w:type="dxa"/>
            <w:shd w:val="clear" w:color="auto" w:fill="auto"/>
            <w:noWrap/>
            <w:vAlign w:val="center"/>
            <w:hideMark/>
          </w:tcPr>
          <w:p w14:paraId="07B2CA6E"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auto" w:fill="auto"/>
            <w:noWrap/>
            <w:vAlign w:val="center"/>
            <w:hideMark/>
          </w:tcPr>
          <w:p w14:paraId="710C8153" w14:textId="19B96136" w:rsidR="00A0244C" w:rsidRPr="00BC1ABD" w:rsidRDefault="00323659"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Tsnori</w:t>
            </w:r>
          </w:p>
        </w:tc>
        <w:tc>
          <w:tcPr>
            <w:tcW w:w="1459" w:type="dxa"/>
            <w:shd w:val="clear" w:color="000000" w:fill="FFC7CE"/>
            <w:noWrap/>
            <w:vAlign w:val="center"/>
            <w:hideMark/>
          </w:tcPr>
          <w:p w14:paraId="07CA432B"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757F7F6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4,815</w:t>
            </w:r>
          </w:p>
        </w:tc>
        <w:tc>
          <w:tcPr>
            <w:tcW w:w="629" w:type="dxa"/>
            <w:shd w:val="clear" w:color="auto" w:fill="auto"/>
            <w:noWrap/>
            <w:vAlign w:val="bottom"/>
            <w:hideMark/>
          </w:tcPr>
          <w:p w14:paraId="3747171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1,617</w:t>
            </w:r>
          </w:p>
        </w:tc>
        <w:tc>
          <w:tcPr>
            <w:tcW w:w="709" w:type="dxa"/>
            <w:shd w:val="clear" w:color="auto" w:fill="auto"/>
            <w:noWrap/>
            <w:vAlign w:val="bottom"/>
            <w:hideMark/>
          </w:tcPr>
          <w:p w14:paraId="3D4CA4D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1,087</w:t>
            </w:r>
          </w:p>
        </w:tc>
        <w:tc>
          <w:tcPr>
            <w:tcW w:w="593" w:type="dxa"/>
            <w:shd w:val="clear" w:color="auto" w:fill="auto"/>
            <w:noWrap/>
            <w:vAlign w:val="bottom"/>
            <w:hideMark/>
          </w:tcPr>
          <w:p w14:paraId="405CB8C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59.98</w:t>
            </w:r>
          </w:p>
        </w:tc>
        <w:tc>
          <w:tcPr>
            <w:tcW w:w="593" w:type="dxa"/>
            <w:shd w:val="clear" w:color="auto" w:fill="auto"/>
            <w:noWrap/>
            <w:vAlign w:val="bottom"/>
            <w:hideMark/>
          </w:tcPr>
          <w:p w14:paraId="4028862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39.93</w:t>
            </w:r>
          </w:p>
        </w:tc>
        <w:tc>
          <w:tcPr>
            <w:tcW w:w="593" w:type="dxa"/>
            <w:shd w:val="clear" w:color="auto" w:fill="auto"/>
            <w:noWrap/>
            <w:vAlign w:val="bottom"/>
            <w:hideMark/>
          </w:tcPr>
          <w:p w14:paraId="6DAE547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0.09</w:t>
            </w:r>
          </w:p>
        </w:tc>
        <w:tc>
          <w:tcPr>
            <w:tcW w:w="593" w:type="dxa"/>
            <w:shd w:val="clear" w:color="auto" w:fill="auto"/>
            <w:noWrap/>
            <w:vAlign w:val="bottom"/>
            <w:hideMark/>
          </w:tcPr>
          <w:p w14:paraId="53EA2C3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59AF50F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22FC51C3" w14:textId="77777777" w:rsidTr="007354E3">
        <w:trPr>
          <w:trHeight w:val="288"/>
        </w:trPr>
        <w:tc>
          <w:tcPr>
            <w:tcW w:w="1329" w:type="dxa"/>
            <w:shd w:val="clear" w:color="DDEBF7" w:fill="DDEBF7"/>
            <w:noWrap/>
            <w:vAlign w:val="center"/>
            <w:hideMark/>
          </w:tcPr>
          <w:p w14:paraId="660CAD89"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DDEBF7" w:fill="DDEBF7"/>
            <w:noWrap/>
            <w:vAlign w:val="center"/>
            <w:hideMark/>
          </w:tcPr>
          <w:p w14:paraId="0F6A542A" w14:textId="77D315F4"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Kvemo Khodasheni</w:t>
            </w:r>
          </w:p>
        </w:tc>
        <w:tc>
          <w:tcPr>
            <w:tcW w:w="1459" w:type="dxa"/>
            <w:shd w:val="clear" w:color="DDEBF7" w:fill="DDEBF7"/>
            <w:noWrap/>
            <w:vAlign w:val="center"/>
            <w:hideMark/>
          </w:tcPr>
          <w:p w14:paraId="7D2B783D"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DDEBF7" w:fill="DDEBF7"/>
            <w:noWrap/>
            <w:vAlign w:val="bottom"/>
            <w:hideMark/>
          </w:tcPr>
          <w:p w14:paraId="07B0CA1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1,277</w:t>
            </w:r>
          </w:p>
        </w:tc>
        <w:tc>
          <w:tcPr>
            <w:tcW w:w="629" w:type="dxa"/>
            <w:shd w:val="clear" w:color="DDEBF7" w:fill="DDEBF7"/>
            <w:noWrap/>
            <w:vAlign w:val="bottom"/>
            <w:hideMark/>
          </w:tcPr>
          <w:p w14:paraId="244515F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416</w:t>
            </w:r>
          </w:p>
        </w:tc>
        <w:tc>
          <w:tcPr>
            <w:tcW w:w="709" w:type="dxa"/>
            <w:shd w:val="clear" w:color="DDEBF7" w:fill="DDEBF7"/>
            <w:noWrap/>
            <w:vAlign w:val="bottom"/>
            <w:hideMark/>
          </w:tcPr>
          <w:p w14:paraId="09678CA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277</w:t>
            </w:r>
          </w:p>
        </w:tc>
        <w:tc>
          <w:tcPr>
            <w:tcW w:w="593" w:type="dxa"/>
            <w:shd w:val="clear" w:color="DDEBF7" w:fill="DDEBF7"/>
            <w:noWrap/>
            <w:vAlign w:val="bottom"/>
            <w:hideMark/>
          </w:tcPr>
          <w:p w14:paraId="648ABA4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14.44</w:t>
            </w:r>
          </w:p>
        </w:tc>
        <w:tc>
          <w:tcPr>
            <w:tcW w:w="593" w:type="dxa"/>
            <w:shd w:val="clear" w:color="DDEBF7" w:fill="DDEBF7"/>
            <w:noWrap/>
            <w:vAlign w:val="bottom"/>
            <w:hideMark/>
          </w:tcPr>
          <w:p w14:paraId="391A168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73.29</w:t>
            </w:r>
          </w:p>
        </w:tc>
        <w:tc>
          <w:tcPr>
            <w:tcW w:w="593" w:type="dxa"/>
            <w:shd w:val="clear" w:color="DDEBF7" w:fill="DDEBF7"/>
            <w:noWrap/>
            <w:vAlign w:val="bottom"/>
            <w:hideMark/>
          </w:tcPr>
          <w:p w14:paraId="38E025B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12.27</w:t>
            </w:r>
          </w:p>
        </w:tc>
        <w:tc>
          <w:tcPr>
            <w:tcW w:w="593" w:type="dxa"/>
            <w:shd w:val="clear" w:color="DDEBF7" w:fill="DDEBF7"/>
            <w:noWrap/>
            <w:vAlign w:val="bottom"/>
            <w:hideMark/>
          </w:tcPr>
          <w:p w14:paraId="0A13DF6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376E714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61E2773D" w14:textId="77777777" w:rsidTr="007354E3">
        <w:trPr>
          <w:trHeight w:val="288"/>
        </w:trPr>
        <w:tc>
          <w:tcPr>
            <w:tcW w:w="1329" w:type="dxa"/>
            <w:shd w:val="clear" w:color="auto" w:fill="auto"/>
            <w:noWrap/>
            <w:vAlign w:val="center"/>
            <w:hideMark/>
          </w:tcPr>
          <w:p w14:paraId="44D97CAF"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1030" w:type="dxa"/>
            <w:shd w:val="clear" w:color="auto" w:fill="auto"/>
            <w:noWrap/>
            <w:vAlign w:val="center"/>
            <w:hideMark/>
          </w:tcPr>
          <w:p w14:paraId="66910D0E" w14:textId="77FE3177"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Shashiani</w:t>
            </w:r>
          </w:p>
        </w:tc>
        <w:tc>
          <w:tcPr>
            <w:tcW w:w="1459" w:type="dxa"/>
            <w:shd w:val="clear" w:color="auto" w:fill="auto"/>
            <w:noWrap/>
            <w:vAlign w:val="center"/>
            <w:hideMark/>
          </w:tcPr>
          <w:p w14:paraId="65AEB6DD"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auto" w:fill="auto"/>
            <w:noWrap/>
            <w:vAlign w:val="bottom"/>
            <w:hideMark/>
          </w:tcPr>
          <w:p w14:paraId="7AAA21E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2,342</w:t>
            </w:r>
          </w:p>
        </w:tc>
        <w:tc>
          <w:tcPr>
            <w:tcW w:w="629" w:type="dxa"/>
            <w:shd w:val="clear" w:color="auto" w:fill="auto"/>
            <w:noWrap/>
            <w:vAlign w:val="bottom"/>
            <w:hideMark/>
          </w:tcPr>
          <w:p w14:paraId="6BE2E6F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752</w:t>
            </w:r>
          </w:p>
        </w:tc>
        <w:tc>
          <w:tcPr>
            <w:tcW w:w="709" w:type="dxa"/>
            <w:shd w:val="clear" w:color="auto" w:fill="auto"/>
            <w:noWrap/>
            <w:vAlign w:val="bottom"/>
            <w:hideMark/>
          </w:tcPr>
          <w:p w14:paraId="7AC47CE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512</w:t>
            </w:r>
          </w:p>
        </w:tc>
        <w:tc>
          <w:tcPr>
            <w:tcW w:w="593" w:type="dxa"/>
            <w:shd w:val="clear" w:color="auto" w:fill="auto"/>
            <w:noWrap/>
            <w:vAlign w:val="bottom"/>
            <w:hideMark/>
          </w:tcPr>
          <w:p w14:paraId="5EF8BA0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26.95</w:t>
            </w:r>
          </w:p>
        </w:tc>
        <w:tc>
          <w:tcPr>
            <w:tcW w:w="593" w:type="dxa"/>
            <w:shd w:val="clear" w:color="auto" w:fill="auto"/>
            <w:noWrap/>
            <w:vAlign w:val="bottom"/>
            <w:hideMark/>
          </w:tcPr>
          <w:p w14:paraId="07049D9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58.40</w:t>
            </w:r>
          </w:p>
        </w:tc>
        <w:tc>
          <w:tcPr>
            <w:tcW w:w="593" w:type="dxa"/>
            <w:shd w:val="clear" w:color="auto" w:fill="auto"/>
            <w:noWrap/>
            <w:vAlign w:val="bottom"/>
            <w:hideMark/>
          </w:tcPr>
          <w:p w14:paraId="571E92E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4AF69B1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71A8556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14.65</w:t>
            </w:r>
          </w:p>
        </w:tc>
      </w:tr>
      <w:tr w:rsidR="00A0244C" w:rsidRPr="00BC1ABD" w14:paraId="19ECD018" w14:textId="77777777" w:rsidTr="007354E3">
        <w:trPr>
          <w:trHeight w:val="288"/>
        </w:trPr>
        <w:tc>
          <w:tcPr>
            <w:tcW w:w="1329" w:type="dxa"/>
            <w:shd w:val="clear" w:color="DDEBF7" w:fill="DDEBF7"/>
            <w:noWrap/>
            <w:vAlign w:val="center"/>
            <w:hideMark/>
          </w:tcPr>
          <w:p w14:paraId="48053900"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Mtskheta-Mtianeti</w:t>
            </w:r>
          </w:p>
        </w:tc>
        <w:tc>
          <w:tcPr>
            <w:tcW w:w="1030" w:type="dxa"/>
            <w:shd w:val="clear" w:color="DDEBF7" w:fill="DDEBF7"/>
            <w:noWrap/>
            <w:vAlign w:val="center"/>
            <w:hideMark/>
          </w:tcPr>
          <w:p w14:paraId="0B6886AD" w14:textId="6DBC9DEF"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Stepantsminda</w:t>
            </w:r>
          </w:p>
        </w:tc>
        <w:tc>
          <w:tcPr>
            <w:tcW w:w="1459" w:type="dxa"/>
            <w:shd w:val="clear" w:color="DDEBF7" w:fill="FFC7CE"/>
            <w:noWrap/>
            <w:vAlign w:val="center"/>
            <w:hideMark/>
          </w:tcPr>
          <w:p w14:paraId="44034DE0"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4DCF589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1,326</w:t>
            </w:r>
          </w:p>
        </w:tc>
        <w:tc>
          <w:tcPr>
            <w:tcW w:w="629" w:type="dxa"/>
            <w:shd w:val="clear" w:color="DDEBF7" w:fill="DDEBF7"/>
            <w:noWrap/>
            <w:vAlign w:val="bottom"/>
            <w:hideMark/>
          </w:tcPr>
          <w:p w14:paraId="2686D7B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477</w:t>
            </w:r>
          </w:p>
        </w:tc>
        <w:tc>
          <w:tcPr>
            <w:tcW w:w="709" w:type="dxa"/>
            <w:shd w:val="clear" w:color="DDEBF7" w:fill="DDEBF7"/>
            <w:noWrap/>
            <w:vAlign w:val="bottom"/>
            <w:hideMark/>
          </w:tcPr>
          <w:p w14:paraId="1E0DBA0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588</w:t>
            </w:r>
          </w:p>
        </w:tc>
        <w:tc>
          <w:tcPr>
            <w:tcW w:w="593" w:type="dxa"/>
            <w:shd w:val="clear" w:color="DDEBF7" w:fill="DDEBF7"/>
            <w:noWrap/>
            <w:vAlign w:val="bottom"/>
            <w:hideMark/>
          </w:tcPr>
          <w:p w14:paraId="0FA5994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96.43</w:t>
            </w:r>
          </w:p>
        </w:tc>
        <w:tc>
          <w:tcPr>
            <w:tcW w:w="593" w:type="dxa"/>
            <w:shd w:val="clear" w:color="DDEBF7" w:fill="DDEBF7"/>
            <w:noWrap/>
            <w:vAlign w:val="bottom"/>
            <w:hideMark/>
          </w:tcPr>
          <w:p w14:paraId="5EF4DA6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0.17</w:t>
            </w:r>
          </w:p>
        </w:tc>
        <w:tc>
          <w:tcPr>
            <w:tcW w:w="593" w:type="dxa"/>
            <w:shd w:val="clear" w:color="DDEBF7" w:fill="DDEBF7"/>
            <w:noWrap/>
            <w:vAlign w:val="bottom"/>
            <w:hideMark/>
          </w:tcPr>
          <w:p w14:paraId="726B9D6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3.40</w:t>
            </w:r>
          </w:p>
        </w:tc>
        <w:tc>
          <w:tcPr>
            <w:tcW w:w="593" w:type="dxa"/>
            <w:shd w:val="clear" w:color="DDEBF7" w:fill="DDEBF7"/>
            <w:noWrap/>
            <w:vAlign w:val="bottom"/>
            <w:hideMark/>
          </w:tcPr>
          <w:p w14:paraId="258329A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33E2ABF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r>
      <w:tr w:rsidR="00A0244C" w:rsidRPr="00BC1ABD" w14:paraId="1B74FF36" w14:textId="77777777" w:rsidTr="007354E3">
        <w:trPr>
          <w:trHeight w:val="288"/>
        </w:trPr>
        <w:tc>
          <w:tcPr>
            <w:tcW w:w="1329" w:type="dxa"/>
            <w:shd w:val="clear" w:color="auto" w:fill="auto"/>
            <w:noWrap/>
            <w:vAlign w:val="center"/>
            <w:hideMark/>
          </w:tcPr>
          <w:p w14:paraId="2CF7F1A0"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Mtskheta-Mtianeti</w:t>
            </w:r>
          </w:p>
        </w:tc>
        <w:tc>
          <w:tcPr>
            <w:tcW w:w="1030" w:type="dxa"/>
            <w:shd w:val="clear" w:color="auto" w:fill="auto"/>
            <w:noWrap/>
            <w:vAlign w:val="center"/>
            <w:hideMark/>
          </w:tcPr>
          <w:p w14:paraId="3EFD56D9" w14:textId="7803D5D4"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Saguramo</w:t>
            </w:r>
          </w:p>
        </w:tc>
        <w:tc>
          <w:tcPr>
            <w:tcW w:w="1459" w:type="dxa"/>
            <w:shd w:val="clear" w:color="000000" w:fill="FFC7CE"/>
            <w:noWrap/>
            <w:vAlign w:val="center"/>
            <w:hideMark/>
          </w:tcPr>
          <w:p w14:paraId="17F9A6DD"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5F83329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1,921</w:t>
            </w:r>
          </w:p>
        </w:tc>
        <w:tc>
          <w:tcPr>
            <w:tcW w:w="629" w:type="dxa"/>
            <w:shd w:val="clear" w:color="auto" w:fill="auto"/>
            <w:noWrap/>
            <w:vAlign w:val="bottom"/>
            <w:hideMark/>
          </w:tcPr>
          <w:p w14:paraId="4737CD0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555</w:t>
            </w:r>
          </w:p>
        </w:tc>
        <w:tc>
          <w:tcPr>
            <w:tcW w:w="709" w:type="dxa"/>
            <w:shd w:val="clear" w:color="auto" w:fill="auto"/>
            <w:noWrap/>
            <w:vAlign w:val="bottom"/>
            <w:hideMark/>
          </w:tcPr>
          <w:p w14:paraId="42C2468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637</w:t>
            </w:r>
          </w:p>
        </w:tc>
        <w:tc>
          <w:tcPr>
            <w:tcW w:w="593" w:type="dxa"/>
            <w:shd w:val="clear" w:color="auto" w:fill="auto"/>
            <w:noWrap/>
            <w:vAlign w:val="bottom"/>
            <w:hideMark/>
          </w:tcPr>
          <w:p w14:paraId="3218D54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97.96</w:t>
            </w:r>
          </w:p>
        </w:tc>
        <w:tc>
          <w:tcPr>
            <w:tcW w:w="593" w:type="dxa"/>
            <w:shd w:val="clear" w:color="auto" w:fill="auto"/>
            <w:noWrap/>
            <w:vAlign w:val="bottom"/>
            <w:hideMark/>
          </w:tcPr>
          <w:p w14:paraId="7DBBDB8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2AE12A0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1.26</w:t>
            </w:r>
          </w:p>
        </w:tc>
        <w:tc>
          <w:tcPr>
            <w:tcW w:w="593" w:type="dxa"/>
            <w:shd w:val="clear" w:color="auto" w:fill="auto"/>
            <w:noWrap/>
            <w:vAlign w:val="bottom"/>
            <w:hideMark/>
          </w:tcPr>
          <w:p w14:paraId="1B16F92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5B6060F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0.78</w:t>
            </w:r>
          </w:p>
        </w:tc>
      </w:tr>
      <w:tr w:rsidR="00A0244C" w:rsidRPr="00BC1ABD" w14:paraId="40496AA4" w14:textId="77777777" w:rsidTr="007354E3">
        <w:trPr>
          <w:trHeight w:val="288"/>
        </w:trPr>
        <w:tc>
          <w:tcPr>
            <w:tcW w:w="1329" w:type="dxa"/>
            <w:shd w:val="clear" w:color="DDEBF7" w:fill="DDEBF7"/>
            <w:noWrap/>
            <w:vAlign w:val="center"/>
            <w:hideMark/>
          </w:tcPr>
          <w:p w14:paraId="726F6A6B"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Mtskheta-Mtianeti</w:t>
            </w:r>
          </w:p>
        </w:tc>
        <w:tc>
          <w:tcPr>
            <w:tcW w:w="1030" w:type="dxa"/>
            <w:shd w:val="clear" w:color="DDEBF7" w:fill="DDEBF7"/>
            <w:noWrap/>
            <w:vAlign w:val="center"/>
            <w:hideMark/>
          </w:tcPr>
          <w:p w14:paraId="375286BA" w14:textId="462F1788"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Tserovani</w:t>
            </w:r>
          </w:p>
        </w:tc>
        <w:tc>
          <w:tcPr>
            <w:tcW w:w="1459" w:type="dxa"/>
            <w:shd w:val="clear" w:color="DDEBF7" w:fill="FFC7CE"/>
            <w:noWrap/>
            <w:vAlign w:val="center"/>
            <w:hideMark/>
          </w:tcPr>
          <w:p w14:paraId="74077126"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5C8CA80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8,191</w:t>
            </w:r>
          </w:p>
        </w:tc>
        <w:tc>
          <w:tcPr>
            <w:tcW w:w="629" w:type="dxa"/>
            <w:shd w:val="clear" w:color="DDEBF7" w:fill="DDEBF7"/>
            <w:noWrap/>
            <w:vAlign w:val="bottom"/>
            <w:hideMark/>
          </w:tcPr>
          <w:p w14:paraId="1B16091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3,125</w:t>
            </w:r>
          </w:p>
        </w:tc>
        <w:tc>
          <w:tcPr>
            <w:tcW w:w="709" w:type="dxa"/>
            <w:shd w:val="clear" w:color="DDEBF7" w:fill="DDEBF7"/>
            <w:noWrap/>
            <w:vAlign w:val="bottom"/>
            <w:hideMark/>
          </w:tcPr>
          <w:p w14:paraId="3768030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1,020</w:t>
            </w:r>
          </w:p>
        </w:tc>
        <w:tc>
          <w:tcPr>
            <w:tcW w:w="593" w:type="dxa"/>
            <w:shd w:val="clear" w:color="DDEBF7" w:fill="DDEBF7"/>
            <w:noWrap/>
            <w:vAlign w:val="bottom"/>
            <w:hideMark/>
          </w:tcPr>
          <w:p w14:paraId="2C48586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92.94</w:t>
            </w:r>
          </w:p>
        </w:tc>
        <w:tc>
          <w:tcPr>
            <w:tcW w:w="593" w:type="dxa"/>
            <w:shd w:val="clear" w:color="DDEBF7" w:fill="DDEBF7"/>
            <w:noWrap/>
            <w:vAlign w:val="bottom"/>
            <w:hideMark/>
          </w:tcPr>
          <w:p w14:paraId="6E73C70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6AA8059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0.69</w:t>
            </w:r>
          </w:p>
        </w:tc>
        <w:tc>
          <w:tcPr>
            <w:tcW w:w="593" w:type="dxa"/>
            <w:shd w:val="clear" w:color="DDEBF7" w:fill="DDEBF7"/>
            <w:noWrap/>
            <w:vAlign w:val="bottom"/>
            <w:hideMark/>
          </w:tcPr>
          <w:p w14:paraId="4AEAE01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2FA3F70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6.37</w:t>
            </w:r>
          </w:p>
        </w:tc>
      </w:tr>
      <w:tr w:rsidR="00A0244C" w:rsidRPr="00BC1ABD" w14:paraId="6AD03308" w14:textId="77777777" w:rsidTr="007354E3">
        <w:trPr>
          <w:trHeight w:val="288"/>
        </w:trPr>
        <w:tc>
          <w:tcPr>
            <w:tcW w:w="1329" w:type="dxa"/>
            <w:shd w:val="clear" w:color="auto" w:fill="auto"/>
            <w:noWrap/>
            <w:vAlign w:val="center"/>
            <w:hideMark/>
          </w:tcPr>
          <w:p w14:paraId="5B8CE2E7"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Mtskheta-Mtianeti</w:t>
            </w:r>
          </w:p>
        </w:tc>
        <w:tc>
          <w:tcPr>
            <w:tcW w:w="1030" w:type="dxa"/>
            <w:shd w:val="clear" w:color="auto" w:fill="auto"/>
            <w:noWrap/>
            <w:vAlign w:val="center"/>
            <w:hideMark/>
          </w:tcPr>
          <w:p w14:paraId="46E9A324" w14:textId="17A69D71"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Tsitelsopeli</w:t>
            </w:r>
          </w:p>
        </w:tc>
        <w:tc>
          <w:tcPr>
            <w:tcW w:w="1459" w:type="dxa"/>
            <w:shd w:val="clear" w:color="000000" w:fill="FFC7CE"/>
            <w:noWrap/>
            <w:vAlign w:val="center"/>
            <w:hideMark/>
          </w:tcPr>
          <w:p w14:paraId="0C247326"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6D622ED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328</w:t>
            </w:r>
          </w:p>
        </w:tc>
        <w:tc>
          <w:tcPr>
            <w:tcW w:w="629" w:type="dxa"/>
            <w:shd w:val="clear" w:color="auto" w:fill="auto"/>
            <w:noWrap/>
            <w:vAlign w:val="bottom"/>
            <w:hideMark/>
          </w:tcPr>
          <w:p w14:paraId="6AAB536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107</w:t>
            </w:r>
          </w:p>
        </w:tc>
        <w:tc>
          <w:tcPr>
            <w:tcW w:w="709" w:type="dxa"/>
            <w:shd w:val="clear" w:color="auto" w:fill="auto"/>
            <w:noWrap/>
            <w:vAlign w:val="bottom"/>
            <w:hideMark/>
          </w:tcPr>
          <w:p w14:paraId="49AC89B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179</w:t>
            </w:r>
          </w:p>
        </w:tc>
        <w:tc>
          <w:tcPr>
            <w:tcW w:w="593" w:type="dxa"/>
            <w:shd w:val="clear" w:color="auto" w:fill="auto"/>
            <w:noWrap/>
            <w:vAlign w:val="bottom"/>
            <w:hideMark/>
          </w:tcPr>
          <w:p w14:paraId="7B2AFFE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3BA8080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0.56</w:t>
            </w:r>
          </w:p>
        </w:tc>
        <w:tc>
          <w:tcPr>
            <w:tcW w:w="593" w:type="dxa"/>
            <w:shd w:val="clear" w:color="auto" w:fill="auto"/>
            <w:noWrap/>
            <w:vAlign w:val="bottom"/>
            <w:hideMark/>
          </w:tcPr>
          <w:p w14:paraId="3848B68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2.23</w:t>
            </w:r>
          </w:p>
        </w:tc>
        <w:tc>
          <w:tcPr>
            <w:tcW w:w="593" w:type="dxa"/>
            <w:shd w:val="clear" w:color="auto" w:fill="auto"/>
            <w:noWrap/>
            <w:vAlign w:val="bottom"/>
            <w:hideMark/>
          </w:tcPr>
          <w:p w14:paraId="5890406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3103689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97.21</w:t>
            </w:r>
          </w:p>
        </w:tc>
      </w:tr>
      <w:tr w:rsidR="00A0244C" w:rsidRPr="00BC1ABD" w14:paraId="72144FD9" w14:textId="77777777" w:rsidTr="007354E3">
        <w:trPr>
          <w:trHeight w:val="288"/>
        </w:trPr>
        <w:tc>
          <w:tcPr>
            <w:tcW w:w="1329" w:type="dxa"/>
            <w:shd w:val="clear" w:color="DDEBF7" w:fill="DDEBF7"/>
            <w:noWrap/>
            <w:vAlign w:val="center"/>
            <w:hideMark/>
          </w:tcPr>
          <w:p w14:paraId="5042B35D"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Samegrelo-zemo svaneti</w:t>
            </w:r>
          </w:p>
        </w:tc>
        <w:tc>
          <w:tcPr>
            <w:tcW w:w="1030" w:type="dxa"/>
            <w:shd w:val="clear" w:color="DDEBF7" w:fill="DDEBF7"/>
            <w:noWrap/>
            <w:vAlign w:val="center"/>
            <w:hideMark/>
          </w:tcPr>
          <w:p w14:paraId="29E7E18F" w14:textId="12F5BCD8"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Martvili</w:t>
            </w:r>
          </w:p>
        </w:tc>
        <w:tc>
          <w:tcPr>
            <w:tcW w:w="1459" w:type="dxa"/>
            <w:shd w:val="clear" w:color="DDEBF7" w:fill="FFC7CE"/>
            <w:noWrap/>
            <w:vAlign w:val="center"/>
            <w:hideMark/>
          </w:tcPr>
          <w:p w14:paraId="3FC4FE92"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0366F5C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4,425</w:t>
            </w:r>
          </w:p>
        </w:tc>
        <w:tc>
          <w:tcPr>
            <w:tcW w:w="629" w:type="dxa"/>
            <w:shd w:val="clear" w:color="DDEBF7" w:fill="DDEBF7"/>
            <w:noWrap/>
            <w:vAlign w:val="bottom"/>
            <w:hideMark/>
          </w:tcPr>
          <w:p w14:paraId="1FF01C8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1,429</w:t>
            </w:r>
          </w:p>
        </w:tc>
        <w:tc>
          <w:tcPr>
            <w:tcW w:w="709" w:type="dxa"/>
            <w:shd w:val="clear" w:color="DDEBF7" w:fill="DDEBF7"/>
            <w:noWrap/>
            <w:vAlign w:val="bottom"/>
            <w:hideMark/>
          </w:tcPr>
          <w:p w14:paraId="598422B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937</w:t>
            </w:r>
          </w:p>
        </w:tc>
        <w:tc>
          <w:tcPr>
            <w:tcW w:w="593" w:type="dxa"/>
            <w:shd w:val="clear" w:color="DDEBF7" w:fill="DDEBF7"/>
            <w:noWrap/>
            <w:vAlign w:val="bottom"/>
            <w:hideMark/>
          </w:tcPr>
          <w:p w14:paraId="3D34A9F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38.74</w:t>
            </w:r>
          </w:p>
        </w:tc>
        <w:tc>
          <w:tcPr>
            <w:tcW w:w="593" w:type="dxa"/>
            <w:shd w:val="clear" w:color="DDEBF7" w:fill="DDEBF7"/>
            <w:noWrap/>
            <w:vAlign w:val="bottom"/>
            <w:hideMark/>
          </w:tcPr>
          <w:p w14:paraId="286A0AC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072C532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4A7ED75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61.15</w:t>
            </w:r>
          </w:p>
        </w:tc>
        <w:tc>
          <w:tcPr>
            <w:tcW w:w="594" w:type="dxa"/>
            <w:shd w:val="clear" w:color="DDEBF7" w:fill="DDEBF7"/>
            <w:noWrap/>
            <w:vAlign w:val="bottom"/>
            <w:hideMark/>
          </w:tcPr>
          <w:p w14:paraId="7F18B63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0.11</w:t>
            </w:r>
          </w:p>
        </w:tc>
      </w:tr>
      <w:tr w:rsidR="00A0244C" w:rsidRPr="00BC1ABD" w14:paraId="2342511D" w14:textId="77777777" w:rsidTr="007354E3">
        <w:trPr>
          <w:trHeight w:val="288"/>
        </w:trPr>
        <w:tc>
          <w:tcPr>
            <w:tcW w:w="1329" w:type="dxa"/>
            <w:shd w:val="clear" w:color="auto" w:fill="auto"/>
            <w:noWrap/>
            <w:vAlign w:val="center"/>
            <w:hideMark/>
          </w:tcPr>
          <w:p w14:paraId="10482442"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Samtskhe-Javakheti</w:t>
            </w:r>
          </w:p>
        </w:tc>
        <w:tc>
          <w:tcPr>
            <w:tcW w:w="1030" w:type="dxa"/>
            <w:shd w:val="clear" w:color="auto" w:fill="auto"/>
            <w:noWrap/>
            <w:vAlign w:val="center"/>
            <w:hideMark/>
          </w:tcPr>
          <w:p w14:paraId="3AA3A529" w14:textId="417BF46D"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Bakuriani</w:t>
            </w:r>
          </w:p>
        </w:tc>
        <w:tc>
          <w:tcPr>
            <w:tcW w:w="1459" w:type="dxa"/>
            <w:shd w:val="clear" w:color="000000" w:fill="FFC7CE"/>
            <w:noWrap/>
            <w:vAlign w:val="center"/>
            <w:hideMark/>
          </w:tcPr>
          <w:p w14:paraId="3303DDAD"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365C102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1,879</w:t>
            </w:r>
          </w:p>
        </w:tc>
        <w:tc>
          <w:tcPr>
            <w:tcW w:w="629" w:type="dxa"/>
            <w:shd w:val="clear" w:color="auto" w:fill="auto"/>
            <w:noWrap/>
            <w:vAlign w:val="bottom"/>
            <w:hideMark/>
          </w:tcPr>
          <w:p w14:paraId="04E3E3D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585</w:t>
            </w:r>
          </w:p>
        </w:tc>
        <w:tc>
          <w:tcPr>
            <w:tcW w:w="709" w:type="dxa"/>
            <w:shd w:val="clear" w:color="auto" w:fill="auto"/>
            <w:noWrap/>
            <w:vAlign w:val="bottom"/>
            <w:hideMark/>
          </w:tcPr>
          <w:p w14:paraId="35A8496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5,729</w:t>
            </w:r>
          </w:p>
        </w:tc>
        <w:tc>
          <w:tcPr>
            <w:tcW w:w="593" w:type="dxa"/>
            <w:shd w:val="clear" w:color="auto" w:fill="auto"/>
            <w:noWrap/>
            <w:vAlign w:val="bottom"/>
            <w:hideMark/>
          </w:tcPr>
          <w:p w14:paraId="1414EB4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87.00</w:t>
            </w:r>
          </w:p>
        </w:tc>
        <w:tc>
          <w:tcPr>
            <w:tcW w:w="593" w:type="dxa"/>
            <w:shd w:val="clear" w:color="auto" w:fill="auto"/>
            <w:noWrap/>
            <w:vAlign w:val="bottom"/>
            <w:hideMark/>
          </w:tcPr>
          <w:p w14:paraId="0191F99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12.99</w:t>
            </w:r>
          </w:p>
        </w:tc>
        <w:tc>
          <w:tcPr>
            <w:tcW w:w="593" w:type="dxa"/>
            <w:shd w:val="clear" w:color="auto" w:fill="auto"/>
            <w:noWrap/>
            <w:vAlign w:val="bottom"/>
            <w:hideMark/>
          </w:tcPr>
          <w:p w14:paraId="58214C6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107C115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02B2DFD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0.02</w:t>
            </w:r>
          </w:p>
        </w:tc>
      </w:tr>
      <w:tr w:rsidR="00A0244C" w:rsidRPr="00BC1ABD" w14:paraId="29E4695F" w14:textId="77777777" w:rsidTr="007354E3">
        <w:trPr>
          <w:trHeight w:val="288"/>
        </w:trPr>
        <w:tc>
          <w:tcPr>
            <w:tcW w:w="1329" w:type="dxa"/>
            <w:shd w:val="clear" w:color="DDEBF7" w:fill="DDEBF7"/>
            <w:noWrap/>
            <w:vAlign w:val="center"/>
            <w:hideMark/>
          </w:tcPr>
          <w:p w14:paraId="422E91BD"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Samtskhe-Javakheti</w:t>
            </w:r>
          </w:p>
        </w:tc>
        <w:tc>
          <w:tcPr>
            <w:tcW w:w="1030" w:type="dxa"/>
            <w:shd w:val="clear" w:color="DDEBF7" w:fill="DDEBF7"/>
            <w:noWrap/>
            <w:vAlign w:val="center"/>
            <w:hideMark/>
          </w:tcPr>
          <w:p w14:paraId="0F99E617" w14:textId="4B5CD23D" w:rsidR="00A0244C" w:rsidRPr="00E82B0B" w:rsidRDefault="000C31B2" w:rsidP="007354E3">
            <w:pPr>
              <w:spacing w:after="0" w:line="240" w:lineRule="auto"/>
              <w:jc w:val="center"/>
              <w:rPr>
                <w:rFonts w:eastAsia="Times New Roman" w:cs="Calibri"/>
                <w:color w:val="000000"/>
                <w:sz w:val="16"/>
                <w:szCs w:val="16"/>
                <w:lang w:val="en-US" w:eastAsia="sl-SI"/>
              </w:rPr>
            </w:pPr>
            <w:r>
              <w:rPr>
                <w:rFonts w:eastAsia="Times New Roman" w:cs="Calibri"/>
                <w:color w:val="000000"/>
                <w:sz w:val="16"/>
                <w:szCs w:val="16"/>
                <w:lang w:val="en-US" w:eastAsia="sl-SI"/>
              </w:rPr>
              <w:t>Diliska</w:t>
            </w:r>
          </w:p>
        </w:tc>
        <w:tc>
          <w:tcPr>
            <w:tcW w:w="1459" w:type="dxa"/>
            <w:shd w:val="clear" w:color="DDEBF7" w:fill="DDEBF7"/>
            <w:noWrap/>
            <w:vAlign w:val="center"/>
            <w:hideMark/>
          </w:tcPr>
          <w:p w14:paraId="1E1CBF73"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DDEBF7" w:fill="DDEBF7"/>
            <w:noWrap/>
            <w:vAlign w:val="bottom"/>
            <w:hideMark/>
          </w:tcPr>
          <w:p w14:paraId="4FE9500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2,374</w:t>
            </w:r>
          </w:p>
        </w:tc>
        <w:tc>
          <w:tcPr>
            <w:tcW w:w="629" w:type="dxa"/>
            <w:shd w:val="clear" w:color="DDEBF7" w:fill="DDEBF7"/>
            <w:noWrap/>
            <w:vAlign w:val="bottom"/>
            <w:hideMark/>
          </w:tcPr>
          <w:p w14:paraId="44AF1D2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556</w:t>
            </w:r>
          </w:p>
        </w:tc>
        <w:tc>
          <w:tcPr>
            <w:tcW w:w="709" w:type="dxa"/>
            <w:shd w:val="clear" w:color="DDEBF7" w:fill="DDEBF7"/>
            <w:noWrap/>
            <w:vAlign w:val="bottom"/>
            <w:hideMark/>
          </w:tcPr>
          <w:p w14:paraId="0CFEB63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462</w:t>
            </w:r>
          </w:p>
        </w:tc>
        <w:tc>
          <w:tcPr>
            <w:tcW w:w="593" w:type="dxa"/>
            <w:shd w:val="clear" w:color="DDEBF7" w:fill="DDEBF7"/>
            <w:noWrap/>
            <w:vAlign w:val="bottom"/>
            <w:hideMark/>
          </w:tcPr>
          <w:p w14:paraId="22A038C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5.41</w:t>
            </w:r>
          </w:p>
        </w:tc>
        <w:tc>
          <w:tcPr>
            <w:tcW w:w="593" w:type="dxa"/>
            <w:shd w:val="clear" w:color="DDEBF7" w:fill="DDEBF7"/>
            <w:noWrap/>
            <w:vAlign w:val="bottom"/>
            <w:hideMark/>
          </w:tcPr>
          <w:p w14:paraId="77AF5FB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1DF6FFF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57.14</w:t>
            </w:r>
          </w:p>
        </w:tc>
        <w:tc>
          <w:tcPr>
            <w:tcW w:w="593" w:type="dxa"/>
            <w:shd w:val="clear" w:color="DDEBF7" w:fill="DDEBF7"/>
            <w:noWrap/>
            <w:vAlign w:val="bottom"/>
            <w:hideMark/>
          </w:tcPr>
          <w:p w14:paraId="27C75BF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261FB80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37.45</w:t>
            </w:r>
          </w:p>
        </w:tc>
      </w:tr>
      <w:tr w:rsidR="00A0244C" w:rsidRPr="00BC1ABD" w14:paraId="43503BC3" w14:textId="77777777" w:rsidTr="007354E3">
        <w:trPr>
          <w:trHeight w:val="288"/>
        </w:trPr>
        <w:tc>
          <w:tcPr>
            <w:tcW w:w="1329" w:type="dxa"/>
            <w:shd w:val="clear" w:color="auto" w:fill="auto"/>
            <w:noWrap/>
            <w:vAlign w:val="center"/>
            <w:hideMark/>
          </w:tcPr>
          <w:p w14:paraId="3AAB2027"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Samtskhe-Javakheti</w:t>
            </w:r>
          </w:p>
        </w:tc>
        <w:tc>
          <w:tcPr>
            <w:tcW w:w="1030" w:type="dxa"/>
            <w:shd w:val="clear" w:color="auto" w:fill="auto"/>
            <w:noWrap/>
            <w:vAlign w:val="center"/>
            <w:hideMark/>
          </w:tcPr>
          <w:p w14:paraId="51FD4C50" w14:textId="15F9A190" w:rsidR="00A0244C" w:rsidRPr="00BC1ABD" w:rsidRDefault="000C31B2" w:rsidP="007354E3">
            <w:pPr>
              <w:spacing w:after="0" w:line="240" w:lineRule="auto"/>
              <w:jc w:val="center"/>
              <w:rPr>
                <w:rFonts w:eastAsia="Times New Roman" w:cs="Calibri"/>
                <w:color w:val="000000"/>
                <w:sz w:val="16"/>
                <w:szCs w:val="16"/>
                <w:lang w:val="en-GB" w:eastAsia="sl-SI"/>
              </w:rPr>
            </w:pPr>
            <w:r w:rsidRPr="000C31B2">
              <w:rPr>
                <w:rFonts w:eastAsia="Times New Roman" w:cs="Calibri"/>
                <w:color w:val="000000"/>
                <w:sz w:val="16"/>
                <w:szCs w:val="16"/>
                <w:lang w:val="en-GB" w:eastAsia="sl-SI"/>
              </w:rPr>
              <w:t>Akhaltsikhe</w:t>
            </w:r>
          </w:p>
        </w:tc>
        <w:tc>
          <w:tcPr>
            <w:tcW w:w="1459" w:type="dxa"/>
            <w:shd w:val="clear" w:color="000000" w:fill="FFC7CE"/>
            <w:noWrap/>
            <w:vAlign w:val="center"/>
            <w:hideMark/>
          </w:tcPr>
          <w:p w14:paraId="7D657239"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37DBFAC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17,903</w:t>
            </w:r>
          </w:p>
        </w:tc>
        <w:tc>
          <w:tcPr>
            <w:tcW w:w="629" w:type="dxa"/>
            <w:shd w:val="clear" w:color="auto" w:fill="auto"/>
            <w:noWrap/>
            <w:vAlign w:val="bottom"/>
            <w:hideMark/>
          </w:tcPr>
          <w:p w14:paraId="0D2F964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5,175</w:t>
            </w:r>
          </w:p>
        </w:tc>
        <w:tc>
          <w:tcPr>
            <w:tcW w:w="709" w:type="dxa"/>
            <w:shd w:val="clear" w:color="auto" w:fill="auto"/>
            <w:noWrap/>
            <w:vAlign w:val="bottom"/>
            <w:hideMark/>
          </w:tcPr>
          <w:p w14:paraId="75A6002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5,256</w:t>
            </w:r>
          </w:p>
        </w:tc>
        <w:tc>
          <w:tcPr>
            <w:tcW w:w="593" w:type="dxa"/>
            <w:shd w:val="clear" w:color="auto" w:fill="auto"/>
            <w:noWrap/>
            <w:vAlign w:val="bottom"/>
            <w:hideMark/>
          </w:tcPr>
          <w:p w14:paraId="7C60E5D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64.57</w:t>
            </w:r>
          </w:p>
        </w:tc>
        <w:tc>
          <w:tcPr>
            <w:tcW w:w="593" w:type="dxa"/>
            <w:shd w:val="clear" w:color="auto" w:fill="auto"/>
            <w:noWrap/>
            <w:vAlign w:val="bottom"/>
            <w:hideMark/>
          </w:tcPr>
          <w:p w14:paraId="2C5EEEF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35.37</w:t>
            </w:r>
          </w:p>
        </w:tc>
        <w:tc>
          <w:tcPr>
            <w:tcW w:w="593" w:type="dxa"/>
            <w:shd w:val="clear" w:color="auto" w:fill="auto"/>
            <w:noWrap/>
            <w:vAlign w:val="bottom"/>
            <w:hideMark/>
          </w:tcPr>
          <w:p w14:paraId="5102E6B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775A5BB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607D55C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0.06</w:t>
            </w:r>
          </w:p>
        </w:tc>
      </w:tr>
      <w:tr w:rsidR="00A0244C" w:rsidRPr="00BC1ABD" w14:paraId="32329609" w14:textId="77777777" w:rsidTr="007354E3">
        <w:trPr>
          <w:trHeight w:val="288"/>
        </w:trPr>
        <w:tc>
          <w:tcPr>
            <w:tcW w:w="1329" w:type="dxa"/>
            <w:shd w:val="clear" w:color="DDEBF7" w:fill="DDEBF7"/>
            <w:noWrap/>
            <w:vAlign w:val="center"/>
            <w:hideMark/>
          </w:tcPr>
          <w:p w14:paraId="78116F78"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Samtskhe-Javakheti</w:t>
            </w:r>
          </w:p>
        </w:tc>
        <w:tc>
          <w:tcPr>
            <w:tcW w:w="1030" w:type="dxa"/>
            <w:shd w:val="clear" w:color="DDEBF7" w:fill="DDEBF7"/>
            <w:noWrap/>
            <w:vAlign w:val="center"/>
            <w:hideMark/>
          </w:tcPr>
          <w:p w14:paraId="4FEE414F" w14:textId="3C21873B" w:rsidR="00A0244C" w:rsidRPr="00BC1ABD" w:rsidRDefault="000C31B2" w:rsidP="007354E3">
            <w:pPr>
              <w:spacing w:after="0" w:line="240" w:lineRule="auto"/>
              <w:jc w:val="center"/>
              <w:rPr>
                <w:rFonts w:eastAsia="Times New Roman" w:cs="Calibri"/>
                <w:color w:val="000000"/>
                <w:sz w:val="16"/>
                <w:szCs w:val="16"/>
                <w:lang w:val="en-GB" w:eastAsia="sl-SI"/>
              </w:rPr>
            </w:pPr>
            <w:r w:rsidRPr="000C31B2">
              <w:rPr>
                <w:rFonts w:eastAsia="Times New Roman" w:cs="Calibri"/>
                <w:color w:val="000000"/>
                <w:sz w:val="16"/>
                <w:szCs w:val="16"/>
                <w:lang w:val="en-GB" w:eastAsia="sl-SI"/>
              </w:rPr>
              <w:t>Borjomi</w:t>
            </w:r>
          </w:p>
        </w:tc>
        <w:tc>
          <w:tcPr>
            <w:tcW w:w="1459" w:type="dxa"/>
            <w:shd w:val="clear" w:color="DDEBF7" w:fill="FFC7CE"/>
            <w:noWrap/>
            <w:vAlign w:val="center"/>
            <w:hideMark/>
          </w:tcPr>
          <w:p w14:paraId="024C5124"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44D1729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10,546</w:t>
            </w:r>
          </w:p>
        </w:tc>
        <w:tc>
          <w:tcPr>
            <w:tcW w:w="629" w:type="dxa"/>
            <w:shd w:val="clear" w:color="DDEBF7" w:fill="DDEBF7"/>
            <w:noWrap/>
            <w:vAlign w:val="bottom"/>
            <w:hideMark/>
          </w:tcPr>
          <w:p w14:paraId="32262AF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3,559</w:t>
            </w:r>
          </w:p>
        </w:tc>
        <w:tc>
          <w:tcPr>
            <w:tcW w:w="709" w:type="dxa"/>
            <w:shd w:val="clear" w:color="DDEBF7" w:fill="DDEBF7"/>
            <w:noWrap/>
            <w:vAlign w:val="bottom"/>
            <w:hideMark/>
          </w:tcPr>
          <w:p w14:paraId="7D4BB00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3,943</w:t>
            </w:r>
          </w:p>
        </w:tc>
        <w:tc>
          <w:tcPr>
            <w:tcW w:w="593" w:type="dxa"/>
            <w:shd w:val="clear" w:color="DDEBF7" w:fill="DDEBF7"/>
            <w:noWrap/>
            <w:vAlign w:val="bottom"/>
            <w:hideMark/>
          </w:tcPr>
          <w:p w14:paraId="5BACFC5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40.35</w:t>
            </w:r>
          </w:p>
        </w:tc>
        <w:tc>
          <w:tcPr>
            <w:tcW w:w="593" w:type="dxa"/>
            <w:shd w:val="clear" w:color="DDEBF7" w:fill="DDEBF7"/>
            <w:noWrap/>
            <w:vAlign w:val="bottom"/>
            <w:hideMark/>
          </w:tcPr>
          <w:p w14:paraId="165A9DD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59.62</w:t>
            </w:r>
          </w:p>
        </w:tc>
        <w:tc>
          <w:tcPr>
            <w:tcW w:w="593" w:type="dxa"/>
            <w:shd w:val="clear" w:color="DDEBF7" w:fill="DDEBF7"/>
            <w:noWrap/>
            <w:vAlign w:val="bottom"/>
            <w:hideMark/>
          </w:tcPr>
          <w:p w14:paraId="2D66B02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577FA61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5713EB3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0.03</w:t>
            </w:r>
          </w:p>
        </w:tc>
      </w:tr>
      <w:tr w:rsidR="00A0244C" w:rsidRPr="00BC1ABD" w14:paraId="5421AC82" w14:textId="77777777" w:rsidTr="007354E3">
        <w:trPr>
          <w:trHeight w:val="288"/>
        </w:trPr>
        <w:tc>
          <w:tcPr>
            <w:tcW w:w="1329" w:type="dxa"/>
            <w:shd w:val="clear" w:color="auto" w:fill="auto"/>
            <w:noWrap/>
            <w:vAlign w:val="center"/>
            <w:hideMark/>
          </w:tcPr>
          <w:p w14:paraId="59B2ABF0"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Samtskhe-Javakheti</w:t>
            </w:r>
          </w:p>
        </w:tc>
        <w:tc>
          <w:tcPr>
            <w:tcW w:w="1030" w:type="dxa"/>
            <w:shd w:val="clear" w:color="auto" w:fill="auto"/>
            <w:noWrap/>
            <w:vAlign w:val="center"/>
            <w:hideMark/>
          </w:tcPr>
          <w:p w14:paraId="367AF9C5" w14:textId="6D4DC530" w:rsidR="00A0244C" w:rsidRPr="00BC1ABD" w:rsidRDefault="000C31B2"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Ninotsminda</w:t>
            </w:r>
          </w:p>
        </w:tc>
        <w:tc>
          <w:tcPr>
            <w:tcW w:w="1459" w:type="dxa"/>
            <w:shd w:val="clear" w:color="auto" w:fill="auto"/>
            <w:noWrap/>
            <w:vAlign w:val="center"/>
            <w:hideMark/>
          </w:tcPr>
          <w:p w14:paraId="26CCBD68"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930" w:type="dxa"/>
            <w:shd w:val="clear" w:color="auto" w:fill="auto"/>
            <w:noWrap/>
            <w:vAlign w:val="bottom"/>
            <w:hideMark/>
          </w:tcPr>
          <w:p w14:paraId="178AF32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5,144</w:t>
            </w:r>
          </w:p>
        </w:tc>
        <w:tc>
          <w:tcPr>
            <w:tcW w:w="629" w:type="dxa"/>
            <w:shd w:val="clear" w:color="auto" w:fill="auto"/>
            <w:noWrap/>
            <w:vAlign w:val="bottom"/>
            <w:hideMark/>
          </w:tcPr>
          <w:p w14:paraId="489F1E1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1,278</w:t>
            </w:r>
          </w:p>
        </w:tc>
        <w:tc>
          <w:tcPr>
            <w:tcW w:w="709" w:type="dxa"/>
            <w:shd w:val="clear" w:color="auto" w:fill="auto"/>
            <w:noWrap/>
            <w:vAlign w:val="bottom"/>
            <w:hideMark/>
          </w:tcPr>
          <w:p w14:paraId="1B52736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1,122</w:t>
            </w:r>
          </w:p>
        </w:tc>
        <w:tc>
          <w:tcPr>
            <w:tcW w:w="593" w:type="dxa"/>
            <w:shd w:val="clear" w:color="auto" w:fill="auto"/>
            <w:noWrap/>
            <w:vAlign w:val="bottom"/>
            <w:hideMark/>
          </w:tcPr>
          <w:p w14:paraId="4521495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29.50</w:t>
            </w:r>
          </w:p>
        </w:tc>
        <w:tc>
          <w:tcPr>
            <w:tcW w:w="593" w:type="dxa"/>
            <w:shd w:val="clear" w:color="auto" w:fill="auto"/>
            <w:noWrap/>
            <w:vAlign w:val="bottom"/>
            <w:hideMark/>
          </w:tcPr>
          <w:p w14:paraId="2906BD03"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34.94</w:t>
            </w:r>
          </w:p>
        </w:tc>
        <w:tc>
          <w:tcPr>
            <w:tcW w:w="593" w:type="dxa"/>
            <w:shd w:val="clear" w:color="auto" w:fill="auto"/>
            <w:noWrap/>
            <w:vAlign w:val="bottom"/>
            <w:hideMark/>
          </w:tcPr>
          <w:p w14:paraId="028DD6F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167D528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60D485E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35.56</w:t>
            </w:r>
          </w:p>
        </w:tc>
      </w:tr>
      <w:tr w:rsidR="00A0244C" w:rsidRPr="00BC1ABD" w14:paraId="637AFC11" w14:textId="77777777" w:rsidTr="007354E3">
        <w:trPr>
          <w:trHeight w:val="288"/>
        </w:trPr>
        <w:tc>
          <w:tcPr>
            <w:tcW w:w="1329" w:type="dxa"/>
            <w:shd w:val="clear" w:color="DDEBF7" w:fill="DDEBF7"/>
            <w:noWrap/>
            <w:vAlign w:val="center"/>
            <w:hideMark/>
          </w:tcPr>
          <w:p w14:paraId="2AE3DCE8"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Kvemo Kartli </w:t>
            </w:r>
          </w:p>
        </w:tc>
        <w:tc>
          <w:tcPr>
            <w:tcW w:w="1030" w:type="dxa"/>
            <w:shd w:val="clear" w:color="DDEBF7" w:fill="DDEBF7"/>
            <w:noWrap/>
            <w:vAlign w:val="center"/>
            <w:hideMark/>
          </w:tcPr>
          <w:p w14:paraId="029E766B" w14:textId="24D246E7"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Kazreti</w:t>
            </w:r>
          </w:p>
        </w:tc>
        <w:tc>
          <w:tcPr>
            <w:tcW w:w="1459" w:type="dxa"/>
            <w:shd w:val="clear" w:color="DDEBF7" w:fill="FFC7CE"/>
            <w:noWrap/>
            <w:vAlign w:val="center"/>
            <w:hideMark/>
          </w:tcPr>
          <w:p w14:paraId="14319AF3"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4E1218F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4,340</w:t>
            </w:r>
          </w:p>
        </w:tc>
        <w:tc>
          <w:tcPr>
            <w:tcW w:w="629" w:type="dxa"/>
            <w:shd w:val="clear" w:color="DDEBF7" w:fill="DDEBF7"/>
            <w:noWrap/>
            <w:vAlign w:val="bottom"/>
            <w:hideMark/>
          </w:tcPr>
          <w:p w14:paraId="2754D7E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1,297</w:t>
            </w:r>
          </w:p>
        </w:tc>
        <w:tc>
          <w:tcPr>
            <w:tcW w:w="709" w:type="dxa"/>
            <w:shd w:val="clear" w:color="DDEBF7" w:fill="DDEBF7"/>
            <w:noWrap/>
            <w:vAlign w:val="bottom"/>
            <w:hideMark/>
          </w:tcPr>
          <w:p w14:paraId="7CEAC14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1,176</w:t>
            </w:r>
          </w:p>
        </w:tc>
        <w:tc>
          <w:tcPr>
            <w:tcW w:w="593" w:type="dxa"/>
            <w:shd w:val="clear" w:color="DDEBF7" w:fill="DDEBF7"/>
            <w:noWrap/>
            <w:vAlign w:val="bottom"/>
            <w:hideMark/>
          </w:tcPr>
          <w:p w14:paraId="5504D7B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82.40</w:t>
            </w:r>
          </w:p>
        </w:tc>
        <w:tc>
          <w:tcPr>
            <w:tcW w:w="593" w:type="dxa"/>
            <w:shd w:val="clear" w:color="DDEBF7" w:fill="DDEBF7"/>
            <w:noWrap/>
            <w:vAlign w:val="bottom"/>
            <w:hideMark/>
          </w:tcPr>
          <w:p w14:paraId="35D57B0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59DE723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7.23</w:t>
            </w:r>
          </w:p>
        </w:tc>
        <w:tc>
          <w:tcPr>
            <w:tcW w:w="593" w:type="dxa"/>
            <w:shd w:val="clear" w:color="DDEBF7" w:fill="DDEBF7"/>
            <w:noWrap/>
            <w:vAlign w:val="bottom"/>
            <w:hideMark/>
          </w:tcPr>
          <w:p w14:paraId="45CFC526"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4ECB2C9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10.37</w:t>
            </w:r>
          </w:p>
        </w:tc>
      </w:tr>
      <w:tr w:rsidR="00A0244C" w:rsidRPr="00BC1ABD" w14:paraId="0F28E3DD" w14:textId="77777777" w:rsidTr="007354E3">
        <w:trPr>
          <w:trHeight w:val="288"/>
        </w:trPr>
        <w:tc>
          <w:tcPr>
            <w:tcW w:w="1329" w:type="dxa"/>
            <w:shd w:val="clear" w:color="auto" w:fill="auto"/>
            <w:noWrap/>
            <w:vAlign w:val="center"/>
            <w:hideMark/>
          </w:tcPr>
          <w:p w14:paraId="0024F624"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Kvemo Kartli </w:t>
            </w:r>
          </w:p>
        </w:tc>
        <w:tc>
          <w:tcPr>
            <w:tcW w:w="1030" w:type="dxa"/>
            <w:shd w:val="clear" w:color="auto" w:fill="auto"/>
            <w:noWrap/>
            <w:vAlign w:val="center"/>
            <w:hideMark/>
          </w:tcPr>
          <w:p w14:paraId="25036E04" w14:textId="31F6C0F8"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Vaziani</w:t>
            </w:r>
          </w:p>
        </w:tc>
        <w:tc>
          <w:tcPr>
            <w:tcW w:w="1459" w:type="dxa"/>
            <w:shd w:val="clear" w:color="000000" w:fill="FFC7CE"/>
            <w:noWrap/>
            <w:vAlign w:val="center"/>
            <w:hideMark/>
          </w:tcPr>
          <w:p w14:paraId="0FA04601"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12AA5F3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3,686</w:t>
            </w:r>
          </w:p>
        </w:tc>
        <w:tc>
          <w:tcPr>
            <w:tcW w:w="629" w:type="dxa"/>
            <w:shd w:val="clear" w:color="auto" w:fill="auto"/>
            <w:noWrap/>
            <w:vAlign w:val="bottom"/>
            <w:hideMark/>
          </w:tcPr>
          <w:p w14:paraId="2D13AC6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1,132</w:t>
            </w:r>
          </w:p>
        </w:tc>
        <w:tc>
          <w:tcPr>
            <w:tcW w:w="709" w:type="dxa"/>
            <w:shd w:val="clear" w:color="auto" w:fill="auto"/>
            <w:noWrap/>
            <w:vAlign w:val="bottom"/>
            <w:hideMark/>
          </w:tcPr>
          <w:p w14:paraId="66CABD9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886</w:t>
            </w:r>
          </w:p>
        </w:tc>
        <w:tc>
          <w:tcPr>
            <w:tcW w:w="593" w:type="dxa"/>
            <w:shd w:val="clear" w:color="auto" w:fill="auto"/>
            <w:noWrap/>
            <w:vAlign w:val="bottom"/>
            <w:hideMark/>
          </w:tcPr>
          <w:p w14:paraId="0AD75A1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92.10</w:t>
            </w:r>
          </w:p>
        </w:tc>
        <w:tc>
          <w:tcPr>
            <w:tcW w:w="593" w:type="dxa"/>
            <w:shd w:val="clear" w:color="auto" w:fill="auto"/>
            <w:noWrap/>
            <w:vAlign w:val="bottom"/>
            <w:hideMark/>
          </w:tcPr>
          <w:p w14:paraId="02A6F15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5985E5D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2.71</w:t>
            </w:r>
          </w:p>
        </w:tc>
        <w:tc>
          <w:tcPr>
            <w:tcW w:w="593" w:type="dxa"/>
            <w:shd w:val="clear" w:color="auto" w:fill="auto"/>
            <w:noWrap/>
            <w:vAlign w:val="bottom"/>
            <w:hideMark/>
          </w:tcPr>
          <w:p w14:paraId="00CFEC7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43AE420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5.19</w:t>
            </w:r>
          </w:p>
        </w:tc>
      </w:tr>
      <w:tr w:rsidR="00A0244C" w:rsidRPr="00BC1ABD" w14:paraId="2C71D8FC" w14:textId="77777777" w:rsidTr="007354E3">
        <w:trPr>
          <w:trHeight w:val="288"/>
        </w:trPr>
        <w:tc>
          <w:tcPr>
            <w:tcW w:w="1329" w:type="dxa"/>
            <w:shd w:val="clear" w:color="DDEBF7" w:fill="DDEBF7"/>
            <w:noWrap/>
            <w:vAlign w:val="center"/>
            <w:hideMark/>
          </w:tcPr>
          <w:p w14:paraId="2EBA4CE2"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Kvemo Kartli </w:t>
            </w:r>
          </w:p>
        </w:tc>
        <w:tc>
          <w:tcPr>
            <w:tcW w:w="1030" w:type="dxa"/>
            <w:shd w:val="clear" w:color="DDEBF7" w:fill="DDEBF7"/>
            <w:noWrap/>
            <w:vAlign w:val="center"/>
            <w:hideMark/>
          </w:tcPr>
          <w:p w14:paraId="3C244B66" w14:textId="6255B4A5" w:rsidR="00A0244C" w:rsidRPr="00BC1ABD" w:rsidRDefault="00323659" w:rsidP="007354E3">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Koda</w:t>
            </w:r>
          </w:p>
        </w:tc>
        <w:tc>
          <w:tcPr>
            <w:tcW w:w="1459" w:type="dxa"/>
            <w:shd w:val="clear" w:color="DDEBF7" w:fill="FFC7CE"/>
            <w:noWrap/>
            <w:vAlign w:val="center"/>
            <w:hideMark/>
          </w:tcPr>
          <w:p w14:paraId="576D64F7"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1AC73A9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3,062</w:t>
            </w:r>
          </w:p>
        </w:tc>
        <w:tc>
          <w:tcPr>
            <w:tcW w:w="629" w:type="dxa"/>
            <w:shd w:val="clear" w:color="DDEBF7" w:fill="DDEBF7"/>
            <w:noWrap/>
            <w:vAlign w:val="bottom"/>
            <w:hideMark/>
          </w:tcPr>
          <w:p w14:paraId="681E7031"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885</w:t>
            </w:r>
          </w:p>
        </w:tc>
        <w:tc>
          <w:tcPr>
            <w:tcW w:w="709" w:type="dxa"/>
            <w:shd w:val="clear" w:color="DDEBF7" w:fill="DDEBF7"/>
            <w:noWrap/>
            <w:vAlign w:val="bottom"/>
            <w:hideMark/>
          </w:tcPr>
          <w:p w14:paraId="72C2E56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159</w:t>
            </w:r>
          </w:p>
        </w:tc>
        <w:tc>
          <w:tcPr>
            <w:tcW w:w="593" w:type="dxa"/>
            <w:shd w:val="clear" w:color="DDEBF7" w:fill="DDEBF7"/>
            <w:noWrap/>
            <w:vAlign w:val="bottom"/>
            <w:hideMark/>
          </w:tcPr>
          <w:p w14:paraId="39E6DBC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83.65</w:t>
            </w:r>
          </w:p>
        </w:tc>
        <w:tc>
          <w:tcPr>
            <w:tcW w:w="593" w:type="dxa"/>
            <w:shd w:val="clear" w:color="DDEBF7" w:fill="DDEBF7"/>
            <w:noWrap/>
            <w:vAlign w:val="bottom"/>
            <w:hideMark/>
          </w:tcPr>
          <w:p w14:paraId="688A792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23576DF2"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5.66</w:t>
            </w:r>
          </w:p>
        </w:tc>
        <w:tc>
          <w:tcPr>
            <w:tcW w:w="593" w:type="dxa"/>
            <w:shd w:val="clear" w:color="DDEBF7" w:fill="DDEBF7"/>
            <w:noWrap/>
            <w:vAlign w:val="bottom"/>
            <w:hideMark/>
          </w:tcPr>
          <w:p w14:paraId="6C21920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5EEC5B2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10.69</w:t>
            </w:r>
          </w:p>
        </w:tc>
      </w:tr>
      <w:tr w:rsidR="00A0244C" w:rsidRPr="00BC1ABD" w14:paraId="6C778861" w14:textId="77777777" w:rsidTr="007354E3">
        <w:trPr>
          <w:trHeight w:val="288"/>
        </w:trPr>
        <w:tc>
          <w:tcPr>
            <w:tcW w:w="1329" w:type="dxa"/>
            <w:shd w:val="clear" w:color="auto" w:fill="auto"/>
            <w:noWrap/>
            <w:vAlign w:val="center"/>
            <w:hideMark/>
          </w:tcPr>
          <w:p w14:paraId="269E1204"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Kvemo Kartli </w:t>
            </w:r>
          </w:p>
        </w:tc>
        <w:tc>
          <w:tcPr>
            <w:tcW w:w="1030" w:type="dxa"/>
            <w:shd w:val="clear" w:color="auto" w:fill="auto"/>
            <w:noWrap/>
            <w:vAlign w:val="center"/>
            <w:hideMark/>
          </w:tcPr>
          <w:p w14:paraId="1925EE76" w14:textId="570774D4"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Bolnisi</w:t>
            </w:r>
          </w:p>
        </w:tc>
        <w:tc>
          <w:tcPr>
            <w:tcW w:w="1459" w:type="dxa"/>
            <w:shd w:val="clear" w:color="000000" w:fill="FFC7CE"/>
            <w:noWrap/>
            <w:vAlign w:val="center"/>
            <w:hideMark/>
          </w:tcPr>
          <w:p w14:paraId="5F39D186"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4827E56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8,967</w:t>
            </w:r>
          </w:p>
        </w:tc>
        <w:tc>
          <w:tcPr>
            <w:tcW w:w="629" w:type="dxa"/>
            <w:shd w:val="clear" w:color="auto" w:fill="auto"/>
            <w:noWrap/>
            <w:vAlign w:val="bottom"/>
            <w:hideMark/>
          </w:tcPr>
          <w:p w14:paraId="3D98BDE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3,502</w:t>
            </w:r>
          </w:p>
        </w:tc>
        <w:tc>
          <w:tcPr>
            <w:tcW w:w="709" w:type="dxa"/>
            <w:shd w:val="clear" w:color="auto" w:fill="auto"/>
            <w:noWrap/>
            <w:vAlign w:val="bottom"/>
            <w:hideMark/>
          </w:tcPr>
          <w:p w14:paraId="27BAB2D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2,487</w:t>
            </w:r>
          </w:p>
        </w:tc>
        <w:tc>
          <w:tcPr>
            <w:tcW w:w="593" w:type="dxa"/>
            <w:shd w:val="clear" w:color="auto" w:fill="auto"/>
            <w:noWrap/>
            <w:vAlign w:val="bottom"/>
            <w:hideMark/>
          </w:tcPr>
          <w:p w14:paraId="406CC7F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71.33</w:t>
            </w:r>
          </w:p>
        </w:tc>
        <w:tc>
          <w:tcPr>
            <w:tcW w:w="593" w:type="dxa"/>
            <w:shd w:val="clear" w:color="auto" w:fill="auto"/>
            <w:noWrap/>
            <w:vAlign w:val="bottom"/>
            <w:hideMark/>
          </w:tcPr>
          <w:p w14:paraId="284015FD"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23.52</w:t>
            </w:r>
          </w:p>
        </w:tc>
        <w:tc>
          <w:tcPr>
            <w:tcW w:w="593" w:type="dxa"/>
            <w:shd w:val="clear" w:color="auto" w:fill="auto"/>
            <w:noWrap/>
            <w:vAlign w:val="bottom"/>
            <w:hideMark/>
          </w:tcPr>
          <w:p w14:paraId="3D985AC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18DF9CA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5588642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5.15</w:t>
            </w:r>
          </w:p>
        </w:tc>
      </w:tr>
      <w:tr w:rsidR="00A0244C" w:rsidRPr="00BC1ABD" w14:paraId="7BA8EED8" w14:textId="77777777" w:rsidTr="007354E3">
        <w:trPr>
          <w:trHeight w:val="288"/>
        </w:trPr>
        <w:tc>
          <w:tcPr>
            <w:tcW w:w="1329" w:type="dxa"/>
            <w:shd w:val="clear" w:color="DDEBF7" w:fill="DDEBF7"/>
            <w:noWrap/>
            <w:vAlign w:val="center"/>
            <w:hideMark/>
          </w:tcPr>
          <w:p w14:paraId="40B7EB5F"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Kvemo Kartli </w:t>
            </w:r>
          </w:p>
        </w:tc>
        <w:tc>
          <w:tcPr>
            <w:tcW w:w="1030" w:type="dxa"/>
            <w:shd w:val="clear" w:color="DDEBF7" w:fill="DDEBF7"/>
            <w:noWrap/>
            <w:vAlign w:val="center"/>
            <w:hideMark/>
          </w:tcPr>
          <w:p w14:paraId="6ACD7858" w14:textId="7F62CE8A"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Marneuli</w:t>
            </w:r>
          </w:p>
        </w:tc>
        <w:tc>
          <w:tcPr>
            <w:tcW w:w="1459" w:type="dxa"/>
            <w:shd w:val="clear" w:color="DDEBF7" w:fill="FFC7CE"/>
            <w:noWrap/>
            <w:vAlign w:val="center"/>
            <w:hideMark/>
          </w:tcPr>
          <w:p w14:paraId="678ECA31"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DDEBF7" w:fill="DDEBF7"/>
            <w:noWrap/>
            <w:vAlign w:val="bottom"/>
            <w:hideMark/>
          </w:tcPr>
          <w:p w14:paraId="6BEFAE5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20,211</w:t>
            </w:r>
          </w:p>
        </w:tc>
        <w:tc>
          <w:tcPr>
            <w:tcW w:w="629" w:type="dxa"/>
            <w:shd w:val="clear" w:color="DDEBF7" w:fill="DDEBF7"/>
            <w:noWrap/>
            <w:vAlign w:val="bottom"/>
            <w:hideMark/>
          </w:tcPr>
          <w:p w14:paraId="64FF1E35"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6,650</w:t>
            </w:r>
          </w:p>
        </w:tc>
        <w:tc>
          <w:tcPr>
            <w:tcW w:w="709" w:type="dxa"/>
            <w:shd w:val="clear" w:color="DDEBF7" w:fill="DDEBF7"/>
            <w:noWrap/>
            <w:vAlign w:val="bottom"/>
            <w:hideMark/>
          </w:tcPr>
          <w:p w14:paraId="2A36CDD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4,264</w:t>
            </w:r>
          </w:p>
        </w:tc>
        <w:tc>
          <w:tcPr>
            <w:tcW w:w="593" w:type="dxa"/>
            <w:shd w:val="clear" w:color="DDEBF7" w:fill="DDEBF7"/>
            <w:noWrap/>
            <w:vAlign w:val="bottom"/>
            <w:hideMark/>
          </w:tcPr>
          <w:p w14:paraId="138485B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58.42</w:t>
            </w:r>
          </w:p>
        </w:tc>
        <w:tc>
          <w:tcPr>
            <w:tcW w:w="593" w:type="dxa"/>
            <w:shd w:val="clear" w:color="DDEBF7" w:fill="DDEBF7"/>
            <w:noWrap/>
            <w:vAlign w:val="bottom"/>
            <w:hideMark/>
          </w:tcPr>
          <w:p w14:paraId="5E0B26BB"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11.49</w:t>
            </w:r>
          </w:p>
        </w:tc>
        <w:tc>
          <w:tcPr>
            <w:tcW w:w="593" w:type="dxa"/>
            <w:shd w:val="clear" w:color="DDEBF7" w:fill="DDEBF7"/>
            <w:noWrap/>
            <w:vAlign w:val="bottom"/>
            <w:hideMark/>
          </w:tcPr>
          <w:p w14:paraId="6CD9BEE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DDEBF7" w:fill="DDEBF7"/>
            <w:noWrap/>
            <w:vAlign w:val="bottom"/>
            <w:hideMark/>
          </w:tcPr>
          <w:p w14:paraId="787E98F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DDEBF7" w:fill="DDEBF7"/>
            <w:noWrap/>
            <w:vAlign w:val="bottom"/>
            <w:hideMark/>
          </w:tcPr>
          <w:p w14:paraId="2BBFE460"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30.09</w:t>
            </w:r>
          </w:p>
        </w:tc>
      </w:tr>
      <w:tr w:rsidR="00A0244C" w:rsidRPr="00BC1ABD" w14:paraId="4FF8E224" w14:textId="77777777" w:rsidTr="007354E3">
        <w:trPr>
          <w:trHeight w:val="288"/>
        </w:trPr>
        <w:tc>
          <w:tcPr>
            <w:tcW w:w="1329" w:type="dxa"/>
            <w:shd w:val="clear" w:color="auto" w:fill="auto"/>
            <w:noWrap/>
            <w:vAlign w:val="center"/>
            <w:hideMark/>
          </w:tcPr>
          <w:p w14:paraId="1ADFC89C" w14:textId="77777777" w:rsidR="00A0244C" w:rsidRPr="00BC1ABD" w:rsidRDefault="00A0244C" w:rsidP="007354E3">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Shida Kartli </w:t>
            </w:r>
          </w:p>
        </w:tc>
        <w:tc>
          <w:tcPr>
            <w:tcW w:w="1030" w:type="dxa"/>
            <w:shd w:val="clear" w:color="auto" w:fill="auto"/>
            <w:noWrap/>
            <w:vAlign w:val="center"/>
            <w:hideMark/>
          </w:tcPr>
          <w:p w14:paraId="161FD121" w14:textId="20073B3A" w:rsidR="00A0244C" w:rsidRPr="00BC1ABD" w:rsidRDefault="00323659" w:rsidP="007354E3">
            <w:pPr>
              <w:spacing w:after="0" w:line="240" w:lineRule="auto"/>
              <w:jc w:val="center"/>
              <w:rPr>
                <w:rFonts w:eastAsia="Times New Roman" w:cs="Calibri"/>
                <w:color w:val="000000"/>
                <w:sz w:val="16"/>
                <w:szCs w:val="16"/>
                <w:lang w:val="en-GB" w:eastAsia="sl-SI"/>
              </w:rPr>
            </w:pPr>
            <w:r w:rsidRPr="00323659">
              <w:rPr>
                <w:rFonts w:eastAsia="Times New Roman" w:cs="Calibri"/>
                <w:color w:val="000000"/>
                <w:sz w:val="16"/>
                <w:szCs w:val="16"/>
                <w:lang w:val="en-GB" w:eastAsia="sl-SI"/>
              </w:rPr>
              <w:t>Khashuri</w:t>
            </w:r>
          </w:p>
        </w:tc>
        <w:tc>
          <w:tcPr>
            <w:tcW w:w="1459" w:type="dxa"/>
            <w:shd w:val="clear" w:color="000000" w:fill="FFC7CE"/>
            <w:noWrap/>
            <w:vAlign w:val="center"/>
            <w:hideMark/>
          </w:tcPr>
          <w:p w14:paraId="5DA6AB44" w14:textId="77777777" w:rsidR="00A0244C" w:rsidRPr="00BC1ABD" w:rsidRDefault="00A0244C" w:rsidP="007354E3">
            <w:pPr>
              <w:spacing w:after="0" w:line="240" w:lineRule="auto"/>
              <w:jc w:val="center"/>
              <w:rPr>
                <w:rFonts w:eastAsia="Times New Roman" w:cs="Calibri"/>
                <w:color w:val="9C0006"/>
                <w:sz w:val="16"/>
                <w:szCs w:val="16"/>
                <w:lang w:val="en-GB" w:eastAsia="sl-SI"/>
              </w:rPr>
            </w:pPr>
            <w:r w:rsidRPr="00BC1ABD">
              <w:rPr>
                <w:rFonts w:eastAsia="Times New Roman" w:cs="Calibri"/>
                <w:color w:val="9C0006"/>
                <w:sz w:val="16"/>
                <w:szCs w:val="16"/>
                <w:lang w:val="en-GB" w:eastAsia="sl-SI"/>
              </w:rPr>
              <w:t>NOT CONTESTABLE</w:t>
            </w:r>
          </w:p>
        </w:tc>
        <w:tc>
          <w:tcPr>
            <w:tcW w:w="930" w:type="dxa"/>
            <w:shd w:val="clear" w:color="auto" w:fill="auto"/>
            <w:noWrap/>
            <w:vAlign w:val="bottom"/>
            <w:hideMark/>
          </w:tcPr>
          <w:p w14:paraId="5E052618"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26,135</w:t>
            </w:r>
          </w:p>
        </w:tc>
        <w:tc>
          <w:tcPr>
            <w:tcW w:w="629" w:type="dxa"/>
            <w:shd w:val="clear" w:color="auto" w:fill="auto"/>
            <w:noWrap/>
            <w:vAlign w:val="bottom"/>
            <w:hideMark/>
          </w:tcPr>
          <w:p w14:paraId="0693511F"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7,595</w:t>
            </w:r>
          </w:p>
        </w:tc>
        <w:tc>
          <w:tcPr>
            <w:tcW w:w="709" w:type="dxa"/>
            <w:shd w:val="clear" w:color="auto" w:fill="auto"/>
            <w:noWrap/>
            <w:vAlign w:val="bottom"/>
            <w:hideMark/>
          </w:tcPr>
          <w:p w14:paraId="5C9BC30A"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8,238</w:t>
            </w:r>
          </w:p>
        </w:tc>
        <w:tc>
          <w:tcPr>
            <w:tcW w:w="593" w:type="dxa"/>
            <w:shd w:val="clear" w:color="auto" w:fill="auto"/>
            <w:noWrap/>
            <w:vAlign w:val="bottom"/>
            <w:hideMark/>
          </w:tcPr>
          <w:p w14:paraId="5E9639FC"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32.27</w:t>
            </w:r>
          </w:p>
        </w:tc>
        <w:tc>
          <w:tcPr>
            <w:tcW w:w="593" w:type="dxa"/>
            <w:shd w:val="clear" w:color="auto" w:fill="auto"/>
            <w:noWrap/>
            <w:vAlign w:val="bottom"/>
            <w:hideMark/>
          </w:tcPr>
          <w:p w14:paraId="443B7334"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66.90</w:t>
            </w:r>
          </w:p>
        </w:tc>
        <w:tc>
          <w:tcPr>
            <w:tcW w:w="593" w:type="dxa"/>
            <w:shd w:val="clear" w:color="auto" w:fill="auto"/>
            <w:noWrap/>
            <w:vAlign w:val="bottom"/>
            <w:hideMark/>
          </w:tcPr>
          <w:p w14:paraId="37BF78FE"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3" w:type="dxa"/>
            <w:shd w:val="clear" w:color="auto" w:fill="auto"/>
            <w:noWrap/>
            <w:vAlign w:val="bottom"/>
            <w:hideMark/>
          </w:tcPr>
          <w:p w14:paraId="47917FB7"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0.00</w:t>
            </w:r>
          </w:p>
        </w:tc>
        <w:tc>
          <w:tcPr>
            <w:tcW w:w="594" w:type="dxa"/>
            <w:shd w:val="clear" w:color="auto" w:fill="auto"/>
            <w:noWrap/>
            <w:vAlign w:val="bottom"/>
            <w:hideMark/>
          </w:tcPr>
          <w:p w14:paraId="33DD6859" w14:textId="77777777" w:rsidR="00A0244C" w:rsidRPr="00BC1ABD" w:rsidRDefault="00A0244C" w:rsidP="007354E3">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0.84</w:t>
            </w:r>
          </w:p>
        </w:tc>
      </w:tr>
      <w:tr w:rsidR="00A0244C" w:rsidRPr="00BC1ABD" w14:paraId="7E4DEE9C" w14:textId="77777777" w:rsidTr="007354E3">
        <w:trPr>
          <w:trHeight w:val="288"/>
        </w:trPr>
        <w:tc>
          <w:tcPr>
            <w:tcW w:w="1329" w:type="dxa"/>
            <w:shd w:val="clear" w:color="DDEBF7" w:fill="DDEBF7"/>
            <w:noWrap/>
            <w:vAlign w:val="bottom"/>
            <w:hideMark/>
          </w:tcPr>
          <w:p w14:paraId="1A0867AE" w14:textId="77777777" w:rsidR="00A0244C" w:rsidRPr="00BC1ABD" w:rsidRDefault="00A0244C" w:rsidP="007354E3">
            <w:pPr>
              <w:spacing w:after="0" w:line="240" w:lineRule="auto"/>
              <w:jc w:val="right"/>
              <w:rPr>
                <w:rFonts w:eastAsia="Times New Roman" w:cs="Calibri"/>
                <w:b/>
                <w:color w:val="000000"/>
                <w:sz w:val="16"/>
                <w:szCs w:val="16"/>
                <w:lang w:val="en-GB" w:eastAsia="sl-SI"/>
              </w:rPr>
            </w:pPr>
            <w:r w:rsidRPr="00BC1ABD">
              <w:rPr>
                <w:rFonts w:eastAsia="Times New Roman" w:cs="Calibri"/>
                <w:b/>
                <w:color w:val="000000"/>
                <w:sz w:val="16"/>
                <w:szCs w:val="16"/>
                <w:lang w:val="en-GB" w:eastAsia="sl-SI"/>
              </w:rPr>
              <w:t>No of settlments</w:t>
            </w:r>
          </w:p>
        </w:tc>
        <w:tc>
          <w:tcPr>
            <w:tcW w:w="1030" w:type="dxa"/>
            <w:shd w:val="clear" w:color="DDEBF7" w:fill="DDEBF7"/>
            <w:noWrap/>
            <w:vAlign w:val="bottom"/>
            <w:hideMark/>
          </w:tcPr>
          <w:p w14:paraId="4F7E4791"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30</w:t>
            </w:r>
          </w:p>
        </w:tc>
        <w:tc>
          <w:tcPr>
            <w:tcW w:w="1459" w:type="dxa"/>
            <w:shd w:val="clear" w:color="DDEBF7" w:fill="DDEBF7"/>
            <w:noWrap/>
            <w:vAlign w:val="center"/>
            <w:hideMark/>
          </w:tcPr>
          <w:p w14:paraId="3A8C58D9"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Sum/Average</w:t>
            </w:r>
          </w:p>
        </w:tc>
        <w:tc>
          <w:tcPr>
            <w:tcW w:w="930" w:type="dxa"/>
            <w:shd w:val="clear" w:color="DDEBF7" w:fill="DDEBF7"/>
            <w:noWrap/>
            <w:vAlign w:val="bottom"/>
            <w:hideMark/>
          </w:tcPr>
          <w:p w14:paraId="35394823"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216,544</w:t>
            </w:r>
          </w:p>
        </w:tc>
        <w:tc>
          <w:tcPr>
            <w:tcW w:w="629" w:type="dxa"/>
            <w:shd w:val="clear" w:color="DDEBF7" w:fill="DDEBF7"/>
            <w:noWrap/>
            <w:vAlign w:val="bottom"/>
            <w:hideMark/>
          </w:tcPr>
          <w:p w14:paraId="71912F3E"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69,736</w:t>
            </w:r>
          </w:p>
        </w:tc>
        <w:tc>
          <w:tcPr>
            <w:tcW w:w="709" w:type="dxa"/>
            <w:shd w:val="clear" w:color="DDEBF7" w:fill="DDEBF7"/>
            <w:noWrap/>
            <w:vAlign w:val="bottom"/>
            <w:hideMark/>
          </w:tcPr>
          <w:p w14:paraId="69CE5721"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63,020</w:t>
            </w:r>
          </w:p>
        </w:tc>
        <w:tc>
          <w:tcPr>
            <w:tcW w:w="593" w:type="dxa"/>
            <w:shd w:val="clear" w:color="DDEBF7" w:fill="DDEBF7"/>
            <w:noWrap/>
            <w:vAlign w:val="bottom"/>
            <w:hideMark/>
          </w:tcPr>
          <w:p w14:paraId="2BF185B3"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59.01</w:t>
            </w:r>
          </w:p>
        </w:tc>
        <w:tc>
          <w:tcPr>
            <w:tcW w:w="593" w:type="dxa"/>
            <w:shd w:val="clear" w:color="DDEBF7" w:fill="DDEBF7"/>
            <w:noWrap/>
            <w:vAlign w:val="bottom"/>
            <w:hideMark/>
          </w:tcPr>
          <w:p w14:paraId="6BA2EF67"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31.93</w:t>
            </w:r>
          </w:p>
        </w:tc>
        <w:tc>
          <w:tcPr>
            <w:tcW w:w="593" w:type="dxa"/>
            <w:shd w:val="clear" w:color="DDEBF7" w:fill="DDEBF7"/>
            <w:noWrap/>
            <w:vAlign w:val="bottom"/>
            <w:hideMark/>
          </w:tcPr>
          <w:p w14:paraId="64C73847"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0.89</w:t>
            </w:r>
          </w:p>
        </w:tc>
        <w:tc>
          <w:tcPr>
            <w:tcW w:w="593" w:type="dxa"/>
            <w:shd w:val="clear" w:color="DDEBF7" w:fill="DDEBF7"/>
            <w:noWrap/>
            <w:vAlign w:val="bottom"/>
            <w:hideMark/>
          </w:tcPr>
          <w:p w14:paraId="49C6F15B"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0.91</w:t>
            </w:r>
          </w:p>
        </w:tc>
        <w:tc>
          <w:tcPr>
            <w:tcW w:w="594" w:type="dxa"/>
            <w:shd w:val="clear" w:color="DDEBF7" w:fill="DDEBF7"/>
            <w:noWrap/>
            <w:vAlign w:val="bottom"/>
            <w:hideMark/>
          </w:tcPr>
          <w:p w14:paraId="702609AC" w14:textId="77777777" w:rsidR="00A0244C" w:rsidRPr="00BC1ABD" w:rsidRDefault="00A0244C" w:rsidP="007354E3">
            <w:pPr>
              <w:spacing w:after="0" w:line="240" w:lineRule="auto"/>
              <w:jc w:val="right"/>
              <w:rPr>
                <w:rFonts w:eastAsia="Times New Roman" w:cs="Calibri"/>
                <w:b/>
                <w:bCs/>
                <w:color w:val="000000"/>
                <w:sz w:val="16"/>
                <w:szCs w:val="16"/>
                <w:lang w:val="en-GB" w:eastAsia="sl-SI"/>
              </w:rPr>
            </w:pPr>
            <w:r w:rsidRPr="00BC1ABD">
              <w:rPr>
                <w:rFonts w:eastAsia="Times New Roman" w:cs="Calibri"/>
                <w:b/>
                <w:bCs/>
                <w:color w:val="000000"/>
                <w:sz w:val="16"/>
                <w:szCs w:val="16"/>
                <w:lang w:val="en-GB" w:eastAsia="sl-SI"/>
              </w:rPr>
              <w:t>7.26</w:t>
            </w:r>
          </w:p>
        </w:tc>
      </w:tr>
    </w:tbl>
    <w:p w14:paraId="0EC7E2DE" w14:textId="77777777" w:rsidR="00A0244C" w:rsidRPr="00BC1ABD" w:rsidRDefault="00A0244C" w:rsidP="00A0244C">
      <w:pPr>
        <w:jc w:val="center"/>
        <w:rPr>
          <w:rFonts w:cs="Arial"/>
          <w:sz w:val="4"/>
          <w:szCs w:val="4"/>
          <w:lang w:val="en-GB"/>
        </w:rPr>
      </w:pPr>
    </w:p>
    <w:p w14:paraId="25570C6E"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Questionnaire on coverage</w:t>
      </w:r>
    </w:p>
    <w:p w14:paraId="588BF84F" w14:textId="4B131095" w:rsidR="00A0244C" w:rsidRPr="00F028B0" w:rsidRDefault="00A0244C" w:rsidP="00F028B0">
      <w:pPr>
        <w:jc w:val="both"/>
        <w:rPr>
          <w:rFonts w:cs="Arial"/>
          <w:sz w:val="20"/>
          <w:szCs w:val="20"/>
          <w:lang w:val="en-GB"/>
        </w:rPr>
      </w:pPr>
      <w:r w:rsidRPr="00BC1ABD">
        <w:rPr>
          <w:rFonts w:cs="Arial"/>
          <w:sz w:val="24"/>
          <w:szCs w:val="24"/>
          <w:lang w:val="en-GB"/>
        </w:rPr>
        <w:t xml:space="preserve">The situation in settlements with three </w:t>
      </w:r>
      <w:r w:rsidR="00F026B4">
        <w:rPr>
          <w:rFonts w:cs="Arial"/>
          <w:sz w:val="24"/>
          <w:szCs w:val="24"/>
          <w:lang w:val="en-GB"/>
        </w:rPr>
        <w:t>FTTx</w:t>
      </w:r>
      <w:r w:rsidRPr="00BC1ABD">
        <w:rPr>
          <w:rFonts w:cs="Arial"/>
          <w:sz w:val="24"/>
          <w:szCs w:val="24"/>
          <w:lang w:val="en-GB"/>
        </w:rPr>
        <w:t xml:space="preserve"> network operators is also mostly not contestable. In 22 of the 30 settlements all three main cumulative criteria are not met. In the remaining 8 settlements all three main cumulative criteria are met and are therefore contestable. All settlements with three </w:t>
      </w:r>
      <w:r w:rsidR="00F026B4">
        <w:rPr>
          <w:rFonts w:cs="Arial"/>
          <w:sz w:val="24"/>
          <w:szCs w:val="24"/>
          <w:lang w:val="en-GB"/>
        </w:rPr>
        <w:t>FTTx</w:t>
      </w:r>
      <w:r w:rsidRPr="00BC1ABD">
        <w:rPr>
          <w:rFonts w:cs="Arial"/>
          <w:sz w:val="24"/>
          <w:szCs w:val="24"/>
          <w:lang w:val="en-GB"/>
        </w:rPr>
        <w:t xml:space="preserve"> network operators are below the threshold of 100,000 inhabitants.</w:t>
      </w:r>
    </w:p>
    <w:p w14:paraId="0CC1C6D1" w14:textId="77777777" w:rsidR="00A0244C" w:rsidRPr="00F028B0" w:rsidRDefault="00A0244C" w:rsidP="00F028B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19" w:name="_Toc169258982"/>
      <w:r w:rsidRPr="00F028B0">
        <w:rPr>
          <w:rFonts w:asciiTheme="minorHAnsi" w:hAnsiTheme="minorHAnsi" w:cstheme="minorHAnsi"/>
          <w:b w:val="0"/>
          <w:bCs w:val="0"/>
          <w:sz w:val="24"/>
          <w:szCs w:val="24"/>
          <w:lang w:val="en-GB"/>
        </w:rPr>
        <w:t>Assessment of competition in settlements with more than 100,000 inhabitants</w:t>
      </w:r>
      <w:bookmarkEnd w:id="319"/>
    </w:p>
    <w:bookmarkEnd w:id="288"/>
    <w:bookmarkEnd w:id="289"/>
    <w:p w14:paraId="00F50AC9" w14:textId="5F559141" w:rsidR="00A0244C" w:rsidRDefault="00A0244C" w:rsidP="00A0244C">
      <w:pPr>
        <w:jc w:val="both"/>
        <w:rPr>
          <w:rFonts w:cs="Arial"/>
          <w:sz w:val="24"/>
          <w:szCs w:val="24"/>
          <w:lang w:val="en-GB"/>
        </w:rPr>
      </w:pPr>
      <w:r w:rsidRPr="00BC1ABD">
        <w:rPr>
          <w:rFonts w:cs="Arial"/>
          <w:sz w:val="24"/>
          <w:szCs w:val="24"/>
          <w:lang w:val="en-GB"/>
        </w:rPr>
        <w:t xml:space="preserve">All four cities with over 100,000 population have at least 4 </w:t>
      </w:r>
      <w:r w:rsidR="00F026B4">
        <w:rPr>
          <w:rFonts w:cs="Arial"/>
          <w:sz w:val="24"/>
          <w:szCs w:val="24"/>
          <w:lang w:val="en-GB"/>
        </w:rPr>
        <w:t>FTTx</w:t>
      </w:r>
      <w:r w:rsidRPr="00BC1ABD">
        <w:rPr>
          <w:rFonts w:cs="Arial"/>
          <w:sz w:val="24"/>
          <w:szCs w:val="24"/>
          <w:lang w:val="en-GB"/>
        </w:rPr>
        <w:t xml:space="preserve"> network operators present. In Tbilisi Magticom has a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significantly above 40% of </w:t>
      </w:r>
      <w:r w:rsidR="00F026B4">
        <w:rPr>
          <w:rFonts w:cs="Arial"/>
          <w:sz w:val="24"/>
          <w:szCs w:val="24"/>
          <w:lang w:val="en-GB"/>
        </w:rPr>
        <w:t>FTTx</w:t>
      </w:r>
      <w:r w:rsidRPr="00BC1ABD">
        <w:rPr>
          <w:rFonts w:cs="Arial"/>
          <w:sz w:val="24"/>
          <w:szCs w:val="24"/>
          <w:lang w:val="en-GB"/>
        </w:rPr>
        <w:t xml:space="preserve"> fixed broadband access subscribers. In Batumi, Magticom and Silknet together have 97.1%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657438">
        <w:rPr>
          <w:rFonts w:cs="Arial"/>
          <w:sz w:val="24"/>
          <w:szCs w:val="24"/>
          <w:lang w:val="en-GB"/>
        </w:rPr>
        <w:t xml:space="preserve"> </w:t>
      </w:r>
      <w:r w:rsidR="00F026B4">
        <w:rPr>
          <w:rFonts w:cs="Arial"/>
          <w:sz w:val="24"/>
          <w:szCs w:val="24"/>
          <w:lang w:val="en-GB"/>
        </w:rPr>
        <w:t>FTTx</w:t>
      </w:r>
      <w:r w:rsidRPr="00BC1ABD">
        <w:rPr>
          <w:rFonts w:cs="Arial"/>
          <w:sz w:val="24"/>
          <w:szCs w:val="24"/>
          <w:lang w:val="en-GB"/>
        </w:rPr>
        <w:t xml:space="preserve">. Kutaisi and Rustavi both fulfil the conditions that Magticom has a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of less than 40% and that there are two other networks with at least 10% </w:t>
      </w:r>
      <w:r w:rsidR="00F026B4">
        <w:rPr>
          <w:rFonts w:cs="Arial"/>
          <w:sz w:val="24"/>
          <w:szCs w:val="24"/>
          <w:lang w:val="en-GB"/>
        </w:rPr>
        <w:t>FTTx</w:t>
      </w:r>
      <w:r w:rsidRPr="00BC1ABD">
        <w:rPr>
          <w:rFonts w:cs="Arial"/>
          <w:sz w:val="24"/>
          <w:szCs w:val="24"/>
          <w:lang w:val="en-GB"/>
        </w:rPr>
        <w:t xml:space="preserve"> </w:t>
      </w:r>
      <w:r w:rsidR="007355E2">
        <w:rPr>
          <w:rFonts w:cs="Arial"/>
          <w:sz w:val="24"/>
          <w:szCs w:val="24"/>
          <w:lang w:val="en-GB"/>
        </w:rPr>
        <w:t xml:space="preserve">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each.</w:t>
      </w:r>
    </w:p>
    <w:p w14:paraId="7E708FA6" w14:textId="77777777" w:rsidR="000C31B2" w:rsidRDefault="000C31B2" w:rsidP="00A0244C">
      <w:pPr>
        <w:jc w:val="both"/>
        <w:rPr>
          <w:rFonts w:cs="Arial"/>
          <w:sz w:val="24"/>
          <w:szCs w:val="24"/>
          <w:lang w:val="en-GB"/>
        </w:rPr>
      </w:pPr>
    </w:p>
    <w:p w14:paraId="464B07E8" w14:textId="77777777" w:rsidR="000C31B2" w:rsidRDefault="000C31B2" w:rsidP="00A0244C">
      <w:pPr>
        <w:jc w:val="both"/>
        <w:rPr>
          <w:rFonts w:cs="Arial"/>
          <w:sz w:val="24"/>
          <w:szCs w:val="24"/>
          <w:lang w:val="en-GB"/>
        </w:rPr>
      </w:pPr>
    </w:p>
    <w:p w14:paraId="77F07409" w14:textId="77777777" w:rsidR="000C31B2" w:rsidRPr="00BC1ABD" w:rsidRDefault="000C31B2" w:rsidP="00A0244C">
      <w:pPr>
        <w:jc w:val="both"/>
        <w:rPr>
          <w:rFonts w:cs="Arial"/>
          <w:sz w:val="20"/>
          <w:szCs w:val="20"/>
          <w:lang w:val="en-GB"/>
        </w:rPr>
      </w:pPr>
    </w:p>
    <w:p w14:paraId="6185D109" w14:textId="77777777" w:rsidR="00793E5F" w:rsidRDefault="00793E5F" w:rsidP="003336AC">
      <w:pPr>
        <w:pStyle w:val="Caption"/>
        <w:rPr>
          <w:lang w:val="en-GB"/>
        </w:rPr>
      </w:pPr>
    </w:p>
    <w:p w14:paraId="53AB5FBD" w14:textId="2E0979B7" w:rsidR="00A0244C" w:rsidRPr="00BC1ABD" w:rsidRDefault="00A0244C" w:rsidP="00A0244C">
      <w:pPr>
        <w:pStyle w:val="Caption"/>
        <w:jc w:val="center"/>
        <w:rPr>
          <w:rFonts w:cs="Arial"/>
          <w:b/>
          <w:sz w:val="24"/>
          <w:szCs w:val="24"/>
          <w:lang w:val="en-GB"/>
        </w:rPr>
      </w:pPr>
      <w:bookmarkStart w:id="320" w:name="_Toc152931418"/>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67</w:t>
      </w:r>
      <w:r w:rsidRPr="00BC1ABD">
        <w:rPr>
          <w:lang w:val="en-GB"/>
        </w:rPr>
        <w:fldChar w:fldCharType="end"/>
      </w:r>
      <w:r w:rsidRPr="00BC1ABD">
        <w:rPr>
          <w:lang w:val="en-GB"/>
        </w:rPr>
        <w:t>: Competition in settlements with more than 100,000 inhabitants</w:t>
      </w:r>
      <w:bookmarkEnd w:id="320"/>
    </w:p>
    <w:tbl>
      <w:tblPr>
        <w:tblW w:w="11250" w:type="dxa"/>
        <w:tblInd w:w="-1095" w:type="dxa"/>
        <w:tblLayout w:type="fixed"/>
        <w:tblCellMar>
          <w:left w:w="70" w:type="dxa"/>
          <w:right w:w="70" w:type="dxa"/>
        </w:tblCellMar>
        <w:tblLook w:val="04A0" w:firstRow="1" w:lastRow="0" w:firstColumn="1" w:lastColumn="0" w:noHBand="0" w:noVBand="1"/>
      </w:tblPr>
      <w:tblGrid>
        <w:gridCol w:w="1788"/>
        <w:gridCol w:w="1362"/>
        <w:gridCol w:w="889"/>
        <w:gridCol w:w="1271"/>
        <w:gridCol w:w="1170"/>
        <w:gridCol w:w="1350"/>
        <w:gridCol w:w="1080"/>
        <w:gridCol w:w="1080"/>
        <w:gridCol w:w="1260"/>
      </w:tblGrid>
      <w:tr w:rsidR="00A0244C" w:rsidRPr="00BC1ABD" w14:paraId="442166EE" w14:textId="77777777" w:rsidTr="00E82B0B">
        <w:trPr>
          <w:trHeight w:val="630"/>
        </w:trPr>
        <w:tc>
          <w:tcPr>
            <w:tcW w:w="1788" w:type="dxa"/>
            <w:tcBorders>
              <w:top w:val="single" w:sz="12" w:space="0" w:color="auto"/>
              <w:left w:val="single" w:sz="12" w:space="0" w:color="auto"/>
              <w:bottom w:val="single" w:sz="12" w:space="0" w:color="auto"/>
              <w:right w:val="single" w:sz="4" w:space="0" w:color="auto"/>
            </w:tcBorders>
            <w:shd w:val="clear" w:color="000000" w:fill="00B0F0"/>
            <w:noWrap/>
            <w:vAlign w:val="bottom"/>
            <w:hideMark/>
          </w:tcPr>
          <w:p w14:paraId="7084C1A1"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 </w:t>
            </w:r>
          </w:p>
        </w:tc>
        <w:tc>
          <w:tcPr>
            <w:tcW w:w="1362" w:type="dxa"/>
            <w:tcBorders>
              <w:top w:val="single" w:sz="12" w:space="0" w:color="auto"/>
              <w:left w:val="nil"/>
              <w:bottom w:val="single" w:sz="12" w:space="0" w:color="auto"/>
              <w:right w:val="single" w:sz="4" w:space="0" w:color="auto"/>
            </w:tcBorders>
            <w:shd w:val="clear" w:color="000000" w:fill="00B0F0"/>
            <w:vAlign w:val="bottom"/>
            <w:hideMark/>
          </w:tcPr>
          <w:p w14:paraId="545BBE34" w14:textId="22957C83" w:rsidR="00A0244C" w:rsidRPr="00BC1ABD" w:rsidRDefault="00A0244C" w:rsidP="00670CD8">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Population</w:t>
            </w:r>
          </w:p>
        </w:tc>
        <w:tc>
          <w:tcPr>
            <w:tcW w:w="889" w:type="dxa"/>
            <w:tcBorders>
              <w:top w:val="single" w:sz="12" w:space="0" w:color="auto"/>
              <w:left w:val="nil"/>
              <w:bottom w:val="single" w:sz="12" w:space="0" w:color="auto"/>
              <w:right w:val="single" w:sz="4" w:space="0" w:color="auto"/>
            </w:tcBorders>
            <w:shd w:val="clear" w:color="000000" w:fill="00B0F0"/>
            <w:vAlign w:val="bottom"/>
            <w:hideMark/>
          </w:tcPr>
          <w:p w14:paraId="5E9CA34F"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House</w:t>
            </w:r>
          </w:p>
          <w:p w14:paraId="3A320669" w14:textId="0C044E21" w:rsidR="00A0244C" w:rsidRPr="00BC1ABD" w:rsidRDefault="00C44D68"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H</w:t>
            </w:r>
            <w:r w:rsidR="00A0244C" w:rsidRPr="00BC1ABD">
              <w:rPr>
                <w:rFonts w:eastAsia="Times New Roman" w:cs="Calibri"/>
                <w:b/>
                <w:bCs/>
                <w:color w:val="000000"/>
                <w:lang w:val="en-GB" w:eastAsia="sl-SI"/>
              </w:rPr>
              <w:t>olds</w:t>
            </w:r>
          </w:p>
        </w:tc>
        <w:tc>
          <w:tcPr>
            <w:tcW w:w="1271" w:type="dxa"/>
            <w:tcBorders>
              <w:top w:val="single" w:sz="12" w:space="0" w:color="auto"/>
              <w:left w:val="nil"/>
              <w:bottom w:val="single" w:sz="12" w:space="0" w:color="auto"/>
              <w:right w:val="single" w:sz="4" w:space="0" w:color="auto"/>
            </w:tcBorders>
            <w:shd w:val="clear" w:color="000000" w:fill="00B0F0"/>
            <w:vAlign w:val="bottom"/>
            <w:hideMark/>
          </w:tcPr>
          <w:p w14:paraId="4A3CA52E" w14:textId="5BD66FFA" w:rsidR="00A0244C" w:rsidRPr="00BC1ABD" w:rsidRDefault="00A0244C" w:rsidP="00670CD8">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All subscribers</w:t>
            </w:r>
          </w:p>
        </w:tc>
        <w:tc>
          <w:tcPr>
            <w:tcW w:w="1170" w:type="dxa"/>
            <w:tcBorders>
              <w:top w:val="single" w:sz="12" w:space="0" w:color="auto"/>
              <w:left w:val="nil"/>
              <w:bottom w:val="single" w:sz="12" w:space="0" w:color="auto"/>
              <w:right w:val="single" w:sz="4" w:space="0" w:color="auto"/>
            </w:tcBorders>
            <w:shd w:val="clear" w:color="000000" w:fill="00B0F0"/>
            <w:vAlign w:val="bottom"/>
            <w:hideMark/>
          </w:tcPr>
          <w:p w14:paraId="08557864" w14:textId="4C92A11D" w:rsidR="00A0244C" w:rsidRPr="00BC1ABD" w:rsidRDefault="00A0244C" w:rsidP="00670CD8">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Magticom share</w:t>
            </w:r>
          </w:p>
        </w:tc>
        <w:tc>
          <w:tcPr>
            <w:tcW w:w="1350" w:type="dxa"/>
            <w:tcBorders>
              <w:top w:val="single" w:sz="12" w:space="0" w:color="auto"/>
              <w:left w:val="nil"/>
              <w:bottom w:val="single" w:sz="12" w:space="0" w:color="auto"/>
              <w:right w:val="single" w:sz="4" w:space="0" w:color="auto"/>
            </w:tcBorders>
            <w:shd w:val="clear" w:color="000000" w:fill="00B0F0"/>
            <w:vAlign w:val="bottom"/>
            <w:hideMark/>
          </w:tcPr>
          <w:p w14:paraId="51F85537"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Silknet share</w:t>
            </w:r>
          </w:p>
        </w:tc>
        <w:tc>
          <w:tcPr>
            <w:tcW w:w="1080" w:type="dxa"/>
            <w:tcBorders>
              <w:top w:val="single" w:sz="12" w:space="0" w:color="auto"/>
              <w:left w:val="nil"/>
              <w:bottom w:val="single" w:sz="12" w:space="0" w:color="auto"/>
              <w:right w:val="single" w:sz="4" w:space="0" w:color="auto"/>
            </w:tcBorders>
            <w:shd w:val="clear" w:color="000000" w:fill="00B0F0"/>
            <w:vAlign w:val="bottom"/>
            <w:hideMark/>
          </w:tcPr>
          <w:p w14:paraId="3EEA045C"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Skytel share</w:t>
            </w:r>
          </w:p>
        </w:tc>
        <w:tc>
          <w:tcPr>
            <w:tcW w:w="1080" w:type="dxa"/>
            <w:tcBorders>
              <w:top w:val="single" w:sz="12" w:space="0" w:color="auto"/>
              <w:left w:val="nil"/>
              <w:bottom w:val="single" w:sz="12" w:space="0" w:color="auto"/>
              <w:right w:val="single" w:sz="4" w:space="0" w:color="auto"/>
            </w:tcBorders>
            <w:shd w:val="clear" w:color="000000" w:fill="00B0F0"/>
            <w:vAlign w:val="bottom"/>
            <w:hideMark/>
          </w:tcPr>
          <w:p w14:paraId="32B60E0C" w14:textId="5A29C6D2"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Akhali Kselebi</w:t>
            </w:r>
            <w:r w:rsidR="005A0B56">
              <w:rPr>
                <w:rFonts w:eastAsia="Times New Roman" w:cs="Calibri"/>
                <w:b/>
                <w:bCs/>
                <w:color w:val="000000"/>
                <w:lang w:val="en-GB" w:eastAsia="sl-SI"/>
              </w:rPr>
              <w:t xml:space="preserve"> </w:t>
            </w:r>
            <w:r w:rsidRPr="00BC1ABD">
              <w:rPr>
                <w:rFonts w:eastAsia="Times New Roman" w:cs="Calibri"/>
                <w:b/>
                <w:bCs/>
                <w:color w:val="000000"/>
                <w:lang w:val="en-GB" w:eastAsia="sl-SI"/>
              </w:rPr>
              <w:t>share</w:t>
            </w:r>
          </w:p>
        </w:tc>
        <w:tc>
          <w:tcPr>
            <w:tcW w:w="1260" w:type="dxa"/>
            <w:tcBorders>
              <w:top w:val="single" w:sz="12" w:space="0" w:color="auto"/>
              <w:left w:val="nil"/>
              <w:bottom w:val="single" w:sz="12" w:space="0" w:color="auto"/>
              <w:right w:val="single" w:sz="12" w:space="0" w:color="auto"/>
            </w:tcBorders>
            <w:shd w:val="clear" w:color="000000" w:fill="00B0F0"/>
            <w:vAlign w:val="bottom"/>
            <w:hideMark/>
          </w:tcPr>
          <w:p w14:paraId="0D45A6EC"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Other share</w:t>
            </w:r>
          </w:p>
        </w:tc>
      </w:tr>
      <w:tr w:rsidR="00A0244C" w:rsidRPr="00BC1ABD" w14:paraId="449071DF" w14:textId="77777777" w:rsidTr="00E82B0B">
        <w:trPr>
          <w:trHeight w:val="315"/>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50767EF8"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Tbilisi</w:t>
            </w:r>
          </w:p>
        </w:tc>
        <w:tc>
          <w:tcPr>
            <w:tcW w:w="1362" w:type="dxa"/>
            <w:tcBorders>
              <w:top w:val="nil"/>
              <w:left w:val="nil"/>
              <w:bottom w:val="single" w:sz="4" w:space="0" w:color="auto"/>
              <w:right w:val="single" w:sz="4" w:space="0" w:color="auto"/>
            </w:tcBorders>
            <w:shd w:val="clear" w:color="auto" w:fill="auto"/>
            <w:vAlign w:val="bottom"/>
            <w:hideMark/>
          </w:tcPr>
          <w:p w14:paraId="6CF1C70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1,108,717</w:t>
            </w:r>
          </w:p>
        </w:tc>
        <w:tc>
          <w:tcPr>
            <w:tcW w:w="889" w:type="dxa"/>
            <w:tcBorders>
              <w:top w:val="nil"/>
              <w:left w:val="nil"/>
              <w:bottom w:val="single" w:sz="4" w:space="0" w:color="auto"/>
              <w:right w:val="single" w:sz="4" w:space="0" w:color="auto"/>
            </w:tcBorders>
            <w:shd w:val="clear" w:color="auto" w:fill="auto"/>
            <w:vAlign w:val="bottom"/>
            <w:hideMark/>
          </w:tcPr>
          <w:p w14:paraId="126C8C8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464,688</w:t>
            </w:r>
          </w:p>
        </w:tc>
        <w:tc>
          <w:tcPr>
            <w:tcW w:w="1271" w:type="dxa"/>
            <w:tcBorders>
              <w:top w:val="nil"/>
              <w:left w:val="nil"/>
              <w:bottom w:val="single" w:sz="4" w:space="0" w:color="auto"/>
              <w:right w:val="single" w:sz="4" w:space="0" w:color="auto"/>
            </w:tcBorders>
            <w:shd w:val="clear" w:color="auto" w:fill="auto"/>
            <w:vAlign w:val="bottom"/>
            <w:hideMark/>
          </w:tcPr>
          <w:p w14:paraId="69586AD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414,183</w:t>
            </w:r>
          </w:p>
        </w:tc>
        <w:tc>
          <w:tcPr>
            <w:tcW w:w="1170" w:type="dxa"/>
            <w:tcBorders>
              <w:top w:val="nil"/>
              <w:left w:val="nil"/>
              <w:bottom w:val="single" w:sz="4" w:space="0" w:color="auto"/>
              <w:right w:val="single" w:sz="4" w:space="0" w:color="auto"/>
            </w:tcBorders>
            <w:shd w:val="clear" w:color="auto" w:fill="auto"/>
            <w:vAlign w:val="bottom"/>
            <w:hideMark/>
          </w:tcPr>
          <w:p w14:paraId="00088D3C" w14:textId="77777777" w:rsidR="00A0244C" w:rsidRPr="00BC1ABD" w:rsidRDefault="00A0244C" w:rsidP="007354E3">
            <w:pPr>
              <w:spacing w:after="0" w:line="240" w:lineRule="auto"/>
              <w:jc w:val="right"/>
              <w:rPr>
                <w:rFonts w:eastAsia="Times New Roman" w:cs="Calibri"/>
                <w:color w:val="FF0000"/>
                <w:lang w:val="en-GB" w:eastAsia="sl-SI"/>
              </w:rPr>
            </w:pPr>
            <w:r w:rsidRPr="00BC1ABD">
              <w:rPr>
                <w:color w:val="FF0000"/>
                <w:lang w:val="en-GB"/>
              </w:rPr>
              <w:t>57.68</w:t>
            </w:r>
          </w:p>
        </w:tc>
        <w:tc>
          <w:tcPr>
            <w:tcW w:w="1350" w:type="dxa"/>
            <w:tcBorders>
              <w:top w:val="nil"/>
              <w:left w:val="nil"/>
              <w:bottom w:val="single" w:sz="4" w:space="0" w:color="auto"/>
              <w:right w:val="single" w:sz="4" w:space="0" w:color="auto"/>
            </w:tcBorders>
            <w:shd w:val="clear" w:color="auto" w:fill="auto"/>
            <w:vAlign w:val="bottom"/>
            <w:hideMark/>
          </w:tcPr>
          <w:p w14:paraId="631EEE5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34.36</w:t>
            </w:r>
          </w:p>
        </w:tc>
        <w:tc>
          <w:tcPr>
            <w:tcW w:w="1080" w:type="dxa"/>
            <w:tcBorders>
              <w:top w:val="nil"/>
              <w:left w:val="nil"/>
              <w:bottom w:val="single" w:sz="4" w:space="0" w:color="auto"/>
              <w:right w:val="single" w:sz="4" w:space="0" w:color="auto"/>
            </w:tcBorders>
            <w:shd w:val="clear" w:color="auto" w:fill="auto"/>
            <w:vAlign w:val="bottom"/>
            <w:hideMark/>
          </w:tcPr>
          <w:p w14:paraId="34A98A1F"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0.04</w:t>
            </w:r>
          </w:p>
        </w:tc>
        <w:tc>
          <w:tcPr>
            <w:tcW w:w="1080" w:type="dxa"/>
            <w:tcBorders>
              <w:top w:val="nil"/>
              <w:left w:val="nil"/>
              <w:bottom w:val="single" w:sz="4" w:space="0" w:color="auto"/>
              <w:right w:val="single" w:sz="4" w:space="0" w:color="auto"/>
            </w:tcBorders>
            <w:shd w:val="clear" w:color="auto" w:fill="auto"/>
            <w:vAlign w:val="bottom"/>
            <w:hideMark/>
          </w:tcPr>
          <w:p w14:paraId="67248F9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6.81</w:t>
            </w:r>
          </w:p>
        </w:tc>
        <w:tc>
          <w:tcPr>
            <w:tcW w:w="1260" w:type="dxa"/>
            <w:tcBorders>
              <w:top w:val="nil"/>
              <w:left w:val="nil"/>
              <w:bottom w:val="single" w:sz="4" w:space="0" w:color="auto"/>
              <w:right w:val="single" w:sz="12" w:space="0" w:color="auto"/>
            </w:tcBorders>
            <w:shd w:val="clear" w:color="auto" w:fill="auto"/>
            <w:vAlign w:val="bottom"/>
            <w:hideMark/>
          </w:tcPr>
          <w:p w14:paraId="00A4926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1.11</w:t>
            </w:r>
          </w:p>
        </w:tc>
      </w:tr>
      <w:tr w:rsidR="00A0244C" w:rsidRPr="00BC1ABD" w14:paraId="15C4F56D" w14:textId="77777777" w:rsidTr="00E82B0B">
        <w:trPr>
          <w:trHeight w:val="300"/>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746D61A9"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Batumi</w:t>
            </w:r>
          </w:p>
        </w:tc>
        <w:tc>
          <w:tcPr>
            <w:tcW w:w="1362" w:type="dxa"/>
            <w:tcBorders>
              <w:top w:val="nil"/>
              <w:left w:val="nil"/>
              <w:bottom w:val="single" w:sz="4" w:space="0" w:color="auto"/>
              <w:right w:val="single" w:sz="4" w:space="0" w:color="auto"/>
            </w:tcBorders>
            <w:shd w:val="clear" w:color="auto" w:fill="auto"/>
            <w:vAlign w:val="bottom"/>
            <w:hideMark/>
          </w:tcPr>
          <w:p w14:paraId="23487A0C"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152,839</w:t>
            </w:r>
          </w:p>
        </w:tc>
        <w:tc>
          <w:tcPr>
            <w:tcW w:w="889" w:type="dxa"/>
            <w:tcBorders>
              <w:top w:val="nil"/>
              <w:left w:val="nil"/>
              <w:bottom w:val="single" w:sz="4" w:space="0" w:color="auto"/>
              <w:right w:val="single" w:sz="4" w:space="0" w:color="auto"/>
            </w:tcBorders>
            <w:shd w:val="clear" w:color="auto" w:fill="auto"/>
            <w:vAlign w:val="bottom"/>
            <w:hideMark/>
          </w:tcPr>
          <w:p w14:paraId="2E7ED65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57,459</w:t>
            </w:r>
          </w:p>
        </w:tc>
        <w:tc>
          <w:tcPr>
            <w:tcW w:w="1271" w:type="dxa"/>
            <w:tcBorders>
              <w:top w:val="nil"/>
              <w:left w:val="nil"/>
              <w:bottom w:val="single" w:sz="4" w:space="0" w:color="auto"/>
              <w:right w:val="single" w:sz="4" w:space="0" w:color="auto"/>
            </w:tcBorders>
            <w:shd w:val="clear" w:color="auto" w:fill="auto"/>
            <w:vAlign w:val="bottom"/>
            <w:hideMark/>
          </w:tcPr>
          <w:p w14:paraId="52F148A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73,486</w:t>
            </w:r>
          </w:p>
        </w:tc>
        <w:tc>
          <w:tcPr>
            <w:tcW w:w="1170" w:type="dxa"/>
            <w:tcBorders>
              <w:top w:val="nil"/>
              <w:left w:val="nil"/>
              <w:bottom w:val="single" w:sz="4" w:space="0" w:color="auto"/>
              <w:right w:val="single" w:sz="4" w:space="0" w:color="auto"/>
            </w:tcBorders>
            <w:shd w:val="clear" w:color="auto" w:fill="auto"/>
            <w:vAlign w:val="bottom"/>
            <w:hideMark/>
          </w:tcPr>
          <w:p w14:paraId="0D7D1D5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34.72</w:t>
            </w:r>
          </w:p>
        </w:tc>
        <w:tc>
          <w:tcPr>
            <w:tcW w:w="1350" w:type="dxa"/>
            <w:tcBorders>
              <w:top w:val="nil"/>
              <w:left w:val="nil"/>
              <w:bottom w:val="single" w:sz="4" w:space="0" w:color="auto"/>
              <w:right w:val="single" w:sz="4" w:space="0" w:color="auto"/>
            </w:tcBorders>
            <w:shd w:val="clear" w:color="auto" w:fill="auto"/>
            <w:vAlign w:val="bottom"/>
            <w:hideMark/>
          </w:tcPr>
          <w:p w14:paraId="13DB50F3" w14:textId="77777777" w:rsidR="00A0244C" w:rsidRPr="00BC1ABD" w:rsidRDefault="00A0244C" w:rsidP="007354E3">
            <w:pPr>
              <w:spacing w:after="0" w:line="240" w:lineRule="auto"/>
              <w:jc w:val="right"/>
              <w:rPr>
                <w:rFonts w:eastAsia="Times New Roman" w:cs="Calibri"/>
                <w:color w:val="FF0000"/>
                <w:lang w:val="en-GB" w:eastAsia="sl-SI"/>
              </w:rPr>
            </w:pPr>
            <w:r w:rsidRPr="00BC1ABD">
              <w:rPr>
                <w:color w:val="FF0000"/>
                <w:lang w:val="en-GB"/>
              </w:rPr>
              <w:t>62.42</w:t>
            </w:r>
          </w:p>
        </w:tc>
        <w:tc>
          <w:tcPr>
            <w:tcW w:w="1080" w:type="dxa"/>
            <w:tcBorders>
              <w:top w:val="nil"/>
              <w:left w:val="nil"/>
              <w:bottom w:val="single" w:sz="4" w:space="0" w:color="auto"/>
              <w:right w:val="single" w:sz="4" w:space="0" w:color="auto"/>
            </w:tcBorders>
            <w:shd w:val="clear" w:color="auto" w:fill="auto"/>
            <w:vAlign w:val="bottom"/>
            <w:hideMark/>
          </w:tcPr>
          <w:p w14:paraId="5FBD328C"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0.13</w:t>
            </w:r>
          </w:p>
        </w:tc>
        <w:tc>
          <w:tcPr>
            <w:tcW w:w="1080" w:type="dxa"/>
            <w:tcBorders>
              <w:top w:val="nil"/>
              <w:left w:val="nil"/>
              <w:bottom w:val="single" w:sz="4" w:space="0" w:color="auto"/>
              <w:right w:val="single" w:sz="4" w:space="0" w:color="auto"/>
            </w:tcBorders>
            <w:shd w:val="clear" w:color="auto" w:fill="auto"/>
            <w:vAlign w:val="bottom"/>
            <w:hideMark/>
          </w:tcPr>
          <w:p w14:paraId="78490E81"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0.00</w:t>
            </w:r>
          </w:p>
        </w:tc>
        <w:tc>
          <w:tcPr>
            <w:tcW w:w="1260" w:type="dxa"/>
            <w:tcBorders>
              <w:top w:val="nil"/>
              <w:left w:val="nil"/>
              <w:bottom w:val="single" w:sz="4" w:space="0" w:color="auto"/>
              <w:right w:val="single" w:sz="12" w:space="0" w:color="auto"/>
            </w:tcBorders>
            <w:shd w:val="clear" w:color="auto" w:fill="auto"/>
            <w:vAlign w:val="bottom"/>
            <w:hideMark/>
          </w:tcPr>
          <w:p w14:paraId="25BE6F6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2.74</w:t>
            </w:r>
          </w:p>
        </w:tc>
      </w:tr>
      <w:tr w:rsidR="00A0244C" w:rsidRPr="00BC1ABD" w14:paraId="750978DD" w14:textId="77777777" w:rsidTr="00E82B0B">
        <w:trPr>
          <w:trHeight w:val="300"/>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400807C0"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Kutaisi</w:t>
            </w:r>
          </w:p>
        </w:tc>
        <w:tc>
          <w:tcPr>
            <w:tcW w:w="1362" w:type="dxa"/>
            <w:tcBorders>
              <w:top w:val="nil"/>
              <w:left w:val="nil"/>
              <w:bottom w:val="single" w:sz="4" w:space="0" w:color="auto"/>
              <w:right w:val="single" w:sz="4" w:space="0" w:color="auto"/>
            </w:tcBorders>
            <w:shd w:val="clear" w:color="auto" w:fill="auto"/>
            <w:vAlign w:val="bottom"/>
            <w:hideMark/>
          </w:tcPr>
          <w:p w14:paraId="0F1E309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147,635</w:t>
            </w:r>
          </w:p>
        </w:tc>
        <w:tc>
          <w:tcPr>
            <w:tcW w:w="889" w:type="dxa"/>
            <w:tcBorders>
              <w:top w:val="nil"/>
              <w:left w:val="nil"/>
              <w:bottom w:val="single" w:sz="4" w:space="0" w:color="auto"/>
              <w:right w:val="single" w:sz="4" w:space="0" w:color="auto"/>
            </w:tcBorders>
            <w:shd w:val="clear" w:color="auto" w:fill="auto"/>
            <w:vAlign w:val="bottom"/>
            <w:hideMark/>
          </w:tcPr>
          <w:p w14:paraId="143AAA2F"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45,249</w:t>
            </w:r>
          </w:p>
        </w:tc>
        <w:tc>
          <w:tcPr>
            <w:tcW w:w="1271" w:type="dxa"/>
            <w:tcBorders>
              <w:top w:val="nil"/>
              <w:left w:val="nil"/>
              <w:bottom w:val="single" w:sz="4" w:space="0" w:color="auto"/>
              <w:right w:val="single" w:sz="4" w:space="0" w:color="auto"/>
            </w:tcBorders>
            <w:shd w:val="clear" w:color="auto" w:fill="auto"/>
            <w:vAlign w:val="bottom"/>
            <w:hideMark/>
          </w:tcPr>
          <w:p w14:paraId="299F8FB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44,049</w:t>
            </w:r>
          </w:p>
        </w:tc>
        <w:tc>
          <w:tcPr>
            <w:tcW w:w="1170" w:type="dxa"/>
            <w:tcBorders>
              <w:top w:val="nil"/>
              <w:left w:val="nil"/>
              <w:bottom w:val="single" w:sz="4" w:space="0" w:color="auto"/>
              <w:right w:val="single" w:sz="4" w:space="0" w:color="auto"/>
            </w:tcBorders>
            <w:shd w:val="clear" w:color="auto" w:fill="auto"/>
            <w:vAlign w:val="bottom"/>
            <w:hideMark/>
          </w:tcPr>
          <w:p w14:paraId="695818C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37.93</w:t>
            </w:r>
          </w:p>
        </w:tc>
        <w:tc>
          <w:tcPr>
            <w:tcW w:w="1350" w:type="dxa"/>
            <w:tcBorders>
              <w:top w:val="nil"/>
              <w:left w:val="nil"/>
              <w:bottom w:val="single" w:sz="4" w:space="0" w:color="auto"/>
              <w:right w:val="single" w:sz="4" w:space="0" w:color="auto"/>
            </w:tcBorders>
            <w:shd w:val="clear" w:color="auto" w:fill="auto"/>
            <w:vAlign w:val="bottom"/>
            <w:hideMark/>
          </w:tcPr>
          <w:p w14:paraId="73BB227E" w14:textId="77777777" w:rsidR="00A0244C" w:rsidRPr="00BC1ABD" w:rsidRDefault="00A0244C" w:rsidP="007354E3">
            <w:pPr>
              <w:spacing w:after="0" w:line="240" w:lineRule="auto"/>
              <w:jc w:val="right"/>
              <w:rPr>
                <w:rFonts w:eastAsia="Times New Roman" w:cs="Calibri"/>
                <w:color w:val="FF0000"/>
                <w:lang w:val="en-GB" w:eastAsia="sl-SI"/>
              </w:rPr>
            </w:pPr>
            <w:r w:rsidRPr="00BC1ABD">
              <w:rPr>
                <w:color w:val="FF0000"/>
                <w:lang w:val="en-GB"/>
              </w:rPr>
              <w:t>44.91</w:t>
            </w:r>
          </w:p>
        </w:tc>
        <w:tc>
          <w:tcPr>
            <w:tcW w:w="1080" w:type="dxa"/>
            <w:tcBorders>
              <w:top w:val="nil"/>
              <w:left w:val="nil"/>
              <w:bottom w:val="single" w:sz="4" w:space="0" w:color="auto"/>
              <w:right w:val="single" w:sz="4" w:space="0" w:color="auto"/>
            </w:tcBorders>
            <w:shd w:val="clear" w:color="auto" w:fill="auto"/>
            <w:vAlign w:val="bottom"/>
            <w:hideMark/>
          </w:tcPr>
          <w:p w14:paraId="6D272F4F"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0.14</w:t>
            </w:r>
          </w:p>
        </w:tc>
        <w:tc>
          <w:tcPr>
            <w:tcW w:w="1080" w:type="dxa"/>
            <w:tcBorders>
              <w:top w:val="nil"/>
              <w:left w:val="nil"/>
              <w:bottom w:val="single" w:sz="4" w:space="0" w:color="auto"/>
              <w:right w:val="single" w:sz="4" w:space="0" w:color="auto"/>
            </w:tcBorders>
            <w:shd w:val="clear" w:color="auto" w:fill="auto"/>
            <w:vAlign w:val="bottom"/>
            <w:hideMark/>
          </w:tcPr>
          <w:p w14:paraId="134EED8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16.95</w:t>
            </w:r>
          </w:p>
        </w:tc>
        <w:tc>
          <w:tcPr>
            <w:tcW w:w="1260" w:type="dxa"/>
            <w:tcBorders>
              <w:top w:val="nil"/>
              <w:left w:val="nil"/>
              <w:bottom w:val="single" w:sz="4" w:space="0" w:color="auto"/>
              <w:right w:val="single" w:sz="12" w:space="0" w:color="auto"/>
            </w:tcBorders>
            <w:shd w:val="clear" w:color="auto" w:fill="auto"/>
            <w:vAlign w:val="bottom"/>
            <w:hideMark/>
          </w:tcPr>
          <w:p w14:paraId="55FA0E7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0.07</w:t>
            </w:r>
          </w:p>
        </w:tc>
      </w:tr>
      <w:tr w:rsidR="00A0244C" w:rsidRPr="00BC1ABD" w14:paraId="2A2BC6AE" w14:textId="77777777" w:rsidTr="00E82B0B">
        <w:trPr>
          <w:trHeight w:val="315"/>
        </w:trPr>
        <w:tc>
          <w:tcPr>
            <w:tcW w:w="1788" w:type="dxa"/>
            <w:tcBorders>
              <w:top w:val="nil"/>
              <w:left w:val="single" w:sz="12" w:space="0" w:color="auto"/>
              <w:bottom w:val="nil"/>
              <w:right w:val="single" w:sz="4" w:space="0" w:color="auto"/>
            </w:tcBorders>
            <w:shd w:val="clear" w:color="auto" w:fill="auto"/>
            <w:noWrap/>
            <w:vAlign w:val="bottom"/>
            <w:hideMark/>
          </w:tcPr>
          <w:p w14:paraId="076EB8BD"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Rustavi</w:t>
            </w:r>
          </w:p>
        </w:tc>
        <w:tc>
          <w:tcPr>
            <w:tcW w:w="1362" w:type="dxa"/>
            <w:tcBorders>
              <w:top w:val="nil"/>
              <w:left w:val="nil"/>
              <w:bottom w:val="nil"/>
              <w:right w:val="single" w:sz="4" w:space="0" w:color="auto"/>
            </w:tcBorders>
            <w:shd w:val="clear" w:color="auto" w:fill="auto"/>
            <w:vAlign w:val="bottom"/>
            <w:hideMark/>
          </w:tcPr>
          <w:p w14:paraId="3DB1E74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125,103</w:t>
            </w:r>
          </w:p>
        </w:tc>
        <w:tc>
          <w:tcPr>
            <w:tcW w:w="889" w:type="dxa"/>
            <w:tcBorders>
              <w:top w:val="nil"/>
              <w:left w:val="nil"/>
              <w:bottom w:val="nil"/>
              <w:right w:val="single" w:sz="4" w:space="0" w:color="auto"/>
            </w:tcBorders>
            <w:shd w:val="clear" w:color="auto" w:fill="auto"/>
            <w:vAlign w:val="bottom"/>
            <w:hideMark/>
          </w:tcPr>
          <w:p w14:paraId="6D02669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37,488</w:t>
            </w:r>
          </w:p>
        </w:tc>
        <w:tc>
          <w:tcPr>
            <w:tcW w:w="1271" w:type="dxa"/>
            <w:tcBorders>
              <w:top w:val="nil"/>
              <w:left w:val="nil"/>
              <w:bottom w:val="nil"/>
              <w:right w:val="single" w:sz="4" w:space="0" w:color="auto"/>
            </w:tcBorders>
            <w:shd w:val="clear" w:color="auto" w:fill="auto"/>
            <w:vAlign w:val="bottom"/>
            <w:hideMark/>
          </w:tcPr>
          <w:p w14:paraId="1027440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48,545</w:t>
            </w:r>
          </w:p>
        </w:tc>
        <w:tc>
          <w:tcPr>
            <w:tcW w:w="1170" w:type="dxa"/>
            <w:tcBorders>
              <w:top w:val="nil"/>
              <w:left w:val="nil"/>
              <w:bottom w:val="nil"/>
              <w:right w:val="single" w:sz="4" w:space="0" w:color="auto"/>
            </w:tcBorders>
            <w:shd w:val="clear" w:color="auto" w:fill="auto"/>
            <w:vAlign w:val="bottom"/>
            <w:hideMark/>
          </w:tcPr>
          <w:p w14:paraId="4D69231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22.54</w:t>
            </w:r>
          </w:p>
        </w:tc>
        <w:tc>
          <w:tcPr>
            <w:tcW w:w="1350" w:type="dxa"/>
            <w:tcBorders>
              <w:top w:val="nil"/>
              <w:left w:val="nil"/>
              <w:bottom w:val="nil"/>
              <w:right w:val="single" w:sz="4" w:space="0" w:color="auto"/>
            </w:tcBorders>
            <w:shd w:val="clear" w:color="auto" w:fill="auto"/>
            <w:vAlign w:val="bottom"/>
            <w:hideMark/>
          </w:tcPr>
          <w:p w14:paraId="5574412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23.69</w:t>
            </w:r>
          </w:p>
        </w:tc>
        <w:tc>
          <w:tcPr>
            <w:tcW w:w="1080" w:type="dxa"/>
            <w:tcBorders>
              <w:top w:val="nil"/>
              <w:left w:val="nil"/>
              <w:bottom w:val="nil"/>
              <w:right w:val="single" w:sz="4" w:space="0" w:color="auto"/>
            </w:tcBorders>
            <w:shd w:val="clear" w:color="auto" w:fill="auto"/>
            <w:vAlign w:val="bottom"/>
            <w:hideMark/>
          </w:tcPr>
          <w:p w14:paraId="67F49BE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0.00</w:t>
            </w:r>
          </w:p>
        </w:tc>
        <w:tc>
          <w:tcPr>
            <w:tcW w:w="1080" w:type="dxa"/>
            <w:tcBorders>
              <w:top w:val="nil"/>
              <w:left w:val="nil"/>
              <w:bottom w:val="nil"/>
              <w:right w:val="single" w:sz="4" w:space="0" w:color="auto"/>
            </w:tcBorders>
            <w:shd w:val="clear" w:color="auto" w:fill="auto"/>
            <w:vAlign w:val="bottom"/>
            <w:hideMark/>
          </w:tcPr>
          <w:p w14:paraId="2E0D0CB6" w14:textId="77777777" w:rsidR="00A0244C" w:rsidRPr="00BC1ABD" w:rsidRDefault="00A0244C" w:rsidP="007354E3">
            <w:pPr>
              <w:spacing w:after="0" w:line="240" w:lineRule="auto"/>
              <w:jc w:val="right"/>
              <w:rPr>
                <w:rFonts w:eastAsia="Times New Roman" w:cs="Calibri"/>
                <w:color w:val="FF0000"/>
                <w:lang w:val="en-GB" w:eastAsia="sl-SI"/>
              </w:rPr>
            </w:pPr>
            <w:r w:rsidRPr="00BC1ABD">
              <w:rPr>
                <w:color w:val="FF0000"/>
                <w:lang w:val="en-GB"/>
              </w:rPr>
              <w:t>53.77</w:t>
            </w:r>
          </w:p>
        </w:tc>
        <w:tc>
          <w:tcPr>
            <w:tcW w:w="1260" w:type="dxa"/>
            <w:tcBorders>
              <w:top w:val="nil"/>
              <w:left w:val="nil"/>
              <w:bottom w:val="nil"/>
              <w:right w:val="single" w:sz="12" w:space="0" w:color="auto"/>
            </w:tcBorders>
            <w:shd w:val="clear" w:color="auto" w:fill="auto"/>
            <w:vAlign w:val="bottom"/>
            <w:hideMark/>
          </w:tcPr>
          <w:p w14:paraId="45AD7344" w14:textId="77777777" w:rsidR="00A0244C" w:rsidRPr="00BC1ABD" w:rsidRDefault="00A0244C" w:rsidP="007354E3">
            <w:pPr>
              <w:spacing w:after="0" w:line="240" w:lineRule="auto"/>
              <w:jc w:val="right"/>
              <w:rPr>
                <w:rFonts w:eastAsia="Times New Roman" w:cs="Calibri"/>
                <w:color w:val="000000"/>
                <w:lang w:val="en-GB" w:eastAsia="sl-SI"/>
              </w:rPr>
            </w:pPr>
            <w:r w:rsidRPr="00BC1ABD">
              <w:rPr>
                <w:lang w:val="en-GB"/>
              </w:rPr>
              <w:t>0.00</w:t>
            </w:r>
          </w:p>
        </w:tc>
      </w:tr>
      <w:tr w:rsidR="00A0244C" w:rsidRPr="00BC1ABD" w14:paraId="5A969B53" w14:textId="77777777" w:rsidTr="00E82B0B">
        <w:trPr>
          <w:trHeight w:val="330"/>
        </w:trPr>
        <w:tc>
          <w:tcPr>
            <w:tcW w:w="1788"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6C71C5EB"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SUM (big 4 cities)</w:t>
            </w:r>
          </w:p>
        </w:tc>
        <w:tc>
          <w:tcPr>
            <w:tcW w:w="1362" w:type="dxa"/>
            <w:tcBorders>
              <w:top w:val="single" w:sz="12" w:space="0" w:color="auto"/>
              <w:left w:val="nil"/>
              <w:bottom w:val="single" w:sz="12" w:space="0" w:color="auto"/>
              <w:right w:val="single" w:sz="4" w:space="0" w:color="auto"/>
            </w:tcBorders>
            <w:shd w:val="clear" w:color="auto" w:fill="auto"/>
            <w:vAlign w:val="bottom"/>
            <w:hideMark/>
          </w:tcPr>
          <w:p w14:paraId="63C2B7DD"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1,534,294</w:t>
            </w:r>
          </w:p>
        </w:tc>
        <w:tc>
          <w:tcPr>
            <w:tcW w:w="889" w:type="dxa"/>
            <w:tcBorders>
              <w:top w:val="single" w:sz="12" w:space="0" w:color="auto"/>
              <w:left w:val="nil"/>
              <w:bottom w:val="single" w:sz="12" w:space="0" w:color="auto"/>
              <w:right w:val="single" w:sz="4" w:space="0" w:color="auto"/>
            </w:tcBorders>
            <w:shd w:val="clear" w:color="auto" w:fill="auto"/>
            <w:vAlign w:val="bottom"/>
            <w:hideMark/>
          </w:tcPr>
          <w:p w14:paraId="40147DEA"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604,884</w:t>
            </w:r>
          </w:p>
        </w:tc>
        <w:tc>
          <w:tcPr>
            <w:tcW w:w="1271" w:type="dxa"/>
            <w:tcBorders>
              <w:top w:val="single" w:sz="12" w:space="0" w:color="auto"/>
              <w:left w:val="nil"/>
              <w:bottom w:val="single" w:sz="12" w:space="0" w:color="auto"/>
              <w:right w:val="single" w:sz="4" w:space="0" w:color="auto"/>
            </w:tcBorders>
            <w:shd w:val="clear" w:color="auto" w:fill="auto"/>
            <w:vAlign w:val="bottom"/>
            <w:hideMark/>
          </w:tcPr>
          <w:p w14:paraId="6D2F51AC"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580,263</w:t>
            </w:r>
          </w:p>
        </w:tc>
        <w:tc>
          <w:tcPr>
            <w:tcW w:w="1170" w:type="dxa"/>
            <w:tcBorders>
              <w:top w:val="single" w:sz="12" w:space="0" w:color="auto"/>
              <w:left w:val="nil"/>
              <w:bottom w:val="single" w:sz="12" w:space="0" w:color="auto"/>
              <w:right w:val="single" w:sz="4" w:space="0" w:color="auto"/>
            </w:tcBorders>
            <w:shd w:val="clear" w:color="auto" w:fill="auto"/>
            <w:vAlign w:val="bottom"/>
            <w:hideMark/>
          </w:tcPr>
          <w:p w14:paraId="4B5D2141"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50.33</w:t>
            </w:r>
          </w:p>
        </w:tc>
        <w:tc>
          <w:tcPr>
            <w:tcW w:w="1350" w:type="dxa"/>
            <w:tcBorders>
              <w:top w:val="single" w:sz="12" w:space="0" w:color="auto"/>
              <w:left w:val="nil"/>
              <w:bottom w:val="single" w:sz="12" w:space="0" w:color="auto"/>
              <w:right w:val="single" w:sz="4" w:space="0" w:color="auto"/>
            </w:tcBorders>
            <w:shd w:val="clear" w:color="auto" w:fill="auto"/>
            <w:vAlign w:val="bottom"/>
            <w:hideMark/>
          </w:tcPr>
          <w:p w14:paraId="4ED1987F"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37.82</w:t>
            </w:r>
          </w:p>
        </w:tc>
        <w:tc>
          <w:tcPr>
            <w:tcW w:w="1080" w:type="dxa"/>
            <w:tcBorders>
              <w:top w:val="single" w:sz="12" w:space="0" w:color="auto"/>
              <w:left w:val="nil"/>
              <w:bottom w:val="single" w:sz="12" w:space="0" w:color="auto"/>
              <w:right w:val="single" w:sz="4" w:space="0" w:color="auto"/>
            </w:tcBorders>
            <w:shd w:val="clear" w:color="auto" w:fill="auto"/>
            <w:vAlign w:val="bottom"/>
            <w:hideMark/>
          </w:tcPr>
          <w:p w14:paraId="59D430D4"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0.05</w:t>
            </w:r>
          </w:p>
        </w:tc>
        <w:tc>
          <w:tcPr>
            <w:tcW w:w="1080" w:type="dxa"/>
            <w:tcBorders>
              <w:top w:val="single" w:sz="12" w:space="0" w:color="auto"/>
              <w:left w:val="nil"/>
              <w:bottom w:val="single" w:sz="12" w:space="0" w:color="auto"/>
              <w:right w:val="single" w:sz="4" w:space="0" w:color="auto"/>
            </w:tcBorders>
            <w:shd w:val="clear" w:color="auto" w:fill="auto"/>
            <w:vAlign w:val="bottom"/>
            <w:hideMark/>
          </w:tcPr>
          <w:p w14:paraId="3C62160C"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10.65</w:t>
            </w:r>
          </w:p>
        </w:tc>
        <w:tc>
          <w:tcPr>
            <w:tcW w:w="1260" w:type="dxa"/>
            <w:tcBorders>
              <w:top w:val="single" w:sz="12" w:space="0" w:color="auto"/>
              <w:left w:val="nil"/>
              <w:bottom w:val="single" w:sz="12" w:space="0" w:color="auto"/>
              <w:right w:val="single" w:sz="12" w:space="0" w:color="auto"/>
            </w:tcBorders>
            <w:shd w:val="clear" w:color="auto" w:fill="auto"/>
            <w:vAlign w:val="bottom"/>
            <w:hideMark/>
          </w:tcPr>
          <w:p w14:paraId="19F4ACD1"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lang w:val="en-GB"/>
              </w:rPr>
              <w:t>1.15</w:t>
            </w:r>
          </w:p>
        </w:tc>
      </w:tr>
    </w:tbl>
    <w:p w14:paraId="5ED1B157" w14:textId="77777777" w:rsidR="00A0244C" w:rsidRPr="00BC1ABD" w:rsidRDefault="00A0244C" w:rsidP="00A0244C">
      <w:pPr>
        <w:jc w:val="center"/>
        <w:rPr>
          <w:rFonts w:cs="Arial"/>
          <w:sz w:val="4"/>
          <w:szCs w:val="4"/>
          <w:lang w:val="en-GB"/>
        </w:rPr>
      </w:pPr>
    </w:p>
    <w:p w14:paraId="2D8D4FEA"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Questionnaire on coverage</w:t>
      </w:r>
    </w:p>
    <w:p w14:paraId="213FA0C5" w14:textId="052BD3EB" w:rsidR="00A0244C" w:rsidRPr="00BC1ABD" w:rsidRDefault="00A0244C" w:rsidP="00A0244C">
      <w:pPr>
        <w:jc w:val="both"/>
        <w:rPr>
          <w:rFonts w:cs="Arial"/>
          <w:sz w:val="24"/>
          <w:szCs w:val="24"/>
          <w:lang w:val="en-GB"/>
        </w:rPr>
      </w:pPr>
      <w:r w:rsidRPr="00BC1ABD">
        <w:rPr>
          <w:rFonts w:cs="Arial"/>
          <w:sz w:val="24"/>
          <w:szCs w:val="24"/>
          <w:lang w:val="en-GB"/>
        </w:rPr>
        <w:t xml:space="preserve">Tbilisi is therefore not contestable because Magticom’s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is over 40%. Batumi is also not contestable because the third largest operator does not have at least 10%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F026B4">
        <w:rPr>
          <w:rFonts w:cs="Arial"/>
          <w:sz w:val="24"/>
          <w:szCs w:val="24"/>
          <w:lang w:val="en-GB"/>
        </w:rPr>
        <w:t>FTTx</w:t>
      </w:r>
      <w:r w:rsidRPr="00BC1ABD">
        <w:rPr>
          <w:rFonts w:cs="Arial"/>
          <w:sz w:val="24"/>
          <w:szCs w:val="24"/>
          <w:lang w:val="en-GB"/>
        </w:rPr>
        <w:t xml:space="preserve">. Kutaisi and Rustavi fulfil all three cumulative main criteria but require proportionate </w:t>
      </w:r>
      <w:r w:rsidRPr="00BC1ABD">
        <w:rPr>
          <w:rFonts w:cs="Arial"/>
          <w:i/>
          <w:iCs/>
          <w:sz w:val="24"/>
          <w:szCs w:val="24"/>
          <w:lang w:val="en-GB"/>
        </w:rPr>
        <w:t>ex-ante</w:t>
      </w:r>
      <w:r w:rsidRPr="00BC1ABD">
        <w:rPr>
          <w:rFonts w:cs="Arial"/>
          <w:sz w:val="24"/>
          <w:szCs w:val="24"/>
          <w:lang w:val="en-GB"/>
        </w:rPr>
        <w:t xml:space="preserve"> regulation because they are cities with over 100,000 population. </w:t>
      </w:r>
    </w:p>
    <w:p w14:paraId="21077A76" w14:textId="12F473E7" w:rsidR="00A0244C" w:rsidRPr="00275D46" w:rsidRDefault="006032DD" w:rsidP="007355E2">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21" w:name="_Toc169258983"/>
      <w:r w:rsidRPr="002167F6">
        <w:rPr>
          <w:rFonts w:asciiTheme="minorHAnsi" w:hAnsiTheme="minorHAnsi" w:cstheme="minorHAnsi"/>
          <w:b w:val="0"/>
          <w:bCs w:val="0"/>
          <w:sz w:val="24"/>
          <w:szCs w:val="24"/>
          <w:highlight w:val="yellow"/>
          <w:lang w:val="en-GB"/>
        </w:rPr>
        <w:t xml:space="preserve">Does </w:t>
      </w:r>
      <w:r w:rsidR="00A0244C" w:rsidRPr="002167F6">
        <w:rPr>
          <w:rFonts w:asciiTheme="minorHAnsi" w:hAnsiTheme="minorHAnsi" w:cstheme="minorHAnsi"/>
          <w:b w:val="0"/>
          <w:bCs w:val="0"/>
          <w:sz w:val="24"/>
          <w:szCs w:val="24"/>
          <w:highlight w:val="yellow"/>
          <w:lang w:val="en-GB"/>
        </w:rPr>
        <w:t xml:space="preserve">Magticom’s </w:t>
      </w:r>
      <w:r w:rsidR="007355E2" w:rsidRPr="002167F6">
        <w:rPr>
          <w:rFonts w:asciiTheme="minorHAnsi" w:hAnsiTheme="minorHAnsi" w:cstheme="minorHAnsi"/>
          <w:b w:val="0"/>
          <w:bCs w:val="0"/>
          <w:sz w:val="24"/>
          <w:szCs w:val="24"/>
          <w:highlight w:val="yellow"/>
          <w:lang w:val="en-GB"/>
        </w:rPr>
        <w:t xml:space="preserve">share of </w:t>
      </w:r>
      <w:r w:rsidR="00F026B4" w:rsidRPr="002167F6">
        <w:rPr>
          <w:rFonts w:asciiTheme="minorHAnsi" w:hAnsiTheme="minorHAnsi" w:cstheme="minorHAnsi"/>
          <w:b w:val="0"/>
          <w:bCs w:val="0"/>
          <w:sz w:val="24"/>
          <w:szCs w:val="24"/>
          <w:highlight w:val="yellow"/>
          <w:lang w:val="en-GB"/>
        </w:rPr>
        <w:t>FTTx</w:t>
      </w:r>
      <w:r w:rsidR="007355E2" w:rsidRPr="002167F6">
        <w:rPr>
          <w:rFonts w:asciiTheme="minorHAnsi" w:hAnsiTheme="minorHAnsi" w:cstheme="minorHAnsi"/>
          <w:b w:val="0"/>
          <w:bCs w:val="0"/>
          <w:sz w:val="24"/>
          <w:szCs w:val="24"/>
          <w:highlight w:val="yellow"/>
          <w:lang w:val="en-GB"/>
        </w:rPr>
        <w:t xml:space="preserve"> broadband</w:t>
      </w:r>
      <w:r w:rsidR="007355E2" w:rsidRPr="002167F6" w:rsidDel="007355E2">
        <w:rPr>
          <w:rFonts w:asciiTheme="minorHAnsi" w:hAnsiTheme="minorHAnsi" w:cstheme="minorHAnsi"/>
          <w:b w:val="0"/>
          <w:bCs w:val="0"/>
          <w:sz w:val="24"/>
          <w:szCs w:val="24"/>
          <w:highlight w:val="yellow"/>
          <w:lang w:val="en-GB"/>
        </w:rPr>
        <w:t xml:space="preserve"> </w:t>
      </w:r>
      <w:r w:rsidR="00A0244C" w:rsidRPr="002167F6">
        <w:rPr>
          <w:rFonts w:asciiTheme="minorHAnsi" w:hAnsiTheme="minorHAnsi" w:cstheme="minorHAnsi"/>
          <w:b w:val="0"/>
          <w:bCs w:val="0"/>
          <w:sz w:val="24"/>
          <w:szCs w:val="24"/>
          <w:highlight w:val="yellow"/>
          <w:lang w:val="en-GB"/>
        </w:rPr>
        <w:t>tend towards below 40%</w:t>
      </w:r>
      <w:r w:rsidRPr="002167F6">
        <w:rPr>
          <w:rFonts w:asciiTheme="minorHAnsi" w:hAnsiTheme="minorHAnsi" w:cstheme="minorHAnsi"/>
          <w:b w:val="0"/>
          <w:bCs w:val="0"/>
          <w:sz w:val="24"/>
          <w:szCs w:val="24"/>
          <w:highlight w:val="yellow"/>
          <w:lang w:val="en-GB"/>
        </w:rPr>
        <w:t>?</w:t>
      </w:r>
      <w:bookmarkEnd w:id="321"/>
    </w:p>
    <w:p w14:paraId="36F1D2FD" w14:textId="55310297" w:rsidR="00A0244C" w:rsidRPr="00BC1ABD" w:rsidRDefault="00A0244C" w:rsidP="00A0244C">
      <w:pPr>
        <w:jc w:val="both"/>
        <w:rPr>
          <w:rFonts w:cs="Arial"/>
          <w:sz w:val="24"/>
          <w:szCs w:val="24"/>
          <w:lang w:val="en-GB"/>
        </w:rPr>
      </w:pPr>
      <w:r w:rsidRPr="00BC1ABD">
        <w:rPr>
          <w:rFonts w:cs="Arial"/>
          <w:sz w:val="24"/>
          <w:szCs w:val="24"/>
          <w:lang w:val="en-GB"/>
        </w:rPr>
        <w:t xml:space="preserve">Settlements with more than 20,000 inhabitants are also assessed in respect of their </w:t>
      </w:r>
      <w:r w:rsidR="007355E2" w:rsidRPr="00BC1ABD">
        <w:rPr>
          <w:rFonts w:cs="Arial"/>
          <w:sz w:val="24"/>
          <w:szCs w:val="24"/>
          <w:lang w:val="en-GB"/>
        </w:rPr>
        <w:t xml:space="preserve">trends </w:t>
      </w:r>
      <w:r w:rsidR="007355E2">
        <w:rPr>
          <w:rFonts w:cs="Arial"/>
          <w:sz w:val="24"/>
          <w:szCs w:val="24"/>
          <w:lang w:val="en-GB"/>
        </w:rPr>
        <w:t xml:space="preserve">in respective shares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00F026B4">
        <w:rPr>
          <w:rFonts w:cs="Arial"/>
          <w:sz w:val="24"/>
          <w:szCs w:val="24"/>
          <w:lang w:val="en-GB"/>
        </w:rPr>
        <w:t>FTTx</w:t>
      </w:r>
      <w:r w:rsidR="00657438">
        <w:rPr>
          <w:rFonts w:cs="Arial"/>
          <w:sz w:val="24"/>
          <w:szCs w:val="24"/>
          <w:lang w:val="en-GB"/>
        </w:rPr>
        <w:t xml:space="preserve"> </w:t>
      </w:r>
      <w:r w:rsidRPr="00BC1ABD">
        <w:rPr>
          <w:rFonts w:cs="Arial"/>
          <w:sz w:val="24"/>
          <w:szCs w:val="24"/>
          <w:lang w:val="en-GB"/>
        </w:rPr>
        <w:t xml:space="preserve">over the last five years. Only settlements with at least three operators are taken into account because in the case of settlements with only two operators, an examination of </w:t>
      </w:r>
      <w:r w:rsidR="007355E2" w:rsidRPr="00BC1ABD">
        <w:rPr>
          <w:rFonts w:cs="Arial"/>
          <w:sz w:val="24"/>
          <w:szCs w:val="24"/>
          <w:lang w:val="en-GB"/>
        </w:rPr>
        <w:t xml:space="preserve">trends </w:t>
      </w:r>
      <w:r w:rsidR="007355E2">
        <w:rPr>
          <w:rFonts w:cs="Arial"/>
          <w:sz w:val="24"/>
          <w:szCs w:val="24"/>
          <w:lang w:val="en-GB"/>
        </w:rPr>
        <w:t xml:space="preserve">in shares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cannot predict if a third </w:t>
      </w:r>
      <w:r w:rsidR="00F026B4">
        <w:rPr>
          <w:rFonts w:cs="Arial"/>
          <w:sz w:val="24"/>
          <w:szCs w:val="24"/>
          <w:lang w:val="en-GB"/>
        </w:rPr>
        <w:t>FTTx</w:t>
      </w:r>
      <w:r w:rsidRPr="00BC1ABD">
        <w:rPr>
          <w:rFonts w:cs="Arial"/>
          <w:sz w:val="24"/>
          <w:szCs w:val="24"/>
          <w:lang w:val="en-GB"/>
        </w:rPr>
        <w:t xml:space="preserve"> network operator will or will not appear. Only in one settlement (Samtredia) can it be shown that, based on the trend over the last 5 years, that Magticom’s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00F026B4">
        <w:rPr>
          <w:rFonts w:cs="Arial"/>
          <w:sz w:val="24"/>
          <w:szCs w:val="24"/>
          <w:lang w:val="en-GB"/>
        </w:rPr>
        <w:t>FTTx</w:t>
      </w:r>
      <w:r w:rsidR="00657438">
        <w:rPr>
          <w:rFonts w:cs="Arial"/>
          <w:sz w:val="24"/>
          <w:szCs w:val="24"/>
          <w:lang w:val="en-GB"/>
        </w:rPr>
        <w:t xml:space="preserve"> </w:t>
      </w:r>
      <w:r w:rsidRPr="00BC1ABD">
        <w:rPr>
          <w:rFonts w:cs="Arial"/>
          <w:sz w:val="24"/>
          <w:szCs w:val="24"/>
          <w:lang w:val="en-GB"/>
        </w:rPr>
        <w:t xml:space="preserve">will fall below 40% and therefore the settlement will become contestable (see Figure </w:t>
      </w:r>
      <w:r w:rsidR="00212380">
        <w:rPr>
          <w:rFonts w:cs="Arial"/>
          <w:sz w:val="24"/>
          <w:szCs w:val="24"/>
          <w:lang w:val="en-GB"/>
        </w:rPr>
        <w:t>6</w:t>
      </w:r>
      <w:r w:rsidR="00080335">
        <w:rPr>
          <w:rFonts w:cs="Arial"/>
          <w:sz w:val="24"/>
          <w:szCs w:val="24"/>
          <w:lang w:val="en-GB"/>
        </w:rPr>
        <w:t>8</w:t>
      </w:r>
      <w:r w:rsidRPr="00BC1ABD">
        <w:rPr>
          <w:rFonts w:cs="Arial"/>
          <w:sz w:val="24"/>
          <w:szCs w:val="24"/>
          <w:lang w:val="en-GB"/>
        </w:rPr>
        <w:t xml:space="preserve"> with Magticom’s trend highlighted in green).</w:t>
      </w:r>
    </w:p>
    <w:p w14:paraId="2B596978" w14:textId="6A6CD3BF" w:rsidR="003336AC" w:rsidRPr="00384D6A" w:rsidRDefault="00A0244C" w:rsidP="00384D6A">
      <w:pPr>
        <w:jc w:val="both"/>
        <w:rPr>
          <w:rFonts w:cs="Arial"/>
          <w:sz w:val="24"/>
          <w:szCs w:val="24"/>
          <w:lang w:val="en-GB"/>
        </w:rPr>
      </w:pPr>
      <w:r w:rsidRPr="00BC1ABD">
        <w:rPr>
          <w:rFonts w:cs="Arial"/>
          <w:sz w:val="24"/>
          <w:szCs w:val="24"/>
          <w:lang w:val="en-GB"/>
        </w:rPr>
        <w:t xml:space="preserve">Smaller settlements (below 20,000 population) were not analysed because in these settlements the number of </w:t>
      </w:r>
      <w:r w:rsidR="00F026B4">
        <w:rPr>
          <w:rFonts w:cs="Arial"/>
          <w:sz w:val="24"/>
          <w:szCs w:val="24"/>
          <w:lang w:val="en-GB"/>
        </w:rPr>
        <w:t>FTTx</w:t>
      </w:r>
      <w:r w:rsidRPr="00BC1ABD">
        <w:rPr>
          <w:rFonts w:cs="Arial"/>
          <w:sz w:val="24"/>
          <w:szCs w:val="24"/>
          <w:lang w:val="en-GB"/>
        </w:rPr>
        <w:t xml:space="preserve"> fixed broadband access subscribers is generally too small and small changes in the number of </w:t>
      </w:r>
      <w:r w:rsidR="00F026B4">
        <w:rPr>
          <w:rFonts w:cs="Arial"/>
          <w:sz w:val="24"/>
          <w:szCs w:val="24"/>
          <w:lang w:val="en-GB"/>
        </w:rPr>
        <w:t>FTTx</w:t>
      </w:r>
      <w:r w:rsidRPr="00BC1ABD">
        <w:rPr>
          <w:rFonts w:cs="Arial"/>
          <w:sz w:val="24"/>
          <w:szCs w:val="24"/>
          <w:lang w:val="en-GB"/>
        </w:rPr>
        <w:t xml:space="preserve"> subscribers can result in a significant change in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Pr="00BC1ABD">
        <w:rPr>
          <w:rFonts w:cs="Arial"/>
          <w:sz w:val="24"/>
          <w:szCs w:val="24"/>
          <w:lang w:val="en-GB"/>
        </w:rPr>
        <w:t xml:space="preserve">, giving no clear basis for predicting future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00F026B4">
        <w:rPr>
          <w:rFonts w:cs="Arial"/>
          <w:sz w:val="24"/>
          <w:szCs w:val="24"/>
          <w:lang w:val="en-GB"/>
        </w:rPr>
        <w:t>FTTx</w:t>
      </w:r>
      <w:r w:rsidRPr="00BC1ABD">
        <w:rPr>
          <w:rFonts w:cs="Arial"/>
          <w:sz w:val="24"/>
          <w:szCs w:val="24"/>
          <w:lang w:val="en-GB"/>
        </w:rPr>
        <w:t>.</w:t>
      </w:r>
    </w:p>
    <w:p w14:paraId="5FE74B3F" w14:textId="303BA077" w:rsidR="00A0244C" w:rsidRPr="00BC1ABD" w:rsidRDefault="00A0244C" w:rsidP="00A0244C">
      <w:pPr>
        <w:pStyle w:val="Caption"/>
        <w:jc w:val="center"/>
        <w:rPr>
          <w:rFonts w:cs="Arial"/>
          <w:b/>
          <w:sz w:val="24"/>
          <w:szCs w:val="24"/>
          <w:lang w:val="en-GB"/>
        </w:rPr>
      </w:pPr>
      <w:bookmarkStart w:id="322" w:name="_Toc152931419"/>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68</w:t>
      </w:r>
      <w:r w:rsidRPr="00BC1ABD">
        <w:rPr>
          <w:lang w:val="en-GB"/>
        </w:rPr>
        <w:fldChar w:fldCharType="end"/>
      </w:r>
      <w:r w:rsidRPr="00BC1ABD">
        <w:rPr>
          <w:lang w:val="en-GB"/>
        </w:rPr>
        <w:t>:Data for identifying if</w:t>
      </w:r>
      <w:r w:rsidR="00195B2F">
        <w:rPr>
          <w:lang w:val="en-GB"/>
        </w:rPr>
        <w:t xml:space="preserve"> </w:t>
      </w:r>
      <w:r w:rsidRPr="00BC1ABD">
        <w:rPr>
          <w:lang w:val="en-GB"/>
        </w:rPr>
        <w:t>settlements tend to contestability</w:t>
      </w:r>
      <w:bookmarkEnd w:id="322"/>
    </w:p>
    <w:tbl>
      <w:tblPr>
        <w:tblW w:w="9052" w:type="dxa"/>
        <w:tblCellMar>
          <w:left w:w="70" w:type="dxa"/>
          <w:right w:w="70" w:type="dxa"/>
        </w:tblCellMar>
        <w:tblLook w:val="04A0" w:firstRow="1" w:lastRow="0" w:firstColumn="1" w:lastColumn="0" w:noHBand="0" w:noVBand="1"/>
      </w:tblPr>
      <w:tblGrid>
        <w:gridCol w:w="1411"/>
        <w:gridCol w:w="765"/>
        <w:gridCol w:w="764"/>
        <w:gridCol w:w="764"/>
        <w:gridCol w:w="764"/>
        <w:gridCol w:w="764"/>
        <w:gridCol w:w="764"/>
        <w:gridCol w:w="764"/>
        <w:gridCol w:w="764"/>
        <w:gridCol w:w="764"/>
        <w:gridCol w:w="764"/>
      </w:tblGrid>
      <w:tr w:rsidR="00A0244C" w:rsidRPr="00355738" w14:paraId="686CC46A" w14:textId="77777777" w:rsidTr="007354E3">
        <w:trPr>
          <w:trHeight w:val="300"/>
        </w:trPr>
        <w:tc>
          <w:tcPr>
            <w:tcW w:w="1411" w:type="dxa"/>
            <w:tcBorders>
              <w:top w:val="single" w:sz="8" w:space="0" w:color="auto"/>
              <w:left w:val="single" w:sz="8" w:space="0" w:color="auto"/>
              <w:bottom w:val="single" w:sz="8" w:space="0" w:color="auto"/>
              <w:right w:val="single" w:sz="8" w:space="0" w:color="auto"/>
            </w:tcBorders>
            <w:shd w:val="clear" w:color="auto" w:fill="5B9BD5" w:themeFill="accent1"/>
            <w:noWrap/>
            <w:vAlign w:val="bottom"/>
            <w:hideMark/>
          </w:tcPr>
          <w:p w14:paraId="473EA466" w14:textId="77777777" w:rsidR="00A0244C" w:rsidRPr="00BC1ABD" w:rsidRDefault="00A0244C" w:rsidP="007354E3">
            <w:pPr>
              <w:spacing w:after="0" w:line="240" w:lineRule="auto"/>
              <w:jc w:val="center"/>
              <w:rPr>
                <w:rFonts w:eastAsia="Times New Roman" w:cs="Calibri"/>
                <w:b/>
                <w:i/>
                <w:iCs/>
                <w:color w:val="000000"/>
                <w:sz w:val="18"/>
                <w:szCs w:val="18"/>
                <w:lang w:val="en-GB" w:eastAsia="sl-SI"/>
              </w:rPr>
            </w:pPr>
            <w:r w:rsidRPr="00BC1ABD">
              <w:rPr>
                <w:rFonts w:eastAsia="Times New Roman" w:cs="Calibri"/>
                <w:b/>
                <w:color w:val="000000"/>
                <w:sz w:val="18"/>
                <w:szCs w:val="18"/>
                <w:lang w:val="en-GB" w:eastAsia="sl-SI"/>
              </w:rPr>
              <w:t>Settlement</w:t>
            </w:r>
          </w:p>
        </w:tc>
        <w:tc>
          <w:tcPr>
            <w:tcW w:w="3821" w:type="dxa"/>
            <w:gridSpan w:val="5"/>
            <w:tcBorders>
              <w:top w:val="single" w:sz="8" w:space="0" w:color="auto"/>
              <w:left w:val="single" w:sz="8" w:space="0" w:color="auto"/>
              <w:bottom w:val="single" w:sz="8" w:space="0" w:color="auto"/>
              <w:right w:val="single" w:sz="4" w:space="0" w:color="auto"/>
            </w:tcBorders>
            <w:shd w:val="clear" w:color="auto" w:fill="5B9BD5" w:themeFill="accent1"/>
            <w:noWrap/>
            <w:vAlign w:val="bottom"/>
            <w:hideMark/>
          </w:tcPr>
          <w:p w14:paraId="4935C834" w14:textId="028238A1" w:rsidR="00A0244C" w:rsidRPr="00BC1ABD" w:rsidRDefault="00F026B4" w:rsidP="007354E3">
            <w:pPr>
              <w:spacing w:after="0" w:line="240" w:lineRule="auto"/>
              <w:jc w:val="center"/>
              <w:rPr>
                <w:rFonts w:eastAsia="Times New Roman" w:cs="Calibri"/>
                <w:b/>
                <w:color w:val="000000"/>
                <w:sz w:val="18"/>
                <w:szCs w:val="18"/>
                <w:lang w:val="en-GB" w:eastAsia="sl-SI"/>
              </w:rPr>
            </w:pPr>
            <w:r>
              <w:rPr>
                <w:rFonts w:eastAsia="Times New Roman" w:cs="Calibri"/>
                <w:b/>
                <w:color w:val="000000"/>
                <w:sz w:val="18"/>
                <w:szCs w:val="18"/>
                <w:lang w:val="en-GB" w:eastAsia="sl-SI"/>
              </w:rPr>
              <w:t>FTTx</w:t>
            </w:r>
            <w:r w:rsidR="00A0244C" w:rsidRPr="00BC1ABD">
              <w:rPr>
                <w:rFonts w:eastAsia="Times New Roman" w:cs="Calibri"/>
                <w:b/>
                <w:color w:val="000000"/>
                <w:sz w:val="18"/>
                <w:szCs w:val="18"/>
                <w:lang w:val="en-GB" w:eastAsia="sl-SI"/>
              </w:rPr>
              <w:t xml:space="preserve"> Subscribers</w:t>
            </w:r>
          </w:p>
        </w:tc>
        <w:tc>
          <w:tcPr>
            <w:tcW w:w="3820" w:type="dxa"/>
            <w:gridSpan w:val="5"/>
            <w:tcBorders>
              <w:top w:val="single" w:sz="8" w:space="0" w:color="auto"/>
              <w:left w:val="single" w:sz="4" w:space="0" w:color="auto"/>
              <w:bottom w:val="single" w:sz="8" w:space="0" w:color="auto"/>
              <w:right w:val="single" w:sz="8" w:space="0" w:color="auto"/>
            </w:tcBorders>
            <w:shd w:val="clear" w:color="auto" w:fill="5B9BD5" w:themeFill="accent1"/>
            <w:noWrap/>
            <w:vAlign w:val="bottom"/>
            <w:hideMark/>
          </w:tcPr>
          <w:p w14:paraId="2F4E42FE" w14:textId="50A8C95B" w:rsidR="00A0244C" w:rsidRPr="00BC1ABD" w:rsidRDefault="00F026B4" w:rsidP="007354E3">
            <w:pPr>
              <w:spacing w:after="0" w:line="240" w:lineRule="auto"/>
              <w:jc w:val="center"/>
              <w:rPr>
                <w:rFonts w:eastAsia="Times New Roman" w:cs="Calibri"/>
                <w:b/>
                <w:color w:val="000000"/>
                <w:sz w:val="18"/>
                <w:szCs w:val="18"/>
                <w:lang w:val="en-GB" w:eastAsia="sl-SI"/>
              </w:rPr>
            </w:pPr>
            <w:r>
              <w:rPr>
                <w:rFonts w:eastAsia="Times New Roman" w:cs="Calibri"/>
                <w:b/>
                <w:color w:val="000000"/>
                <w:sz w:val="18"/>
                <w:szCs w:val="18"/>
                <w:lang w:val="en-GB" w:eastAsia="sl-SI"/>
              </w:rPr>
              <w:t>FTTx</w:t>
            </w:r>
            <w:r w:rsidR="00A0244C" w:rsidRPr="00BC1ABD">
              <w:rPr>
                <w:rFonts w:eastAsia="Times New Roman" w:cs="Calibri"/>
                <w:b/>
                <w:color w:val="000000"/>
                <w:sz w:val="18"/>
                <w:szCs w:val="18"/>
                <w:lang w:val="en-GB" w:eastAsia="sl-SI"/>
              </w:rPr>
              <w:t xml:space="preserve"> Fixed broadband access market shares %</w:t>
            </w:r>
          </w:p>
        </w:tc>
      </w:tr>
      <w:tr w:rsidR="00A0244C" w:rsidRPr="00BC1ABD" w14:paraId="27209E1E" w14:textId="77777777" w:rsidTr="007354E3">
        <w:trPr>
          <w:trHeight w:val="300"/>
        </w:trPr>
        <w:tc>
          <w:tcPr>
            <w:tcW w:w="1411" w:type="dxa"/>
            <w:tcBorders>
              <w:top w:val="nil"/>
              <w:left w:val="single" w:sz="8" w:space="0" w:color="auto"/>
              <w:bottom w:val="single" w:sz="8" w:space="0" w:color="auto"/>
              <w:right w:val="single" w:sz="4" w:space="0" w:color="auto"/>
            </w:tcBorders>
            <w:shd w:val="clear" w:color="auto" w:fill="5B9BD5" w:themeFill="accent1"/>
            <w:noWrap/>
            <w:vAlign w:val="bottom"/>
            <w:hideMark/>
          </w:tcPr>
          <w:p w14:paraId="2FB814EA" w14:textId="77777777" w:rsidR="00A0244C" w:rsidRPr="00BC1ABD" w:rsidRDefault="00A0244C" w:rsidP="007354E3">
            <w:pPr>
              <w:spacing w:after="0" w:line="240" w:lineRule="auto"/>
              <w:rPr>
                <w:rFonts w:eastAsia="Times New Roman" w:cs="Calibri"/>
                <w:b/>
                <w:color w:val="000000"/>
                <w:sz w:val="18"/>
                <w:szCs w:val="18"/>
                <w:lang w:val="en-GB" w:eastAsia="sl-SI"/>
              </w:rPr>
            </w:pPr>
            <w:r w:rsidRPr="00BC1ABD">
              <w:rPr>
                <w:rFonts w:eastAsia="Times New Roman" w:cs="Calibri"/>
                <w:b/>
                <w:color w:val="000000"/>
                <w:sz w:val="18"/>
                <w:szCs w:val="18"/>
                <w:lang w:val="en-GB" w:eastAsia="sl-SI"/>
              </w:rPr>
              <w:t>Oprator</w:t>
            </w:r>
          </w:p>
        </w:tc>
        <w:tc>
          <w:tcPr>
            <w:tcW w:w="765" w:type="dxa"/>
            <w:tcBorders>
              <w:top w:val="nil"/>
              <w:left w:val="nil"/>
              <w:bottom w:val="single" w:sz="8" w:space="0" w:color="auto"/>
              <w:right w:val="single" w:sz="4" w:space="0" w:color="auto"/>
            </w:tcBorders>
            <w:shd w:val="clear" w:color="auto" w:fill="5B9BD5" w:themeFill="accent1"/>
            <w:noWrap/>
            <w:vAlign w:val="bottom"/>
            <w:hideMark/>
          </w:tcPr>
          <w:p w14:paraId="440718E5"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2018</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5F52D265"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2019</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075E584B"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2020</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496DE26D"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2021</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17945DBF"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2022</w:t>
            </w:r>
          </w:p>
        </w:tc>
        <w:tc>
          <w:tcPr>
            <w:tcW w:w="764" w:type="dxa"/>
            <w:tcBorders>
              <w:top w:val="nil"/>
              <w:left w:val="single" w:sz="4" w:space="0" w:color="auto"/>
              <w:bottom w:val="single" w:sz="8" w:space="0" w:color="auto"/>
              <w:right w:val="single" w:sz="4" w:space="0" w:color="auto"/>
            </w:tcBorders>
            <w:shd w:val="clear" w:color="auto" w:fill="5B9BD5" w:themeFill="accent1"/>
            <w:noWrap/>
            <w:vAlign w:val="bottom"/>
            <w:hideMark/>
          </w:tcPr>
          <w:p w14:paraId="31DD1C50"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2018</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0A93FE2F"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2019</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6A8B11BC"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2020</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74345021"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2021</w:t>
            </w:r>
          </w:p>
        </w:tc>
        <w:tc>
          <w:tcPr>
            <w:tcW w:w="764" w:type="dxa"/>
            <w:tcBorders>
              <w:top w:val="nil"/>
              <w:left w:val="nil"/>
              <w:bottom w:val="single" w:sz="8" w:space="0" w:color="auto"/>
              <w:right w:val="single" w:sz="4" w:space="0" w:color="auto"/>
            </w:tcBorders>
            <w:shd w:val="clear" w:color="auto" w:fill="5B9BD5" w:themeFill="accent1"/>
            <w:noWrap/>
            <w:vAlign w:val="bottom"/>
            <w:hideMark/>
          </w:tcPr>
          <w:p w14:paraId="15F30557" w14:textId="77777777" w:rsidR="00A0244C" w:rsidRPr="00BC1ABD" w:rsidRDefault="00A0244C" w:rsidP="007354E3">
            <w:pPr>
              <w:spacing w:after="0" w:line="240" w:lineRule="auto"/>
              <w:jc w:val="center"/>
              <w:rPr>
                <w:rFonts w:eastAsia="Times New Roman" w:cs="Calibri"/>
                <w:b/>
                <w:bCs/>
                <w:color w:val="000000"/>
                <w:sz w:val="18"/>
                <w:szCs w:val="18"/>
                <w:lang w:val="en-GB" w:eastAsia="sl-SI"/>
              </w:rPr>
            </w:pPr>
            <w:r w:rsidRPr="00BC1ABD">
              <w:rPr>
                <w:rFonts w:eastAsia="Times New Roman" w:cs="Calibri"/>
                <w:b/>
                <w:bCs/>
                <w:color w:val="000000"/>
                <w:sz w:val="18"/>
                <w:szCs w:val="18"/>
                <w:lang w:val="en-GB" w:eastAsia="sl-SI"/>
              </w:rPr>
              <w:t>2022</w:t>
            </w:r>
          </w:p>
        </w:tc>
      </w:tr>
      <w:tr w:rsidR="00A0244C" w:rsidRPr="00BC1ABD" w14:paraId="50C28820" w14:textId="77777777" w:rsidTr="007354E3">
        <w:trPr>
          <w:trHeight w:val="288"/>
        </w:trPr>
        <w:tc>
          <w:tcPr>
            <w:tcW w:w="1411" w:type="dxa"/>
            <w:tcBorders>
              <w:top w:val="nil"/>
              <w:left w:val="single" w:sz="4" w:space="0" w:color="999999"/>
              <w:bottom w:val="nil"/>
              <w:right w:val="nil"/>
            </w:tcBorders>
            <w:shd w:val="clear" w:color="auto" w:fill="FFFFFF" w:themeFill="background1"/>
            <w:noWrap/>
            <w:vAlign w:val="bottom"/>
            <w:hideMark/>
          </w:tcPr>
          <w:p w14:paraId="295EB1A0" w14:textId="77777777" w:rsidR="00A0244C" w:rsidRPr="00BC1ABD" w:rsidRDefault="00A0244C" w:rsidP="007354E3">
            <w:pPr>
              <w:spacing w:after="0" w:line="240" w:lineRule="auto"/>
              <w:rPr>
                <w:rFonts w:ascii="Sylfaen" w:eastAsia="Times New Roman" w:hAnsi="Sylfaen" w:cs="Calibri"/>
                <w:b/>
                <w:bCs/>
                <w:color w:val="000000"/>
                <w:sz w:val="18"/>
                <w:szCs w:val="18"/>
                <w:lang w:val="en-GB" w:eastAsia="sl-SI"/>
              </w:rPr>
            </w:pPr>
            <w:r w:rsidRPr="00BC1ABD">
              <w:rPr>
                <w:rFonts w:ascii="Sylfaen" w:eastAsia="Times New Roman" w:hAnsi="Sylfaen" w:cs="Calibri"/>
                <w:b/>
                <w:bCs/>
                <w:color w:val="000000"/>
                <w:sz w:val="18"/>
                <w:szCs w:val="18"/>
                <w:lang w:val="en-GB" w:eastAsia="sl-SI"/>
              </w:rPr>
              <w:t>Samtredia</w:t>
            </w:r>
          </w:p>
        </w:tc>
        <w:tc>
          <w:tcPr>
            <w:tcW w:w="765" w:type="dxa"/>
            <w:tcBorders>
              <w:top w:val="nil"/>
              <w:left w:val="single" w:sz="4" w:space="0" w:color="999999"/>
              <w:bottom w:val="nil"/>
              <w:right w:val="nil"/>
            </w:tcBorders>
            <w:shd w:val="clear" w:color="auto" w:fill="FFFFFF" w:themeFill="background1"/>
            <w:noWrap/>
            <w:vAlign w:val="bottom"/>
            <w:hideMark/>
          </w:tcPr>
          <w:p w14:paraId="30D120F7" w14:textId="40DDD592" w:rsidR="00A0244C" w:rsidRPr="00BC1ABD" w:rsidRDefault="00195B2F" w:rsidP="007354E3">
            <w:pPr>
              <w:spacing w:after="0" w:line="240" w:lineRule="auto"/>
              <w:rPr>
                <w:rFonts w:ascii="Sylfaen" w:eastAsia="Times New Roman" w:hAnsi="Sylfaen" w:cs="Calibri"/>
                <w:b/>
                <w:bCs/>
                <w:color w:val="000000"/>
                <w:sz w:val="18"/>
                <w:szCs w:val="18"/>
                <w:lang w:val="en-GB" w:eastAsia="sl-SI"/>
              </w:rPr>
            </w:pPr>
            <w:r>
              <w:rPr>
                <w:rFonts w:ascii="Sylfaen" w:eastAsia="Times New Roman" w:hAnsi="Sylfaen" w:cs="Calibri"/>
                <w:b/>
                <w:bCs/>
                <w:color w:val="000000"/>
                <w:sz w:val="18"/>
                <w:szCs w:val="18"/>
                <w:lang w:val="en-GB" w:eastAsia="sl-SI"/>
              </w:rPr>
              <w:t xml:space="preserve"> </w:t>
            </w:r>
            <w:r w:rsidR="00A0244C" w:rsidRPr="00BC1ABD">
              <w:rPr>
                <w:rFonts w:ascii="Sylfaen" w:eastAsia="Times New Roman" w:hAnsi="Sylfaen" w:cs="Calibri"/>
                <w:b/>
                <w:bCs/>
                <w:color w:val="000000"/>
                <w:sz w:val="18"/>
                <w:szCs w:val="18"/>
                <w:lang w:val="en-GB" w:eastAsia="sl-SI"/>
              </w:rPr>
              <w:t xml:space="preserve">4,122 </w:t>
            </w:r>
          </w:p>
        </w:tc>
        <w:tc>
          <w:tcPr>
            <w:tcW w:w="764" w:type="dxa"/>
            <w:tcBorders>
              <w:top w:val="nil"/>
              <w:left w:val="nil"/>
              <w:bottom w:val="nil"/>
              <w:right w:val="nil"/>
            </w:tcBorders>
            <w:shd w:val="clear" w:color="auto" w:fill="FFFFFF" w:themeFill="background1"/>
            <w:noWrap/>
            <w:vAlign w:val="bottom"/>
            <w:hideMark/>
          </w:tcPr>
          <w:p w14:paraId="61EA7567" w14:textId="19572C24" w:rsidR="00A0244C" w:rsidRPr="00BC1ABD" w:rsidRDefault="00195B2F" w:rsidP="007354E3">
            <w:pPr>
              <w:spacing w:after="0" w:line="240" w:lineRule="auto"/>
              <w:rPr>
                <w:rFonts w:ascii="Sylfaen" w:eastAsia="Times New Roman" w:hAnsi="Sylfaen" w:cs="Calibri"/>
                <w:b/>
                <w:bCs/>
                <w:color w:val="000000"/>
                <w:sz w:val="18"/>
                <w:szCs w:val="18"/>
                <w:lang w:val="en-GB" w:eastAsia="sl-SI"/>
              </w:rPr>
            </w:pPr>
            <w:r>
              <w:rPr>
                <w:rFonts w:ascii="Sylfaen" w:eastAsia="Times New Roman" w:hAnsi="Sylfaen" w:cs="Calibri"/>
                <w:b/>
                <w:bCs/>
                <w:color w:val="000000"/>
                <w:sz w:val="18"/>
                <w:szCs w:val="18"/>
                <w:lang w:val="en-GB" w:eastAsia="sl-SI"/>
              </w:rPr>
              <w:t xml:space="preserve"> </w:t>
            </w:r>
            <w:r w:rsidR="00A0244C" w:rsidRPr="00BC1ABD">
              <w:rPr>
                <w:rFonts w:ascii="Sylfaen" w:eastAsia="Times New Roman" w:hAnsi="Sylfaen" w:cs="Calibri"/>
                <w:b/>
                <w:bCs/>
                <w:color w:val="000000"/>
                <w:sz w:val="18"/>
                <w:szCs w:val="18"/>
                <w:lang w:val="en-GB" w:eastAsia="sl-SI"/>
              </w:rPr>
              <w:t xml:space="preserve">5,154 </w:t>
            </w:r>
          </w:p>
        </w:tc>
        <w:tc>
          <w:tcPr>
            <w:tcW w:w="764" w:type="dxa"/>
            <w:tcBorders>
              <w:top w:val="nil"/>
              <w:left w:val="nil"/>
              <w:bottom w:val="nil"/>
              <w:right w:val="nil"/>
            </w:tcBorders>
            <w:shd w:val="clear" w:color="auto" w:fill="FFFFFF" w:themeFill="background1"/>
            <w:noWrap/>
            <w:vAlign w:val="bottom"/>
            <w:hideMark/>
          </w:tcPr>
          <w:p w14:paraId="7AA6C9CE" w14:textId="40451C59" w:rsidR="00A0244C" w:rsidRPr="00BC1ABD" w:rsidRDefault="00195B2F" w:rsidP="007354E3">
            <w:pPr>
              <w:spacing w:after="0" w:line="240" w:lineRule="auto"/>
              <w:rPr>
                <w:rFonts w:ascii="Sylfaen" w:eastAsia="Times New Roman" w:hAnsi="Sylfaen" w:cs="Calibri"/>
                <w:b/>
                <w:bCs/>
                <w:color w:val="000000"/>
                <w:sz w:val="18"/>
                <w:szCs w:val="18"/>
                <w:lang w:val="en-GB" w:eastAsia="sl-SI"/>
              </w:rPr>
            </w:pPr>
            <w:r>
              <w:rPr>
                <w:rFonts w:ascii="Sylfaen" w:eastAsia="Times New Roman" w:hAnsi="Sylfaen" w:cs="Calibri"/>
                <w:b/>
                <w:bCs/>
                <w:color w:val="000000"/>
                <w:sz w:val="18"/>
                <w:szCs w:val="18"/>
                <w:lang w:val="en-GB" w:eastAsia="sl-SI"/>
              </w:rPr>
              <w:t xml:space="preserve"> </w:t>
            </w:r>
            <w:r w:rsidR="00A0244C" w:rsidRPr="00BC1ABD">
              <w:rPr>
                <w:rFonts w:ascii="Sylfaen" w:eastAsia="Times New Roman" w:hAnsi="Sylfaen" w:cs="Calibri"/>
                <w:b/>
                <w:bCs/>
                <w:color w:val="000000"/>
                <w:sz w:val="18"/>
                <w:szCs w:val="18"/>
                <w:lang w:val="en-GB" w:eastAsia="sl-SI"/>
              </w:rPr>
              <w:t xml:space="preserve">5,520 </w:t>
            </w:r>
          </w:p>
        </w:tc>
        <w:tc>
          <w:tcPr>
            <w:tcW w:w="764" w:type="dxa"/>
            <w:tcBorders>
              <w:top w:val="nil"/>
              <w:left w:val="nil"/>
              <w:bottom w:val="nil"/>
              <w:right w:val="nil"/>
            </w:tcBorders>
            <w:shd w:val="clear" w:color="auto" w:fill="FFFFFF" w:themeFill="background1"/>
            <w:noWrap/>
            <w:vAlign w:val="bottom"/>
            <w:hideMark/>
          </w:tcPr>
          <w:p w14:paraId="6B98D86C" w14:textId="365D4FCF" w:rsidR="00A0244C" w:rsidRPr="00BC1ABD" w:rsidRDefault="00195B2F" w:rsidP="007354E3">
            <w:pPr>
              <w:spacing w:after="0" w:line="240" w:lineRule="auto"/>
              <w:rPr>
                <w:rFonts w:ascii="Sylfaen" w:eastAsia="Times New Roman" w:hAnsi="Sylfaen" w:cs="Calibri"/>
                <w:b/>
                <w:bCs/>
                <w:color w:val="000000"/>
                <w:sz w:val="18"/>
                <w:szCs w:val="18"/>
                <w:lang w:val="en-GB" w:eastAsia="sl-SI"/>
              </w:rPr>
            </w:pPr>
            <w:r>
              <w:rPr>
                <w:rFonts w:ascii="Sylfaen" w:eastAsia="Times New Roman" w:hAnsi="Sylfaen" w:cs="Calibri"/>
                <w:b/>
                <w:bCs/>
                <w:color w:val="000000"/>
                <w:sz w:val="18"/>
                <w:szCs w:val="18"/>
                <w:lang w:val="en-GB" w:eastAsia="sl-SI"/>
              </w:rPr>
              <w:t xml:space="preserve"> </w:t>
            </w:r>
            <w:r w:rsidR="00A0244C" w:rsidRPr="00BC1ABD">
              <w:rPr>
                <w:rFonts w:ascii="Sylfaen" w:eastAsia="Times New Roman" w:hAnsi="Sylfaen" w:cs="Calibri"/>
                <w:b/>
                <w:bCs/>
                <w:color w:val="000000"/>
                <w:sz w:val="18"/>
                <w:szCs w:val="18"/>
                <w:lang w:val="en-GB" w:eastAsia="sl-SI"/>
              </w:rPr>
              <w:t xml:space="preserve">5,691 </w:t>
            </w:r>
          </w:p>
        </w:tc>
        <w:tc>
          <w:tcPr>
            <w:tcW w:w="764" w:type="dxa"/>
            <w:tcBorders>
              <w:top w:val="single" w:sz="8" w:space="0" w:color="auto"/>
              <w:left w:val="nil"/>
              <w:bottom w:val="nil"/>
              <w:right w:val="single" w:sz="8" w:space="0" w:color="auto"/>
            </w:tcBorders>
            <w:shd w:val="clear" w:color="auto" w:fill="FFFFFF" w:themeFill="background1"/>
            <w:noWrap/>
            <w:vAlign w:val="bottom"/>
            <w:hideMark/>
          </w:tcPr>
          <w:p w14:paraId="61B39959" w14:textId="34CB8AFF" w:rsidR="00A0244C" w:rsidRPr="00BC1ABD" w:rsidRDefault="00195B2F" w:rsidP="007354E3">
            <w:pPr>
              <w:spacing w:after="0" w:line="240" w:lineRule="auto"/>
              <w:rPr>
                <w:rFonts w:ascii="Sylfaen" w:eastAsia="Times New Roman" w:hAnsi="Sylfaen" w:cs="Calibri"/>
                <w:b/>
                <w:bCs/>
                <w:color w:val="000000"/>
                <w:sz w:val="18"/>
                <w:szCs w:val="18"/>
                <w:lang w:val="en-GB" w:eastAsia="sl-SI"/>
              </w:rPr>
            </w:pPr>
            <w:r>
              <w:rPr>
                <w:rFonts w:ascii="Sylfaen" w:eastAsia="Times New Roman" w:hAnsi="Sylfaen" w:cs="Calibri"/>
                <w:b/>
                <w:bCs/>
                <w:color w:val="000000"/>
                <w:sz w:val="18"/>
                <w:szCs w:val="18"/>
                <w:lang w:val="en-GB" w:eastAsia="sl-SI"/>
              </w:rPr>
              <w:t xml:space="preserve"> </w:t>
            </w:r>
            <w:r w:rsidR="00A0244C" w:rsidRPr="00BC1ABD">
              <w:rPr>
                <w:rFonts w:ascii="Sylfaen" w:eastAsia="Times New Roman" w:hAnsi="Sylfaen" w:cs="Calibri"/>
                <w:b/>
                <w:bCs/>
                <w:color w:val="000000"/>
                <w:sz w:val="18"/>
                <w:szCs w:val="18"/>
                <w:lang w:val="en-GB" w:eastAsia="sl-SI"/>
              </w:rPr>
              <w:t xml:space="preserve">6,417 </w:t>
            </w:r>
          </w:p>
        </w:tc>
        <w:tc>
          <w:tcPr>
            <w:tcW w:w="764" w:type="dxa"/>
            <w:tcBorders>
              <w:top w:val="single" w:sz="8" w:space="0" w:color="auto"/>
              <w:left w:val="single" w:sz="8" w:space="0" w:color="auto"/>
              <w:bottom w:val="nil"/>
              <w:right w:val="nil"/>
            </w:tcBorders>
            <w:shd w:val="clear" w:color="auto" w:fill="FFFFFF" w:themeFill="background1"/>
            <w:noWrap/>
            <w:vAlign w:val="bottom"/>
            <w:hideMark/>
          </w:tcPr>
          <w:p w14:paraId="420EDDBF"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FFFFFF" w:themeFill="background1"/>
            <w:noWrap/>
            <w:vAlign w:val="bottom"/>
            <w:hideMark/>
          </w:tcPr>
          <w:p w14:paraId="4F5DD03D"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FFFFFF" w:themeFill="background1"/>
            <w:noWrap/>
            <w:vAlign w:val="bottom"/>
            <w:hideMark/>
          </w:tcPr>
          <w:p w14:paraId="5D0A848F"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FFFFFF" w:themeFill="background1"/>
            <w:noWrap/>
            <w:vAlign w:val="bottom"/>
            <w:hideMark/>
          </w:tcPr>
          <w:p w14:paraId="778C37F7"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single" w:sz="4" w:space="0" w:color="999999"/>
            </w:tcBorders>
            <w:shd w:val="clear" w:color="auto" w:fill="FFFFFF" w:themeFill="background1"/>
            <w:noWrap/>
            <w:vAlign w:val="bottom"/>
            <w:hideMark/>
          </w:tcPr>
          <w:p w14:paraId="594BECA6"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r>
      <w:tr w:rsidR="00A0244C" w:rsidRPr="00BC1ABD" w14:paraId="144C21B4" w14:textId="77777777" w:rsidTr="007354E3">
        <w:trPr>
          <w:trHeight w:val="288"/>
        </w:trPr>
        <w:tc>
          <w:tcPr>
            <w:tcW w:w="1411" w:type="dxa"/>
            <w:tcBorders>
              <w:top w:val="nil"/>
              <w:left w:val="single" w:sz="4" w:space="0" w:color="999999"/>
              <w:bottom w:val="nil"/>
              <w:right w:val="nil"/>
            </w:tcBorders>
            <w:shd w:val="clear" w:color="auto" w:fill="A8D08D" w:themeFill="accent6" w:themeFillTint="99"/>
            <w:noWrap/>
            <w:vAlign w:val="bottom"/>
            <w:hideMark/>
          </w:tcPr>
          <w:p w14:paraId="51ED1C13" w14:textId="77777777" w:rsidR="00A0244C" w:rsidRPr="00BC1ABD" w:rsidRDefault="00A0244C" w:rsidP="007354E3">
            <w:pPr>
              <w:spacing w:after="0" w:line="240" w:lineRule="auto"/>
              <w:ind w:firstLineChars="100" w:firstLine="180"/>
              <w:rPr>
                <w:rFonts w:eastAsia="Times New Roman" w:cs="Calibri"/>
                <w:color w:val="000000"/>
                <w:sz w:val="18"/>
                <w:szCs w:val="18"/>
                <w:lang w:val="en-GB" w:eastAsia="sl-SI"/>
              </w:rPr>
            </w:pPr>
            <w:r w:rsidRPr="00BC1ABD">
              <w:rPr>
                <w:rFonts w:eastAsia="Times New Roman" w:cs="Calibri"/>
                <w:color w:val="000000"/>
                <w:sz w:val="18"/>
                <w:szCs w:val="18"/>
                <w:lang w:val="en-GB" w:eastAsia="sl-SI"/>
              </w:rPr>
              <w:t>Magticom</w:t>
            </w:r>
          </w:p>
        </w:tc>
        <w:tc>
          <w:tcPr>
            <w:tcW w:w="765" w:type="dxa"/>
            <w:tcBorders>
              <w:top w:val="nil"/>
              <w:left w:val="single" w:sz="4" w:space="0" w:color="999999"/>
              <w:bottom w:val="nil"/>
              <w:right w:val="nil"/>
            </w:tcBorders>
            <w:shd w:val="clear" w:color="auto" w:fill="A8D08D" w:themeFill="accent6" w:themeFillTint="99"/>
            <w:noWrap/>
            <w:vAlign w:val="bottom"/>
            <w:hideMark/>
          </w:tcPr>
          <w:p w14:paraId="105AE6B0" w14:textId="3E16B701"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3,436 </w:t>
            </w:r>
          </w:p>
        </w:tc>
        <w:tc>
          <w:tcPr>
            <w:tcW w:w="764" w:type="dxa"/>
            <w:tcBorders>
              <w:top w:val="nil"/>
              <w:left w:val="nil"/>
              <w:bottom w:val="nil"/>
              <w:right w:val="nil"/>
            </w:tcBorders>
            <w:shd w:val="clear" w:color="auto" w:fill="A8D08D" w:themeFill="accent6" w:themeFillTint="99"/>
            <w:noWrap/>
            <w:vAlign w:val="bottom"/>
            <w:hideMark/>
          </w:tcPr>
          <w:p w14:paraId="0A50A2FE" w14:textId="697C5A0B"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3,284 </w:t>
            </w:r>
          </w:p>
        </w:tc>
        <w:tc>
          <w:tcPr>
            <w:tcW w:w="764" w:type="dxa"/>
            <w:tcBorders>
              <w:top w:val="nil"/>
              <w:left w:val="nil"/>
              <w:bottom w:val="nil"/>
              <w:right w:val="nil"/>
            </w:tcBorders>
            <w:shd w:val="clear" w:color="auto" w:fill="A8D08D" w:themeFill="accent6" w:themeFillTint="99"/>
            <w:noWrap/>
            <w:vAlign w:val="bottom"/>
            <w:hideMark/>
          </w:tcPr>
          <w:p w14:paraId="52898E77" w14:textId="633C2CE7"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3,221 </w:t>
            </w:r>
          </w:p>
        </w:tc>
        <w:tc>
          <w:tcPr>
            <w:tcW w:w="764" w:type="dxa"/>
            <w:tcBorders>
              <w:top w:val="nil"/>
              <w:left w:val="nil"/>
              <w:bottom w:val="nil"/>
              <w:right w:val="nil"/>
            </w:tcBorders>
            <w:shd w:val="clear" w:color="auto" w:fill="A8D08D" w:themeFill="accent6" w:themeFillTint="99"/>
            <w:noWrap/>
            <w:vAlign w:val="bottom"/>
            <w:hideMark/>
          </w:tcPr>
          <w:p w14:paraId="022B3ACF" w14:textId="370DEEA0"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3,176 </w:t>
            </w:r>
          </w:p>
        </w:tc>
        <w:tc>
          <w:tcPr>
            <w:tcW w:w="764" w:type="dxa"/>
            <w:tcBorders>
              <w:top w:val="nil"/>
              <w:left w:val="nil"/>
              <w:bottom w:val="nil"/>
              <w:right w:val="single" w:sz="8" w:space="0" w:color="auto"/>
            </w:tcBorders>
            <w:shd w:val="clear" w:color="auto" w:fill="A8D08D" w:themeFill="accent6" w:themeFillTint="99"/>
            <w:noWrap/>
            <w:vAlign w:val="bottom"/>
            <w:hideMark/>
          </w:tcPr>
          <w:p w14:paraId="4F7BC6EE" w14:textId="01E6AD4A"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3,087 </w:t>
            </w:r>
          </w:p>
        </w:tc>
        <w:tc>
          <w:tcPr>
            <w:tcW w:w="764" w:type="dxa"/>
            <w:tcBorders>
              <w:top w:val="nil"/>
              <w:left w:val="single" w:sz="8" w:space="0" w:color="auto"/>
              <w:bottom w:val="nil"/>
              <w:right w:val="nil"/>
            </w:tcBorders>
            <w:shd w:val="clear" w:color="auto" w:fill="A8D08D" w:themeFill="accent6" w:themeFillTint="99"/>
            <w:noWrap/>
            <w:vAlign w:val="bottom"/>
            <w:hideMark/>
          </w:tcPr>
          <w:p w14:paraId="5A8B66FD"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83.36</w:t>
            </w:r>
          </w:p>
        </w:tc>
        <w:tc>
          <w:tcPr>
            <w:tcW w:w="764" w:type="dxa"/>
            <w:tcBorders>
              <w:top w:val="nil"/>
              <w:left w:val="nil"/>
              <w:bottom w:val="nil"/>
              <w:right w:val="nil"/>
            </w:tcBorders>
            <w:shd w:val="clear" w:color="auto" w:fill="A8D08D" w:themeFill="accent6" w:themeFillTint="99"/>
            <w:noWrap/>
            <w:vAlign w:val="bottom"/>
            <w:hideMark/>
          </w:tcPr>
          <w:p w14:paraId="30FAD02D"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63.72</w:t>
            </w:r>
          </w:p>
        </w:tc>
        <w:tc>
          <w:tcPr>
            <w:tcW w:w="764" w:type="dxa"/>
            <w:tcBorders>
              <w:top w:val="nil"/>
              <w:left w:val="nil"/>
              <w:bottom w:val="nil"/>
              <w:right w:val="nil"/>
            </w:tcBorders>
            <w:shd w:val="clear" w:color="auto" w:fill="A8D08D" w:themeFill="accent6" w:themeFillTint="99"/>
            <w:noWrap/>
            <w:vAlign w:val="bottom"/>
            <w:hideMark/>
          </w:tcPr>
          <w:p w14:paraId="21112724"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58.35</w:t>
            </w:r>
          </w:p>
        </w:tc>
        <w:tc>
          <w:tcPr>
            <w:tcW w:w="764" w:type="dxa"/>
            <w:tcBorders>
              <w:top w:val="nil"/>
              <w:left w:val="nil"/>
              <w:bottom w:val="nil"/>
              <w:right w:val="nil"/>
            </w:tcBorders>
            <w:shd w:val="clear" w:color="auto" w:fill="A8D08D" w:themeFill="accent6" w:themeFillTint="99"/>
            <w:noWrap/>
            <w:vAlign w:val="bottom"/>
            <w:hideMark/>
          </w:tcPr>
          <w:p w14:paraId="2A174CEC"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55.81</w:t>
            </w:r>
          </w:p>
        </w:tc>
        <w:tc>
          <w:tcPr>
            <w:tcW w:w="764" w:type="dxa"/>
            <w:tcBorders>
              <w:top w:val="nil"/>
              <w:left w:val="nil"/>
              <w:bottom w:val="nil"/>
              <w:right w:val="single" w:sz="4" w:space="0" w:color="999999"/>
            </w:tcBorders>
            <w:shd w:val="clear" w:color="auto" w:fill="A8D08D" w:themeFill="accent6" w:themeFillTint="99"/>
            <w:noWrap/>
            <w:vAlign w:val="bottom"/>
            <w:hideMark/>
          </w:tcPr>
          <w:p w14:paraId="5AEEC017"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48.11</w:t>
            </w:r>
          </w:p>
        </w:tc>
      </w:tr>
      <w:tr w:rsidR="00A0244C" w:rsidRPr="00BC1ABD" w14:paraId="40028D01" w14:textId="77777777" w:rsidTr="007354E3">
        <w:trPr>
          <w:trHeight w:val="288"/>
        </w:trPr>
        <w:tc>
          <w:tcPr>
            <w:tcW w:w="1411" w:type="dxa"/>
            <w:tcBorders>
              <w:top w:val="nil"/>
              <w:left w:val="single" w:sz="4" w:space="0" w:color="999999"/>
              <w:bottom w:val="nil"/>
              <w:right w:val="nil"/>
            </w:tcBorders>
            <w:shd w:val="clear" w:color="auto" w:fill="auto"/>
            <w:noWrap/>
            <w:vAlign w:val="bottom"/>
            <w:hideMark/>
          </w:tcPr>
          <w:p w14:paraId="47B5A6B8" w14:textId="77777777" w:rsidR="00A0244C" w:rsidRPr="00BC1ABD" w:rsidRDefault="00A0244C" w:rsidP="007354E3">
            <w:pPr>
              <w:spacing w:after="0" w:line="240" w:lineRule="auto"/>
              <w:ind w:firstLineChars="100" w:firstLine="180"/>
              <w:rPr>
                <w:rFonts w:eastAsia="Times New Roman" w:cs="Calibri"/>
                <w:color w:val="000000"/>
                <w:sz w:val="18"/>
                <w:szCs w:val="18"/>
                <w:lang w:val="en-GB" w:eastAsia="sl-SI"/>
              </w:rPr>
            </w:pPr>
            <w:r w:rsidRPr="00BC1ABD">
              <w:rPr>
                <w:rFonts w:eastAsia="Times New Roman" w:cs="Calibri"/>
                <w:color w:val="000000"/>
                <w:sz w:val="18"/>
                <w:szCs w:val="18"/>
                <w:lang w:val="en-GB" w:eastAsia="sl-SI"/>
              </w:rPr>
              <w:t xml:space="preserve">Silknet </w:t>
            </w:r>
          </w:p>
        </w:tc>
        <w:tc>
          <w:tcPr>
            <w:tcW w:w="765" w:type="dxa"/>
            <w:tcBorders>
              <w:top w:val="nil"/>
              <w:left w:val="single" w:sz="4" w:space="0" w:color="999999"/>
              <w:bottom w:val="nil"/>
              <w:right w:val="nil"/>
            </w:tcBorders>
            <w:shd w:val="clear" w:color="auto" w:fill="auto"/>
            <w:noWrap/>
            <w:vAlign w:val="bottom"/>
            <w:hideMark/>
          </w:tcPr>
          <w:p w14:paraId="1EC9C0C1"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auto"/>
            <w:noWrap/>
            <w:vAlign w:val="bottom"/>
            <w:hideMark/>
          </w:tcPr>
          <w:p w14:paraId="3CF472C5" w14:textId="57AEE7D2"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1,226 </w:t>
            </w:r>
          </w:p>
        </w:tc>
        <w:tc>
          <w:tcPr>
            <w:tcW w:w="764" w:type="dxa"/>
            <w:tcBorders>
              <w:top w:val="nil"/>
              <w:left w:val="nil"/>
              <w:bottom w:val="nil"/>
              <w:right w:val="nil"/>
            </w:tcBorders>
            <w:shd w:val="clear" w:color="auto" w:fill="auto"/>
            <w:noWrap/>
            <w:vAlign w:val="bottom"/>
            <w:hideMark/>
          </w:tcPr>
          <w:p w14:paraId="08E3D46C" w14:textId="63DBC69E"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1,534 </w:t>
            </w:r>
          </w:p>
        </w:tc>
        <w:tc>
          <w:tcPr>
            <w:tcW w:w="764" w:type="dxa"/>
            <w:tcBorders>
              <w:top w:val="nil"/>
              <w:left w:val="nil"/>
              <w:bottom w:val="nil"/>
              <w:right w:val="nil"/>
            </w:tcBorders>
            <w:shd w:val="clear" w:color="auto" w:fill="auto"/>
            <w:noWrap/>
            <w:vAlign w:val="bottom"/>
            <w:hideMark/>
          </w:tcPr>
          <w:p w14:paraId="2758F972" w14:textId="4643F548"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1,766 </w:t>
            </w:r>
          </w:p>
        </w:tc>
        <w:tc>
          <w:tcPr>
            <w:tcW w:w="764" w:type="dxa"/>
            <w:tcBorders>
              <w:top w:val="nil"/>
              <w:left w:val="nil"/>
              <w:bottom w:val="nil"/>
              <w:right w:val="single" w:sz="8" w:space="0" w:color="auto"/>
            </w:tcBorders>
            <w:shd w:val="clear" w:color="auto" w:fill="auto"/>
            <w:noWrap/>
            <w:vAlign w:val="bottom"/>
            <w:hideMark/>
          </w:tcPr>
          <w:p w14:paraId="1B664576" w14:textId="157CFBB1"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2,024 </w:t>
            </w:r>
          </w:p>
        </w:tc>
        <w:tc>
          <w:tcPr>
            <w:tcW w:w="764" w:type="dxa"/>
            <w:tcBorders>
              <w:top w:val="nil"/>
              <w:left w:val="single" w:sz="8" w:space="0" w:color="auto"/>
              <w:bottom w:val="nil"/>
              <w:right w:val="nil"/>
            </w:tcBorders>
            <w:shd w:val="clear" w:color="auto" w:fill="auto"/>
            <w:noWrap/>
            <w:vAlign w:val="bottom"/>
            <w:hideMark/>
          </w:tcPr>
          <w:p w14:paraId="3D837870"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nil"/>
              <w:right w:val="nil"/>
            </w:tcBorders>
            <w:shd w:val="clear" w:color="auto" w:fill="auto"/>
            <w:noWrap/>
            <w:vAlign w:val="bottom"/>
            <w:hideMark/>
          </w:tcPr>
          <w:p w14:paraId="77B03FD8"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23.79</w:t>
            </w:r>
          </w:p>
        </w:tc>
        <w:tc>
          <w:tcPr>
            <w:tcW w:w="764" w:type="dxa"/>
            <w:tcBorders>
              <w:top w:val="nil"/>
              <w:left w:val="nil"/>
              <w:bottom w:val="nil"/>
              <w:right w:val="nil"/>
            </w:tcBorders>
            <w:shd w:val="clear" w:color="auto" w:fill="auto"/>
            <w:noWrap/>
            <w:vAlign w:val="bottom"/>
            <w:hideMark/>
          </w:tcPr>
          <w:p w14:paraId="3F8E3588"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27.79</w:t>
            </w:r>
          </w:p>
        </w:tc>
        <w:tc>
          <w:tcPr>
            <w:tcW w:w="764" w:type="dxa"/>
            <w:tcBorders>
              <w:top w:val="nil"/>
              <w:left w:val="nil"/>
              <w:bottom w:val="nil"/>
              <w:right w:val="nil"/>
            </w:tcBorders>
            <w:shd w:val="clear" w:color="auto" w:fill="auto"/>
            <w:noWrap/>
            <w:vAlign w:val="bottom"/>
            <w:hideMark/>
          </w:tcPr>
          <w:p w14:paraId="4DA88A2E"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31.03</w:t>
            </w:r>
          </w:p>
        </w:tc>
        <w:tc>
          <w:tcPr>
            <w:tcW w:w="764" w:type="dxa"/>
            <w:tcBorders>
              <w:top w:val="nil"/>
              <w:left w:val="nil"/>
              <w:bottom w:val="nil"/>
              <w:right w:val="single" w:sz="4" w:space="0" w:color="999999"/>
            </w:tcBorders>
            <w:shd w:val="clear" w:color="auto" w:fill="auto"/>
            <w:noWrap/>
            <w:vAlign w:val="bottom"/>
            <w:hideMark/>
          </w:tcPr>
          <w:p w14:paraId="55C9F681"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31.54</w:t>
            </w:r>
          </w:p>
        </w:tc>
      </w:tr>
      <w:tr w:rsidR="00A0244C" w:rsidRPr="00BC1ABD" w14:paraId="7F637623" w14:textId="77777777" w:rsidTr="007354E3">
        <w:trPr>
          <w:trHeight w:val="288"/>
        </w:trPr>
        <w:tc>
          <w:tcPr>
            <w:tcW w:w="1411" w:type="dxa"/>
            <w:tcBorders>
              <w:top w:val="nil"/>
              <w:left w:val="single" w:sz="4" w:space="0" w:color="999999"/>
              <w:bottom w:val="nil"/>
              <w:right w:val="nil"/>
            </w:tcBorders>
            <w:shd w:val="clear" w:color="auto" w:fill="auto"/>
            <w:noWrap/>
            <w:vAlign w:val="bottom"/>
            <w:hideMark/>
          </w:tcPr>
          <w:p w14:paraId="3CE8268C" w14:textId="77777777" w:rsidR="00A0244C" w:rsidRPr="00BC1ABD" w:rsidRDefault="00A0244C" w:rsidP="007354E3">
            <w:pPr>
              <w:spacing w:after="0" w:line="240" w:lineRule="auto"/>
              <w:ind w:firstLineChars="100" w:firstLine="180"/>
              <w:rPr>
                <w:rFonts w:eastAsia="Times New Roman" w:cs="Calibri"/>
                <w:color w:val="000000"/>
                <w:sz w:val="18"/>
                <w:szCs w:val="18"/>
                <w:lang w:val="en-GB" w:eastAsia="sl-SI"/>
              </w:rPr>
            </w:pPr>
            <w:r w:rsidRPr="00BC1ABD">
              <w:rPr>
                <w:rFonts w:eastAsia="Times New Roman" w:cs="Calibri"/>
                <w:color w:val="000000"/>
                <w:sz w:val="18"/>
                <w:szCs w:val="18"/>
                <w:lang w:val="en-GB" w:eastAsia="sl-SI"/>
              </w:rPr>
              <w:t>VGS Network</w:t>
            </w:r>
          </w:p>
        </w:tc>
        <w:tc>
          <w:tcPr>
            <w:tcW w:w="765" w:type="dxa"/>
            <w:tcBorders>
              <w:top w:val="nil"/>
              <w:left w:val="single" w:sz="4" w:space="0" w:color="999999"/>
              <w:bottom w:val="nil"/>
              <w:right w:val="nil"/>
            </w:tcBorders>
            <w:shd w:val="clear" w:color="auto" w:fill="auto"/>
            <w:noWrap/>
            <w:vAlign w:val="bottom"/>
            <w:hideMark/>
          </w:tcPr>
          <w:p w14:paraId="311B91C4" w14:textId="4A5250D0"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489 </w:t>
            </w:r>
          </w:p>
        </w:tc>
        <w:tc>
          <w:tcPr>
            <w:tcW w:w="764" w:type="dxa"/>
            <w:tcBorders>
              <w:top w:val="nil"/>
              <w:left w:val="nil"/>
              <w:bottom w:val="nil"/>
              <w:right w:val="nil"/>
            </w:tcBorders>
            <w:shd w:val="clear" w:color="auto" w:fill="auto"/>
            <w:noWrap/>
            <w:vAlign w:val="bottom"/>
            <w:hideMark/>
          </w:tcPr>
          <w:p w14:paraId="09B3DBEE" w14:textId="555EE5F3"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455 </w:t>
            </w:r>
          </w:p>
        </w:tc>
        <w:tc>
          <w:tcPr>
            <w:tcW w:w="764" w:type="dxa"/>
            <w:tcBorders>
              <w:top w:val="nil"/>
              <w:left w:val="nil"/>
              <w:bottom w:val="nil"/>
              <w:right w:val="nil"/>
            </w:tcBorders>
            <w:shd w:val="clear" w:color="auto" w:fill="auto"/>
            <w:noWrap/>
            <w:vAlign w:val="bottom"/>
            <w:hideMark/>
          </w:tcPr>
          <w:p w14:paraId="5408F720" w14:textId="46756358"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564 </w:t>
            </w:r>
          </w:p>
        </w:tc>
        <w:tc>
          <w:tcPr>
            <w:tcW w:w="764" w:type="dxa"/>
            <w:tcBorders>
              <w:top w:val="nil"/>
              <w:left w:val="nil"/>
              <w:bottom w:val="nil"/>
              <w:right w:val="nil"/>
            </w:tcBorders>
            <w:shd w:val="clear" w:color="auto" w:fill="auto"/>
            <w:noWrap/>
            <w:vAlign w:val="bottom"/>
            <w:hideMark/>
          </w:tcPr>
          <w:p w14:paraId="76FD7345" w14:textId="378299A2"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547 </w:t>
            </w:r>
          </w:p>
        </w:tc>
        <w:tc>
          <w:tcPr>
            <w:tcW w:w="764" w:type="dxa"/>
            <w:tcBorders>
              <w:top w:val="nil"/>
              <w:left w:val="nil"/>
              <w:bottom w:val="nil"/>
              <w:right w:val="single" w:sz="8" w:space="0" w:color="auto"/>
            </w:tcBorders>
            <w:shd w:val="clear" w:color="auto" w:fill="auto"/>
            <w:noWrap/>
            <w:vAlign w:val="bottom"/>
            <w:hideMark/>
          </w:tcPr>
          <w:p w14:paraId="743C0670" w14:textId="0BE526C5"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900 </w:t>
            </w:r>
          </w:p>
        </w:tc>
        <w:tc>
          <w:tcPr>
            <w:tcW w:w="764" w:type="dxa"/>
            <w:tcBorders>
              <w:top w:val="nil"/>
              <w:left w:val="single" w:sz="8" w:space="0" w:color="auto"/>
              <w:bottom w:val="nil"/>
              <w:right w:val="nil"/>
            </w:tcBorders>
            <w:shd w:val="clear" w:color="auto" w:fill="auto"/>
            <w:noWrap/>
            <w:vAlign w:val="bottom"/>
            <w:hideMark/>
          </w:tcPr>
          <w:p w14:paraId="3DCFF7F0"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11.86</w:t>
            </w:r>
          </w:p>
        </w:tc>
        <w:tc>
          <w:tcPr>
            <w:tcW w:w="764" w:type="dxa"/>
            <w:tcBorders>
              <w:top w:val="nil"/>
              <w:left w:val="nil"/>
              <w:bottom w:val="nil"/>
              <w:right w:val="nil"/>
            </w:tcBorders>
            <w:shd w:val="clear" w:color="auto" w:fill="auto"/>
            <w:noWrap/>
            <w:vAlign w:val="bottom"/>
            <w:hideMark/>
          </w:tcPr>
          <w:p w14:paraId="6E6798C3"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8.83</w:t>
            </w:r>
          </w:p>
        </w:tc>
        <w:tc>
          <w:tcPr>
            <w:tcW w:w="764" w:type="dxa"/>
            <w:tcBorders>
              <w:top w:val="nil"/>
              <w:left w:val="nil"/>
              <w:bottom w:val="nil"/>
              <w:right w:val="nil"/>
            </w:tcBorders>
            <w:shd w:val="clear" w:color="auto" w:fill="auto"/>
            <w:noWrap/>
            <w:vAlign w:val="bottom"/>
            <w:hideMark/>
          </w:tcPr>
          <w:p w14:paraId="175C643B"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10.22</w:t>
            </w:r>
          </w:p>
        </w:tc>
        <w:tc>
          <w:tcPr>
            <w:tcW w:w="764" w:type="dxa"/>
            <w:tcBorders>
              <w:top w:val="nil"/>
              <w:left w:val="nil"/>
              <w:bottom w:val="nil"/>
              <w:right w:val="nil"/>
            </w:tcBorders>
            <w:shd w:val="clear" w:color="auto" w:fill="auto"/>
            <w:noWrap/>
            <w:vAlign w:val="bottom"/>
            <w:hideMark/>
          </w:tcPr>
          <w:p w14:paraId="4E7DFAC8"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9.61</w:t>
            </w:r>
          </w:p>
        </w:tc>
        <w:tc>
          <w:tcPr>
            <w:tcW w:w="764" w:type="dxa"/>
            <w:tcBorders>
              <w:top w:val="nil"/>
              <w:left w:val="nil"/>
              <w:bottom w:val="nil"/>
              <w:right w:val="single" w:sz="4" w:space="0" w:color="999999"/>
            </w:tcBorders>
            <w:shd w:val="clear" w:color="auto" w:fill="auto"/>
            <w:noWrap/>
            <w:vAlign w:val="bottom"/>
            <w:hideMark/>
          </w:tcPr>
          <w:p w14:paraId="520AB235"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14.03</w:t>
            </w:r>
          </w:p>
        </w:tc>
      </w:tr>
      <w:tr w:rsidR="00A0244C" w:rsidRPr="00BC1ABD" w14:paraId="7617943E" w14:textId="77777777" w:rsidTr="007354E3">
        <w:trPr>
          <w:trHeight w:val="288"/>
        </w:trPr>
        <w:tc>
          <w:tcPr>
            <w:tcW w:w="1411" w:type="dxa"/>
            <w:tcBorders>
              <w:top w:val="nil"/>
              <w:left w:val="single" w:sz="4" w:space="0" w:color="999999"/>
              <w:bottom w:val="nil"/>
              <w:right w:val="nil"/>
            </w:tcBorders>
            <w:shd w:val="clear" w:color="auto" w:fill="auto"/>
            <w:noWrap/>
            <w:vAlign w:val="bottom"/>
            <w:hideMark/>
          </w:tcPr>
          <w:p w14:paraId="25B82995" w14:textId="77777777" w:rsidR="00A0244C" w:rsidRPr="00BC1ABD" w:rsidRDefault="00A0244C" w:rsidP="007354E3">
            <w:pPr>
              <w:spacing w:after="0" w:line="240" w:lineRule="auto"/>
              <w:ind w:firstLineChars="100" w:firstLine="180"/>
              <w:rPr>
                <w:rFonts w:eastAsia="Times New Roman" w:cs="Calibri"/>
                <w:color w:val="000000"/>
                <w:sz w:val="18"/>
                <w:szCs w:val="18"/>
                <w:lang w:val="en-GB" w:eastAsia="sl-SI"/>
              </w:rPr>
            </w:pPr>
            <w:r w:rsidRPr="00BC1ABD">
              <w:rPr>
                <w:rFonts w:eastAsia="Times New Roman" w:cs="Calibri"/>
                <w:color w:val="000000"/>
                <w:sz w:val="18"/>
                <w:szCs w:val="18"/>
                <w:lang w:val="en-GB" w:eastAsia="sl-SI"/>
              </w:rPr>
              <w:t>LocalNet</w:t>
            </w:r>
          </w:p>
        </w:tc>
        <w:tc>
          <w:tcPr>
            <w:tcW w:w="765" w:type="dxa"/>
            <w:tcBorders>
              <w:top w:val="nil"/>
              <w:left w:val="single" w:sz="4" w:space="0" w:color="999999"/>
              <w:bottom w:val="nil"/>
              <w:right w:val="nil"/>
            </w:tcBorders>
            <w:shd w:val="clear" w:color="auto" w:fill="auto"/>
            <w:noWrap/>
            <w:vAlign w:val="bottom"/>
            <w:hideMark/>
          </w:tcPr>
          <w:p w14:paraId="251FFF30"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auto"/>
            <w:noWrap/>
            <w:vAlign w:val="bottom"/>
            <w:hideMark/>
          </w:tcPr>
          <w:p w14:paraId="578DA7E8"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auto"/>
            <w:noWrap/>
            <w:vAlign w:val="bottom"/>
            <w:hideMark/>
          </w:tcPr>
          <w:p w14:paraId="706F5674"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nil"/>
              <w:right w:val="nil"/>
            </w:tcBorders>
            <w:shd w:val="clear" w:color="auto" w:fill="auto"/>
            <w:noWrap/>
            <w:vAlign w:val="bottom"/>
            <w:hideMark/>
          </w:tcPr>
          <w:p w14:paraId="7A54A4E9" w14:textId="1A9139C1"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 -</w:t>
            </w: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 </w:t>
            </w:r>
          </w:p>
        </w:tc>
        <w:tc>
          <w:tcPr>
            <w:tcW w:w="764" w:type="dxa"/>
            <w:tcBorders>
              <w:top w:val="nil"/>
              <w:left w:val="nil"/>
              <w:bottom w:val="nil"/>
              <w:right w:val="single" w:sz="8" w:space="0" w:color="auto"/>
            </w:tcBorders>
            <w:shd w:val="clear" w:color="auto" w:fill="auto"/>
            <w:noWrap/>
            <w:vAlign w:val="bottom"/>
            <w:hideMark/>
          </w:tcPr>
          <w:p w14:paraId="1C4779C1" w14:textId="730D6C77"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208 </w:t>
            </w:r>
          </w:p>
        </w:tc>
        <w:tc>
          <w:tcPr>
            <w:tcW w:w="764" w:type="dxa"/>
            <w:tcBorders>
              <w:top w:val="nil"/>
              <w:left w:val="single" w:sz="8" w:space="0" w:color="auto"/>
              <w:bottom w:val="nil"/>
              <w:right w:val="nil"/>
            </w:tcBorders>
            <w:shd w:val="clear" w:color="auto" w:fill="auto"/>
            <w:noWrap/>
            <w:vAlign w:val="bottom"/>
            <w:hideMark/>
          </w:tcPr>
          <w:p w14:paraId="7D16A55F"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nil"/>
              <w:right w:val="nil"/>
            </w:tcBorders>
            <w:shd w:val="clear" w:color="auto" w:fill="auto"/>
            <w:noWrap/>
            <w:vAlign w:val="bottom"/>
            <w:hideMark/>
          </w:tcPr>
          <w:p w14:paraId="68D3198E"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nil"/>
              <w:right w:val="nil"/>
            </w:tcBorders>
            <w:shd w:val="clear" w:color="auto" w:fill="auto"/>
            <w:noWrap/>
            <w:vAlign w:val="bottom"/>
            <w:hideMark/>
          </w:tcPr>
          <w:p w14:paraId="05885A18"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nil"/>
              <w:right w:val="nil"/>
            </w:tcBorders>
            <w:shd w:val="clear" w:color="auto" w:fill="auto"/>
            <w:noWrap/>
            <w:vAlign w:val="bottom"/>
            <w:hideMark/>
          </w:tcPr>
          <w:p w14:paraId="5AF507B6"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nil"/>
              <w:right w:val="single" w:sz="4" w:space="0" w:color="999999"/>
            </w:tcBorders>
            <w:shd w:val="clear" w:color="auto" w:fill="auto"/>
            <w:noWrap/>
            <w:vAlign w:val="bottom"/>
            <w:hideMark/>
          </w:tcPr>
          <w:p w14:paraId="0535A56A"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3.24</w:t>
            </w:r>
          </w:p>
        </w:tc>
      </w:tr>
      <w:tr w:rsidR="00A0244C" w:rsidRPr="00BC1ABD" w14:paraId="5FA0E46E" w14:textId="77777777" w:rsidTr="007354E3">
        <w:trPr>
          <w:trHeight w:val="288"/>
        </w:trPr>
        <w:tc>
          <w:tcPr>
            <w:tcW w:w="1411" w:type="dxa"/>
            <w:tcBorders>
              <w:top w:val="nil"/>
              <w:left w:val="single" w:sz="4" w:space="0" w:color="999999"/>
              <w:bottom w:val="nil"/>
              <w:right w:val="nil"/>
            </w:tcBorders>
            <w:shd w:val="clear" w:color="auto" w:fill="auto"/>
            <w:noWrap/>
            <w:vAlign w:val="bottom"/>
            <w:hideMark/>
          </w:tcPr>
          <w:p w14:paraId="019F0C55" w14:textId="77777777" w:rsidR="00A0244C" w:rsidRPr="00BC1ABD" w:rsidRDefault="00A0244C" w:rsidP="007354E3">
            <w:pPr>
              <w:spacing w:after="0" w:line="240" w:lineRule="auto"/>
              <w:ind w:firstLineChars="100" w:firstLine="180"/>
              <w:rPr>
                <w:rFonts w:eastAsia="Times New Roman" w:cs="Calibri"/>
                <w:color w:val="000000"/>
                <w:sz w:val="18"/>
                <w:szCs w:val="18"/>
                <w:lang w:val="en-GB" w:eastAsia="sl-SI"/>
              </w:rPr>
            </w:pPr>
            <w:r w:rsidRPr="00BC1ABD">
              <w:rPr>
                <w:rFonts w:eastAsia="Times New Roman" w:cs="Calibri"/>
                <w:color w:val="000000"/>
                <w:sz w:val="18"/>
                <w:szCs w:val="18"/>
                <w:lang w:val="en-GB" w:eastAsia="sl-SI"/>
              </w:rPr>
              <w:t>LukNet</w:t>
            </w:r>
          </w:p>
        </w:tc>
        <w:tc>
          <w:tcPr>
            <w:tcW w:w="765" w:type="dxa"/>
            <w:tcBorders>
              <w:top w:val="nil"/>
              <w:left w:val="single" w:sz="4" w:space="0" w:color="999999"/>
              <w:bottom w:val="nil"/>
              <w:right w:val="nil"/>
            </w:tcBorders>
            <w:shd w:val="clear" w:color="auto" w:fill="auto"/>
            <w:noWrap/>
            <w:vAlign w:val="bottom"/>
            <w:hideMark/>
          </w:tcPr>
          <w:p w14:paraId="4DA8CB74" w14:textId="588A059E"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197 </w:t>
            </w:r>
          </w:p>
        </w:tc>
        <w:tc>
          <w:tcPr>
            <w:tcW w:w="764" w:type="dxa"/>
            <w:tcBorders>
              <w:top w:val="nil"/>
              <w:left w:val="nil"/>
              <w:bottom w:val="nil"/>
              <w:right w:val="nil"/>
            </w:tcBorders>
            <w:shd w:val="clear" w:color="auto" w:fill="auto"/>
            <w:noWrap/>
            <w:vAlign w:val="bottom"/>
            <w:hideMark/>
          </w:tcPr>
          <w:p w14:paraId="5F921248" w14:textId="4545E681"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189 </w:t>
            </w:r>
          </w:p>
        </w:tc>
        <w:tc>
          <w:tcPr>
            <w:tcW w:w="764" w:type="dxa"/>
            <w:tcBorders>
              <w:top w:val="nil"/>
              <w:left w:val="nil"/>
              <w:bottom w:val="nil"/>
              <w:right w:val="nil"/>
            </w:tcBorders>
            <w:shd w:val="clear" w:color="auto" w:fill="auto"/>
            <w:noWrap/>
            <w:vAlign w:val="bottom"/>
            <w:hideMark/>
          </w:tcPr>
          <w:p w14:paraId="01D4441A" w14:textId="064A4CCC"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198 </w:t>
            </w:r>
          </w:p>
        </w:tc>
        <w:tc>
          <w:tcPr>
            <w:tcW w:w="764" w:type="dxa"/>
            <w:tcBorders>
              <w:top w:val="nil"/>
              <w:left w:val="nil"/>
              <w:bottom w:val="nil"/>
              <w:right w:val="nil"/>
            </w:tcBorders>
            <w:shd w:val="clear" w:color="auto" w:fill="auto"/>
            <w:noWrap/>
            <w:vAlign w:val="bottom"/>
            <w:hideMark/>
          </w:tcPr>
          <w:p w14:paraId="47455B28" w14:textId="07069235"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202 </w:t>
            </w:r>
          </w:p>
        </w:tc>
        <w:tc>
          <w:tcPr>
            <w:tcW w:w="764" w:type="dxa"/>
            <w:tcBorders>
              <w:top w:val="nil"/>
              <w:left w:val="nil"/>
              <w:bottom w:val="nil"/>
              <w:right w:val="single" w:sz="8" w:space="0" w:color="auto"/>
            </w:tcBorders>
            <w:shd w:val="clear" w:color="auto" w:fill="auto"/>
            <w:noWrap/>
            <w:vAlign w:val="bottom"/>
            <w:hideMark/>
          </w:tcPr>
          <w:p w14:paraId="4AC6F2D6" w14:textId="00AE8B02"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183 </w:t>
            </w:r>
          </w:p>
        </w:tc>
        <w:tc>
          <w:tcPr>
            <w:tcW w:w="764" w:type="dxa"/>
            <w:tcBorders>
              <w:top w:val="nil"/>
              <w:left w:val="single" w:sz="8" w:space="0" w:color="auto"/>
              <w:bottom w:val="nil"/>
              <w:right w:val="nil"/>
            </w:tcBorders>
            <w:shd w:val="clear" w:color="auto" w:fill="auto"/>
            <w:noWrap/>
            <w:vAlign w:val="bottom"/>
            <w:hideMark/>
          </w:tcPr>
          <w:p w14:paraId="4D5EDC66"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4.78</w:t>
            </w:r>
          </w:p>
        </w:tc>
        <w:tc>
          <w:tcPr>
            <w:tcW w:w="764" w:type="dxa"/>
            <w:tcBorders>
              <w:top w:val="nil"/>
              <w:left w:val="nil"/>
              <w:bottom w:val="nil"/>
              <w:right w:val="nil"/>
            </w:tcBorders>
            <w:shd w:val="clear" w:color="auto" w:fill="auto"/>
            <w:noWrap/>
            <w:vAlign w:val="bottom"/>
            <w:hideMark/>
          </w:tcPr>
          <w:p w14:paraId="4B3A1B08"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3.67</w:t>
            </w:r>
          </w:p>
        </w:tc>
        <w:tc>
          <w:tcPr>
            <w:tcW w:w="764" w:type="dxa"/>
            <w:tcBorders>
              <w:top w:val="nil"/>
              <w:left w:val="nil"/>
              <w:bottom w:val="nil"/>
              <w:right w:val="nil"/>
            </w:tcBorders>
            <w:shd w:val="clear" w:color="auto" w:fill="auto"/>
            <w:noWrap/>
            <w:vAlign w:val="bottom"/>
            <w:hideMark/>
          </w:tcPr>
          <w:p w14:paraId="0F2BE3EA"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3.59</w:t>
            </w:r>
          </w:p>
        </w:tc>
        <w:tc>
          <w:tcPr>
            <w:tcW w:w="764" w:type="dxa"/>
            <w:tcBorders>
              <w:top w:val="nil"/>
              <w:left w:val="nil"/>
              <w:bottom w:val="nil"/>
              <w:right w:val="nil"/>
            </w:tcBorders>
            <w:shd w:val="clear" w:color="auto" w:fill="auto"/>
            <w:noWrap/>
            <w:vAlign w:val="bottom"/>
            <w:hideMark/>
          </w:tcPr>
          <w:p w14:paraId="21D351F7"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3.55</w:t>
            </w:r>
          </w:p>
        </w:tc>
        <w:tc>
          <w:tcPr>
            <w:tcW w:w="764" w:type="dxa"/>
            <w:tcBorders>
              <w:top w:val="nil"/>
              <w:left w:val="nil"/>
              <w:bottom w:val="nil"/>
              <w:right w:val="single" w:sz="4" w:space="0" w:color="999999"/>
            </w:tcBorders>
            <w:shd w:val="clear" w:color="auto" w:fill="auto"/>
            <w:noWrap/>
            <w:vAlign w:val="bottom"/>
            <w:hideMark/>
          </w:tcPr>
          <w:p w14:paraId="42FC2EEC"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2.85</w:t>
            </w:r>
          </w:p>
        </w:tc>
      </w:tr>
      <w:tr w:rsidR="00A0244C" w:rsidRPr="00BC1ABD" w14:paraId="59665BB1" w14:textId="77777777" w:rsidTr="007354E3">
        <w:trPr>
          <w:trHeight w:val="288"/>
        </w:trPr>
        <w:tc>
          <w:tcPr>
            <w:tcW w:w="1411" w:type="dxa"/>
            <w:tcBorders>
              <w:top w:val="nil"/>
              <w:left w:val="single" w:sz="4" w:space="0" w:color="999999"/>
              <w:bottom w:val="single" w:sz="4" w:space="0" w:color="999999"/>
              <w:right w:val="nil"/>
            </w:tcBorders>
            <w:shd w:val="clear" w:color="auto" w:fill="auto"/>
            <w:noWrap/>
            <w:vAlign w:val="bottom"/>
            <w:hideMark/>
          </w:tcPr>
          <w:p w14:paraId="3A6841DA" w14:textId="77777777" w:rsidR="00A0244C" w:rsidRPr="00BC1ABD" w:rsidRDefault="00A0244C" w:rsidP="007354E3">
            <w:pPr>
              <w:spacing w:after="0" w:line="240" w:lineRule="auto"/>
              <w:ind w:firstLineChars="100" w:firstLine="180"/>
              <w:rPr>
                <w:rFonts w:eastAsia="Times New Roman" w:cs="Calibri"/>
                <w:color w:val="000000"/>
                <w:sz w:val="18"/>
                <w:szCs w:val="18"/>
                <w:lang w:val="en-GB" w:eastAsia="sl-SI"/>
              </w:rPr>
            </w:pPr>
            <w:r w:rsidRPr="00BC1ABD">
              <w:rPr>
                <w:rFonts w:eastAsia="Times New Roman" w:cs="Calibri"/>
                <w:color w:val="000000"/>
                <w:sz w:val="18"/>
                <w:szCs w:val="18"/>
                <w:lang w:val="en-GB" w:eastAsia="sl-SI"/>
              </w:rPr>
              <w:t>Dubline</w:t>
            </w:r>
          </w:p>
        </w:tc>
        <w:tc>
          <w:tcPr>
            <w:tcW w:w="765" w:type="dxa"/>
            <w:tcBorders>
              <w:top w:val="nil"/>
              <w:left w:val="single" w:sz="4" w:space="0" w:color="999999"/>
              <w:bottom w:val="single" w:sz="4" w:space="0" w:color="999999"/>
              <w:right w:val="nil"/>
            </w:tcBorders>
            <w:shd w:val="clear" w:color="auto" w:fill="auto"/>
            <w:noWrap/>
            <w:vAlign w:val="bottom"/>
            <w:hideMark/>
          </w:tcPr>
          <w:p w14:paraId="4CB325A1"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single" w:sz="4" w:space="0" w:color="999999"/>
              <w:right w:val="nil"/>
            </w:tcBorders>
            <w:shd w:val="clear" w:color="auto" w:fill="auto"/>
            <w:noWrap/>
            <w:vAlign w:val="bottom"/>
            <w:hideMark/>
          </w:tcPr>
          <w:p w14:paraId="0FB77EBD"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single" w:sz="4" w:space="0" w:color="999999"/>
              <w:right w:val="nil"/>
            </w:tcBorders>
            <w:shd w:val="clear" w:color="auto" w:fill="auto"/>
            <w:noWrap/>
            <w:vAlign w:val="bottom"/>
            <w:hideMark/>
          </w:tcPr>
          <w:p w14:paraId="0D85C5B2" w14:textId="17E8BA39"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3 </w:t>
            </w:r>
          </w:p>
        </w:tc>
        <w:tc>
          <w:tcPr>
            <w:tcW w:w="764" w:type="dxa"/>
            <w:tcBorders>
              <w:top w:val="nil"/>
              <w:left w:val="nil"/>
              <w:bottom w:val="single" w:sz="4" w:space="0" w:color="999999"/>
              <w:right w:val="nil"/>
            </w:tcBorders>
            <w:shd w:val="clear" w:color="auto" w:fill="auto"/>
            <w:noWrap/>
            <w:vAlign w:val="bottom"/>
            <w:hideMark/>
          </w:tcPr>
          <w:p w14:paraId="5FFDF782" w14:textId="77777777" w:rsidR="00A0244C" w:rsidRPr="00BC1ABD" w:rsidRDefault="00A0244C" w:rsidP="007354E3">
            <w:pPr>
              <w:spacing w:after="0" w:line="240" w:lineRule="auto"/>
              <w:rPr>
                <w:rFonts w:eastAsia="Times New Roman" w:cs="Calibri"/>
                <w:color w:val="000000"/>
                <w:sz w:val="18"/>
                <w:szCs w:val="18"/>
                <w:lang w:val="en-GB" w:eastAsia="sl-SI"/>
              </w:rPr>
            </w:pPr>
            <w:r w:rsidRPr="00BC1ABD">
              <w:rPr>
                <w:rFonts w:eastAsia="Times New Roman" w:cs="Calibri"/>
                <w:color w:val="000000"/>
                <w:sz w:val="18"/>
                <w:szCs w:val="18"/>
                <w:lang w:val="en-GB" w:eastAsia="sl-SI"/>
              </w:rPr>
              <w:t> </w:t>
            </w:r>
          </w:p>
        </w:tc>
        <w:tc>
          <w:tcPr>
            <w:tcW w:w="764" w:type="dxa"/>
            <w:tcBorders>
              <w:top w:val="nil"/>
              <w:left w:val="nil"/>
              <w:bottom w:val="single" w:sz="4" w:space="0" w:color="999999"/>
              <w:right w:val="single" w:sz="8" w:space="0" w:color="auto"/>
            </w:tcBorders>
            <w:shd w:val="clear" w:color="auto" w:fill="auto"/>
            <w:noWrap/>
            <w:vAlign w:val="bottom"/>
            <w:hideMark/>
          </w:tcPr>
          <w:p w14:paraId="2D0D18C2" w14:textId="2C9B23A5" w:rsidR="00A0244C" w:rsidRPr="00BC1ABD" w:rsidRDefault="00195B2F" w:rsidP="007354E3">
            <w:pPr>
              <w:spacing w:after="0" w:line="240" w:lineRule="auto"/>
              <w:rPr>
                <w:rFonts w:eastAsia="Times New Roman" w:cs="Calibri"/>
                <w:color w:val="000000"/>
                <w:sz w:val="18"/>
                <w:szCs w:val="18"/>
                <w:lang w:val="en-GB" w:eastAsia="sl-SI"/>
              </w:rPr>
            </w:pPr>
            <w:r>
              <w:rPr>
                <w:rFonts w:eastAsia="Times New Roman" w:cs="Calibri"/>
                <w:color w:val="000000"/>
                <w:sz w:val="18"/>
                <w:szCs w:val="18"/>
                <w:lang w:val="en-GB" w:eastAsia="sl-SI"/>
              </w:rPr>
              <w:t xml:space="preserve">     </w:t>
            </w:r>
            <w:r w:rsidR="00A0244C" w:rsidRPr="00BC1ABD">
              <w:rPr>
                <w:rFonts w:eastAsia="Times New Roman" w:cs="Calibri"/>
                <w:color w:val="000000"/>
                <w:sz w:val="18"/>
                <w:szCs w:val="18"/>
                <w:lang w:val="en-GB" w:eastAsia="sl-SI"/>
              </w:rPr>
              <w:t xml:space="preserve">15 </w:t>
            </w:r>
          </w:p>
        </w:tc>
        <w:tc>
          <w:tcPr>
            <w:tcW w:w="764" w:type="dxa"/>
            <w:tcBorders>
              <w:top w:val="nil"/>
              <w:left w:val="single" w:sz="8" w:space="0" w:color="auto"/>
              <w:bottom w:val="single" w:sz="4" w:space="0" w:color="999999"/>
              <w:right w:val="nil"/>
            </w:tcBorders>
            <w:shd w:val="clear" w:color="auto" w:fill="auto"/>
            <w:noWrap/>
            <w:vAlign w:val="bottom"/>
            <w:hideMark/>
          </w:tcPr>
          <w:p w14:paraId="6A7B9ED8"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single" w:sz="4" w:space="0" w:color="999999"/>
              <w:right w:val="nil"/>
            </w:tcBorders>
            <w:shd w:val="clear" w:color="auto" w:fill="auto"/>
            <w:noWrap/>
            <w:vAlign w:val="bottom"/>
            <w:hideMark/>
          </w:tcPr>
          <w:p w14:paraId="2389B28A"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single" w:sz="4" w:space="0" w:color="999999"/>
              <w:right w:val="nil"/>
            </w:tcBorders>
            <w:shd w:val="clear" w:color="auto" w:fill="auto"/>
            <w:noWrap/>
            <w:vAlign w:val="bottom"/>
            <w:hideMark/>
          </w:tcPr>
          <w:p w14:paraId="74932B73"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0.05</w:t>
            </w:r>
          </w:p>
        </w:tc>
        <w:tc>
          <w:tcPr>
            <w:tcW w:w="764" w:type="dxa"/>
            <w:tcBorders>
              <w:top w:val="nil"/>
              <w:left w:val="nil"/>
              <w:bottom w:val="single" w:sz="4" w:space="0" w:color="999999"/>
              <w:right w:val="nil"/>
            </w:tcBorders>
            <w:shd w:val="clear" w:color="auto" w:fill="auto"/>
            <w:noWrap/>
            <w:vAlign w:val="bottom"/>
            <w:hideMark/>
          </w:tcPr>
          <w:p w14:paraId="4CF6DA61"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0.00</w:t>
            </w:r>
          </w:p>
        </w:tc>
        <w:tc>
          <w:tcPr>
            <w:tcW w:w="764" w:type="dxa"/>
            <w:tcBorders>
              <w:top w:val="nil"/>
              <w:left w:val="nil"/>
              <w:bottom w:val="single" w:sz="4" w:space="0" w:color="999999"/>
              <w:right w:val="single" w:sz="4" w:space="0" w:color="999999"/>
            </w:tcBorders>
            <w:shd w:val="clear" w:color="auto" w:fill="auto"/>
            <w:noWrap/>
            <w:vAlign w:val="bottom"/>
            <w:hideMark/>
          </w:tcPr>
          <w:p w14:paraId="3524A1F7" w14:textId="77777777" w:rsidR="00A0244C" w:rsidRPr="00BC1ABD" w:rsidRDefault="00A0244C" w:rsidP="007354E3">
            <w:pPr>
              <w:spacing w:after="0" w:line="240" w:lineRule="auto"/>
              <w:jc w:val="right"/>
              <w:rPr>
                <w:rFonts w:eastAsia="Times New Roman" w:cs="Calibri"/>
                <w:color w:val="000000"/>
                <w:sz w:val="18"/>
                <w:szCs w:val="18"/>
                <w:lang w:val="en-GB" w:eastAsia="sl-SI"/>
              </w:rPr>
            </w:pPr>
            <w:r w:rsidRPr="00BC1ABD">
              <w:rPr>
                <w:rFonts w:eastAsia="Times New Roman" w:cs="Calibri"/>
                <w:color w:val="000000"/>
                <w:sz w:val="18"/>
                <w:szCs w:val="18"/>
                <w:lang w:val="en-GB" w:eastAsia="sl-SI"/>
              </w:rPr>
              <w:t>0.23</w:t>
            </w:r>
          </w:p>
        </w:tc>
      </w:tr>
    </w:tbl>
    <w:p w14:paraId="46D882C5" w14:textId="77777777" w:rsidR="00A0244C" w:rsidRPr="00BC1ABD" w:rsidRDefault="00A0244C" w:rsidP="00A0244C">
      <w:pPr>
        <w:jc w:val="center"/>
        <w:rPr>
          <w:rFonts w:cs="Arial"/>
          <w:sz w:val="4"/>
          <w:szCs w:val="4"/>
          <w:lang w:val="en-GB"/>
        </w:rPr>
      </w:pPr>
    </w:p>
    <w:p w14:paraId="7B1DA7DD" w14:textId="77777777" w:rsidR="00A0244C" w:rsidRPr="00BC1ABD" w:rsidRDefault="00A0244C" w:rsidP="00A0244C">
      <w:pPr>
        <w:jc w:val="center"/>
        <w:rPr>
          <w:rFonts w:cs="Arial"/>
          <w:sz w:val="20"/>
          <w:szCs w:val="20"/>
          <w:lang w:val="en-GB"/>
        </w:rPr>
      </w:pPr>
      <w:r w:rsidRPr="00BC1ABD">
        <w:rPr>
          <w:rFonts w:cs="Arial"/>
          <w:sz w:val="20"/>
          <w:szCs w:val="20"/>
          <w:lang w:val="en-GB"/>
        </w:rPr>
        <w:t>Source: ComCom data</w:t>
      </w:r>
    </w:p>
    <w:p w14:paraId="3BBDC37E" w14:textId="77777777" w:rsidR="00A0244C" w:rsidRPr="00275D46" w:rsidRDefault="00A0244C" w:rsidP="00275D46">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23" w:name="_Toc169258984"/>
      <w:r w:rsidRPr="00275D46">
        <w:rPr>
          <w:rFonts w:asciiTheme="minorHAnsi" w:hAnsiTheme="minorHAnsi" w:cstheme="minorHAnsi"/>
          <w:b w:val="0"/>
          <w:bCs w:val="0"/>
          <w:sz w:val="24"/>
          <w:szCs w:val="24"/>
          <w:lang w:val="en-GB"/>
        </w:rPr>
        <w:t>Premises passed</w:t>
      </w:r>
      <w:bookmarkEnd w:id="323"/>
    </w:p>
    <w:p w14:paraId="7A019C80" w14:textId="1B07C3F4" w:rsidR="00A0244C" w:rsidRPr="00BC1ABD" w:rsidRDefault="00F026B4" w:rsidP="00A0244C">
      <w:pPr>
        <w:jc w:val="both"/>
        <w:rPr>
          <w:rFonts w:cs="Arial"/>
          <w:sz w:val="24"/>
          <w:szCs w:val="24"/>
          <w:lang w:val="en-GB"/>
        </w:rPr>
      </w:pPr>
      <w:r>
        <w:rPr>
          <w:rFonts w:cs="Arial"/>
          <w:sz w:val="24"/>
          <w:szCs w:val="24"/>
          <w:lang w:val="en-GB"/>
        </w:rPr>
        <w:t>FTTx</w:t>
      </w:r>
      <w:r w:rsidR="00A0244C" w:rsidRPr="00BC1ABD">
        <w:rPr>
          <w:rFonts w:cs="Arial"/>
          <w:sz w:val="24"/>
          <w:szCs w:val="24"/>
          <w:lang w:val="en-GB"/>
        </w:rPr>
        <w:t xml:space="preserve"> network coverage data (premises passed by each </w:t>
      </w:r>
      <w:r>
        <w:rPr>
          <w:rFonts w:cs="Arial"/>
          <w:sz w:val="24"/>
          <w:szCs w:val="24"/>
          <w:lang w:val="en-GB"/>
        </w:rPr>
        <w:t>FTTx</w:t>
      </w:r>
      <w:r w:rsidR="00A0244C" w:rsidRPr="00BC1ABD">
        <w:rPr>
          <w:rFonts w:cs="Arial"/>
          <w:sz w:val="24"/>
          <w:szCs w:val="24"/>
          <w:lang w:val="en-GB"/>
        </w:rPr>
        <w:t xml:space="preserve"> network operator) was collected by ComCom in a questionnaire to operators during November 2022. It cannot be assumed that the results of the coverage assessment were accurate (see also Chapter </w:t>
      </w:r>
      <w:r w:rsidR="00974F95">
        <w:rPr>
          <w:rFonts w:cs="Arial"/>
          <w:sz w:val="24"/>
          <w:szCs w:val="24"/>
          <w:lang w:val="en-GB"/>
        </w:rPr>
        <w:t>6</w:t>
      </w:r>
      <w:r w:rsidR="00A0244C" w:rsidRPr="00BC1ABD">
        <w:rPr>
          <w:rFonts w:cs="Arial"/>
          <w:sz w:val="24"/>
          <w:szCs w:val="24"/>
          <w:lang w:val="en-GB"/>
        </w:rPr>
        <w:t>.3.5).</w:t>
      </w:r>
    </w:p>
    <w:p w14:paraId="2ADDD1A3" w14:textId="77777777" w:rsidR="00A0244C" w:rsidRPr="00BC1ABD" w:rsidRDefault="00A0244C" w:rsidP="00A0244C">
      <w:pPr>
        <w:jc w:val="both"/>
        <w:rPr>
          <w:rFonts w:cs="Arial"/>
          <w:sz w:val="24"/>
          <w:szCs w:val="24"/>
          <w:lang w:val="en-GB"/>
        </w:rPr>
      </w:pPr>
      <w:r w:rsidRPr="00BC1ABD">
        <w:rPr>
          <w:rFonts w:cs="Arial"/>
          <w:sz w:val="24"/>
          <w:szCs w:val="24"/>
          <w:lang w:val="en-GB"/>
        </w:rPr>
        <w:t xml:space="preserve">The definition of premises passed (relating to FTXX coverage) in the Questionnaire was: </w:t>
      </w:r>
      <w:r w:rsidRPr="00BC1ABD">
        <w:rPr>
          <w:rFonts w:cs="Arial"/>
          <w:i/>
          <w:iCs/>
          <w:sz w:val="24"/>
          <w:szCs w:val="24"/>
          <w:lang w:val="en-GB"/>
        </w:rPr>
        <w:t>“In multi-dwelling buildings all units in the building are covered if one unit is covered by an active or inactive connection point. For a single dwelling building: If it can be connected without significant costs within 7 days.”</w:t>
      </w:r>
    </w:p>
    <w:p w14:paraId="1AC02CDD" w14:textId="7E0DB179" w:rsidR="00A0244C" w:rsidRPr="00BC1ABD" w:rsidRDefault="00A0244C" w:rsidP="00A0244C">
      <w:pPr>
        <w:pStyle w:val="Caption"/>
        <w:jc w:val="center"/>
        <w:rPr>
          <w:rFonts w:cs="Arial"/>
          <w:b/>
          <w:sz w:val="24"/>
          <w:szCs w:val="24"/>
          <w:lang w:val="en-GB"/>
        </w:rPr>
      </w:pPr>
      <w:bookmarkStart w:id="324" w:name="_Toc152931420"/>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69</w:t>
      </w:r>
      <w:r w:rsidRPr="00BC1ABD">
        <w:rPr>
          <w:lang w:val="en-GB"/>
        </w:rPr>
        <w:fldChar w:fldCharType="end"/>
      </w:r>
      <w:r w:rsidRPr="00BC1ABD">
        <w:rPr>
          <w:lang w:val="en-GB"/>
        </w:rPr>
        <w:t xml:space="preserve">: </w:t>
      </w:r>
      <w:r w:rsidR="00F026B4">
        <w:rPr>
          <w:lang w:val="en-GB"/>
        </w:rPr>
        <w:t>FTTx</w:t>
      </w:r>
      <w:r w:rsidRPr="00BC1ABD">
        <w:rPr>
          <w:lang w:val="en-GB"/>
        </w:rPr>
        <w:t xml:space="preserve"> Premises passed</w:t>
      </w:r>
      <w:bookmarkEnd w:id="324"/>
    </w:p>
    <w:tbl>
      <w:tblPr>
        <w:tblW w:w="9062" w:type="dxa"/>
        <w:tblLayout w:type="fixed"/>
        <w:tblCellMar>
          <w:left w:w="70" w:type="dxa"/>
          <w:right w:w="70" w:type="dxa"/>
        </w:tblCellMar>
        <w:tblLook w:val="04A0" w:firstRow="1" w:lastRow="0" w:firstColumn="1" w:lastColumn="0" w:noHBand="0" w:noVBand="1"/>
      </w:tblPr>
      <w:tblGrid>
        <w:gridCol w:w="1539"/>
        <w:gridCol w:w="1253"/>
        <w:gridCol w:w="1254"/>
        <w:gridCol w:w="1254"/>
        <w:gridCol w:w="1254"/>
        <w:gridCol w:w="1254"/>
        <w:gridCol w:w="1254"/>
      </w:tblGrid>
      <w:tr w:rsidR="005B7375" w:rsidRPr="00BC1ABD" w14:paraId="289FACB5" w14:textId="77777777" w:rsidTr="005B7375">
        <w:trPr>
          <w:trHeight w:val="288"/>
        </w:trPr>
        <w:tc>
          <w:tcPr>
            <w:tcW w:w="1539" w:type="dxa"/>
            <w:tcBorders>
              <w:top w:val="single" w:sz="4" w:space="0" w:color="auto"/>
              <w:left w:val="single" w:sz="4" w:space="0" w:color="auto"/>
              <w:bottom w:val="nil"/>
              <w:right w:val="single" w:sz="4" w:space="0" w:color="auto"/>
            </w:tcBorders>
            <w:shd w:val="clear" w:color="000000" w:fill="5B9BD5"/>
            <w:noWrap/>
            <w:vAlign w:val="bottom"/>
            <w:hideMark/>
          </w:tcPr>
          <w:p w14:paraId="5985DB2C" w14:textId="77777777" w:rsidR="00A0244C" w:rsidRPr="00BC1ABD" w:rsidRDefault="00A0244C" w:rsidP="007354E3">
            <w:pPr>
              <w:spacing w:after="0" w:line="240" w:lineRule="auto"/>
              <w:rPr>
                <w:rFonts w:eastAsia="Times New Roman" w:cs="Calibri"/>
                <w:color w:val="000000"/>
                <w:lang w:val="en-GB" w:eastAsia="sl-SI"/>
              </w:rPr>
            </w:pPr>
            <w:r w:rsidRPr="00BC1ABD">
              <w:rPr>
                <w:rFonts w:eastAsia="Times New Roman" w:cs="Calibri"/>
                <w:color w:val="000000"/>
                <w:lang w:val="en-GB" w:eastAsia="sl-SI"/>
              </w:rPr>
              <w:t> </w:t>
            </w:r>
          </w:p>
        </w:tc>
        <w:tc>
          <w:tcPr>
            <w:tcW w:w="3761" w:type="dxa"/>
            <w:gridSpan w:val="3"/>
            <w:tcBorders>
              <w:top w:val="single" w:sz="4" w:space="0" w:color="auto"/>
              <w:left w:val="nil"/>
              <w:bottom w:val="single" w:sz="4" w:space="0" w:color="auto"/>
              <w:right w:val="single" w:sz="4" w:space="0" w:color="auto"/>
            </w:tcBorders>
            <w:shd w:val="clear" w:color="000000" w:fill="5B9BD5"/>
            <w:noWrap/>
            <w:vAlign w:val="bottom"/>
            <w:hideMark/>
          </w:tcPr>
          <w:p w14:paraId="7F360C5C" w14:textId="77777777" w:rsidR="00A0244C" w:rsidRPr="00BC1ABD" w:rsidRDefault="00A0244C" w:rsidP="007354E3">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Georgia, all cities</w:t>
            </w:r>
          </w:p>
        </w:tc>
        <w:tc>
          <w:tcPr>
            <w:tcW w:w="3762" w:type="dxa"/>
            <w:gridSpan w:val="3"/>
            <w:tcBorders>
              <w:top w:val="single" w:sz="4" w:space="0" w:color="auto"/>
              <w:left w:val="nil"/>
              <w:bottom w:val="single" w:sz="4" w:space="0" w:color="auto"/>
              <w:right w:val="single" w:sz="4" w:space="0" w:color="auto"/>
            </w:tcBorders>
            <w:shd w:val="clear" w:color="000000" w:fill="5B9BD5"/>
            <w:noWrap/>
            <w:vAlign w:val="bottom"/>
            <w:hideMark/>
          </w:tcPr>
          <w:p w14:paraId="57851C68" w14:textId="77777777" w:rsidR="00A0244C" w:rsidRPr="00BC1ABD" w:rsidRDefault="00A0244C" w:rsidP="007354E3">
            <w:pPr>
              <w:spacing w:after="0" w:line="240" w:lineRule="auto"/>
              <w:jc w:val="center"/>
              <w:rPr>
                <w:rFonts w:eastAsia="Times New Roman" w:cs="Calibri"/>
                <w:b/>
                <w:bCs/>
                <w:color w:val="000000"/>
                <w:lang w:val="en-GB" w:eastAsia="sl-SI"/>
              </w:rPr>
            </w:pPr>
            <w:r w:rsidRPr="00BC1ABD">
              <w:rPr>
                <w:rFonts w:eastAsia="Times New Roman" w:cs="Calibri"/>
                <w:b/>
                <w:bCs/>
                <w:color w:val="000000"/>
                <w:lang w:val="en-GB" w:eastAsia="sl-SI"/>
              </w:rPr>
              <w:t>Georgia, cities above 100.000 excluded</w:t>
            </w:r>
          </w:p>
        </w:tc>
      </w:tr>
      <w:tr w:rsidR="005B7375" w:rsidRPr="00BC1ABD" w14:paraId="3709C59B" w14:textId="77777777" w:rsidTr="005B7375">
        <w:trPr>
          <w:trHeight w:val="288"/>
        </w:trPr>
        <w:tc>
          <w:tcPr>
            <w:tcW w:w="1539" w:type="dxa"/>
            <w:tcBorders>
              <w:top w:val="nil"/>
              <w:left w:val="single" w:sz="4" w:space="0" w:color="auto"/>
              <w:bottom w:val="single" w:sz="4" w:space="0" w:color="auto"/>
              <w:right w:val="single" w:sz="4" w:space="0" w:color="auto"/>
            </w:tcBorders>
            <w:shd w:val="clear" w:color="000000" w:fill="5B9BD5"/>
            <w:noWrap/>
            <w:vAlign w:val="bottom"/>
            <w:hideMark/>
          </w:tcPr>
          <w:p w14:paraId="10B156F3" w14:textId="77777777" w:rsidR="00A0244C" w:rsidRPr="00BC1ABD" w:rsidRDefault="00A0244C" w:rsidP="007354E3">
            <w:pPr>
              <w:spacing w:after="0" w:line="240" w:lineRule="auto"/>
              <w:rPr>
                <w:rFonts w:eastAsia="Times New Roman" w:cs="Calibri"/>
                <w:color w:val="000000"/>
                <w:lang w:val="en-GB" w:eastAsia="sl-SI"/>
              </w:rPr>
            </w:pPr>
            <w:r w:rsidRPr="00BC1ABD">
              <w:rPr>
                <w:rFonts w:eastAsia="Times New Roman" w:cs="Calibri"/>
                <w:color w:val="000000"/>
                <w:lang w:val="en-GB" w:eastAsia="sl-SI"/>
              </w:rPr>
              <w:t> </w:t>
            </w:r>
          </w:p>
        </w:tc>
        <w:tc>
          <w:tcPr>
            <w:tcW w:w="1253" w:type="dxa"/>
            <w:tcBorders>
              <w:top w:val="nil"/>
              <w:left w:val="nil"/>
              <w:bottom w:val="single" w:sz="4" w:space="0" w:color="auto"/>
              <w:right w:val="single" w:sz="4" w:space="0" w:color="auto"/>
            </w:tcBorders>
            <w:shd w:val="clear" w:color="000000" w:fill="5B9BD5"/>
            <w:noWrap/>
            <w:vAlign w:val="bottom"/>
            <w:hideMark/>
          </w:tcPr>
          <w:p w14:paraId="7E616EC8"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Subscribers</w:t>
            </w:r>
          </w:p>
        </w:tc>
        <w:tc>
          <w:tcPr>
            <w:tcW w:w="1254" w:type="dxa"/>
            <w:tcBorders>
              <w:top w:val="nil"/>
              <w:left w:val="nil"/>
              <w:bottom w:val="single" w:sz="4" w:space="0" w:color="auto"/>
              <w:right w:val="single" w:sz="4" w:space="0" w:color="auto"/>
            </w:tcBorders>
            <w:shd w:val="clear" w:color="000000" w:fill="5B9BD5"/>
            <w:noWrap/>
            <w:vAlign w:val="bottom"/>
            <w:hideMark/>
          </w:tcPr>
          <w:p w14:paraId="7AE3EBEF"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Premises pass</w:t>
            </w:r>
          </w:p>
        </w:tc>
        <w:tc>
          <w:tcPr>
            <w:tcW w:w="1254" w:type="dxa"/>
            <w:tcBorders>
              <w:top w:val="nil"/>
              <w:left w:val="nil"/>
              <w:bottom w:val="single" w:sz="4" w:space="0" w:color="auto"/>
              <w:right w:val="single" w:sz="4" w:space="0" w:color="auto"/>
            </w:tcBorders>
            <w:shd w:val="clear" w:color="000000" w:fill="5B9BD5"/>
            <w:noWrap/>
            <w:vAlign w:val="bottom"/>
            <w:hideMark/>
          </w:tcPr>
          <w:p w14:paraId="14DF24A4"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Ratio</w:t>
            </w:r>
          </w:p>
        </w:tc>
        <w:tc>
          <w:tcPr>
            <w:tcW w:w="1254" w:type="dxa"/>
            <w:tcBorders>
              <w:top w:val="nil"/>
              <w:left w:val="nil"/>
              <w:bottom w:val="single" w:sz="4" w:space="0" w:color="auto"/>
              <w:right w:val="single" w:sz="4" w:space="0" w:color="auto"/>
            </w:tcBorders>
            <w:shd w:val="clear" w:color="000000" w:fill="5B9BD5"/>
            <w:noWrap/>
            <w:vAlign w:val="bottom"/>
            <w:hideMark/>
          </w:tcPr>
          <w:p w14:paraId="4F8D61F2"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Subscribers</w:t>
            </w:r>
          </w:p>
        </w:tc>
        <w:tc>
          <w:tcPr>
            <w:tcW w:w="1254" w:type="dxa"/>
            <w:tcBorders>
              <w:top w:val="nil"/>
              <w:left w:val="nil"/>
              <w:bottom w:val="single" w:sz="4" w:space="0" w:color="auto"/>
              <w:right w:val="single" w:sz="4" w:space="0" w:color="auto"/>
            </w:tcBorders>
            <w:shd w:val="clear" w:color="000000" w:fill="5B9BD5"/>
            <w:noWrap/>
            <w:vAlign w:val="bottom"/>
            <w:hideMark/>
          </w:tcPr>
          <w:p w14:paraId="7DF36DDB"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Premises pass</w:t>
            </w:r>
          </w:p>
        </w:tc>
        <w:tc>
          <w:tcPr>
            <w:tcW w:w="1254" w:type="dxa"/>
            <w:tcBorders>
              <w:top w:val="nil"/>
              <w:left w:val="nil"/>
              <w:bottom w:val="single" w:sz="4" w:space="0" w:color="auto"/>
              <w:right w:val="single" w:sz="4" w:space="0" w:color="auto"/>
            </w:tcBorders>
            <w:shd w:val="clear" w:color="000000" w:fill="5B9BD5"/>
            <w:noWrap/>
            <w:vAlign w:val="bottom"/>
            <w:hideMark/>
          </w:tcPr>
          <w:p w14:paraId="7ECA6ECE"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Ratio</w:t>
            </w:r>
          </w:p>
        </w:tc>
      </w:tr>
      <w:tr w:rsidR="005B7375" w:rsidRPr="00BC1ABD" w14:paraId="545B92C3"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CEE8D06"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Magticom</w:t>
            </w:r>
          </w:p>
        </w:tc>
        <w:tc>
          <w:tcPr>
            <w:tcW w:w="1253" w:type="dxa"/>
            <w:tcBorders>
              <w:top w:val="nil"/>
              <w:left w:val="nil"/>
              <w:bottom w:val="single" w:sz="4" w:space="0" w:color="auto"/>
              <w:right w:val="single" w:sz="4" w:space="0" w:color="auto"/>
            </w:tcBorders>
            <w:shd w:val="clear" w:color="auto" w:fill="auto"/>
            <w:noWrap/>
            <w:vAlign w:val="bottom"/>
            <w:hideMark/>
          </w:tcPr>
          <w:p w14:paraId="36A4DE1F"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479,973</w:t>
            </w:r>
          </w:p>
        </w:tc>
        <w:tc>
          <w:tcPr>
            <w:tcW w:w="1254" w:type="dxa"/>
            <w:tcBorders>
              <w:top w:val="nil"/>
              <w:left w:val="nil"/>
              <w:bottom w:val="single" w:sz="4" w:space="0" w:color="auto"/>
              <w:right w:val="single" w:sz="4" w:space="0" w:color="auto"/>
            </w:tcBorders>
            <w:shd w:val="clear" w:color="auto" w:fill="auto"/>
            <w:noWrap/>
            <w:vAlign w:val="bottom"/>
            <w:hideMark/>
          </w:tcPr>
          <w:p w14:paraId="6DEA14E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1,109,875</w:t>
            </w:r>
          </w:p>
        </w:tc>
        <w:tc>
          <w:tcPr>
            <w:tcW w:w="1254" w:type="dxa"/>
            <w:tcBorders>
              <w:top w:val="nil"/>
              <w:left w:val="nil"/>
              <w:bottom w:val="single" w:sz="4" w:space="0" w:color="auto"/>
              <w:right w:val="single" w:sz="4" w:space="0" w:color="auto"/>
            </w:tcBorders>
            <w:shd w:val="clear" w:color="auto" w:fill="auto"/>
            <w:noWrap/>
            <w:vAlign w:val="bottom"/>
            <w:hideMark/>
          </w:tcPr>
          <w:p w14:paraId="4831440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2.31</w:t>
            </w:r>
          </w:p>
        </w:tc>
        <w:tc>
          <w:tcPr>
            <w:tcW w:w="1254" w:type="dxa"/>
            <w:tcBorders>
              <w:top w:val="nil"/>
              <w:left w:val="nil"/>
              <w:bottom w:val="single" w:sz="4" w:space="0" w:color="auto"/>
              <w:right w:val="single" w:sz="4" w:space="0" w:color="auto"/>
            </w:tcBorders>
            <w:shd w:val="clear" w:color="auto" w:fill="auto"/>
            <w:noWrap/>
            <w:vAlign w:val="bottom"/>
            <w:hideMark/>
          </w:tcPr>
          <w:p w14:paraId="250C880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187,902</w:t>
            </w:r>
          </w:p>
        </w:tc>
        <w:tc>
          <w:tcPr>
            <w:tcW w:w="1254" w:type="dxa"/>
            <w:tcBorders>
              <w:top w:val="nil"/>
              <w:left w:val="nil"/>
              <w:bottom w:val="single" w:sz="4" w:space="0" w:color="auto"/>
              <w:right w:val="single" w:sz="4" w:space="0" w:color="auto"/>
            </w:tcBorders>
            <w:shd w:val="clear" w:color="auto" w:fill="auto"/>
            <w:noWrap/>
            <w:vAlign w:val="bottom"/>
            <w:hideMark/>
          </w:tcPr>
          <w:p w14:paraId="6CCC590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427,113</w:t>
            </w:r>
          </w:p>
        </w:tc>
        <w:tc>
          <w:tcPr>
            <w:tcW w:w="1254" w:type="dxa"/>
            <w:tcBorders>
              <w:top w:val="nil"/>
              <w:left w:val="nil"/>
              <w:bottom w:val="single" w:sz="4" w:space="0" w:color="auto"/>
              <w:right w:val="single" w:sz="4" w:space="0" w:color="auto"/>
            </w:tcBorders>
            <w:shd w:val="clear" w:color="auto" w:fill="auto"/>
            <w:noWrap/>
            <w:vAlign w:val="bottom"/>
            <w:hideMark/>
          </w:tcPr>
          <w:p w14:paraId="76812B0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2.27</w:t>
            </w:r>
          </w:p>
        </w:tc>
      </w:tr>
      <w:tr w:rsidR="005B7375" w:rsidRPr="00BC1ABD" w14:paraId="20D8BE40"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581A351B"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Silknet</w:t>
            </w:r>
          </w:p>
        </w:tc>
        <w:tc>
          <w:tcPr>
            <w:tcW w:w="1253" w:type="dxa"/>
            <w:tcBorders>
              <w:top w:val="nil"/>
              <w:left w:val="nil"/>
              <w:bottom w:val="single" w:sz="4" w:space="0" w:color="auto"/>
              <w:right w:val="single" w:sz="4" w:space="0" w:color="auto"/>
            </w:tcBorders>
            <w:shd w:val="clear" w:color="auto" w:fill="auto"/>
            <w:noWrap/>
            <w:vAlign w:val="bottom"/>
            <w:hideMark/>
          </w:tcPr>
          <w:p w14:paraId="007426B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275,464</w:t>
            </w:r>
          </w:p>
        </w:tc>
        <w:tc>
          <w:tcPr>
            <w:tcW w:w="1254" w:type="dxa"/>
            <w:tcBorders>
              <w:top w:val="nil"/>
              <w:left w:val="nil"/>
              <w:bottom w:val="single" w:sz="4" w:space="0" w:color="auto"/>
              <w:right w:val="single" w:sz="4" w:space="0" w:color="auto"/>
            </w:tcBorders>
            <w:shd w:val="clear" w:color="auto" w:fill="auto"/>
            <w:noWrap/>
            <w:vAlign w:val="bottom"/>
            <w:hideMark/>
          </w:tcPr>
          <w:p w14:paraId="02FE5FD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716,307</w:t>
            </w:r>
          </w:p>
        </w:tc>
        <w:tc>
          <w:tcPr>
            <w:tcW w:w="1254" w:type="dxa"/>
            <w:tcBorders>
              <w:top w:val="nil"/>
              <w:left w:val="nil"/>
              <w:bottom w:val="single" w:sz="4" w:space="0" w:color="auto"/>
              <w:right w:val="single" w:sz="4" w:space="0" w:color="auto"/>
            </w:tcBorders>
            <w:shd w:val="clear" w:color="auto" w:fill="auto"/>
            <w:noWrap/>
            <w:vAlign w:val="bottom"/>
            <w:hideMark/>
          </w:tcPr>
          <w:p w14:paraId="73AFDD1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2.60</w:t>
            </w:r>
          </w:p>
        </w:tc>
        <w:tc>
          <w:tcPr>
            <w:tcW w:w="1254" w:type="dxa"/>
            <w:tcBorders>
              <w:top w:val="nil"/>
              <w:left w:val="nil"/>
              <w:bottom w:val="single" w:sz="4" w:space="0" w:color="auto"/>
              <w:right w:val="single" w:sz="4" w:space="0" w:color="auto"/>
            </w:tcBorders>
            <w:shd w:val="clear" w:color="auto" w:fill="auto"/>
            <w:noWrap/>
            <w:vAlign w:val="bottom"/>
            <w:hideMark/>
          </w:tcPr>
          <w:p w14:paraId="3CC2088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56,021</w:t>
            </w:r>
          </w:p>
        </w:tc>
        <w:tc>
          <w:tcPr>
            <w:tcW w:w="1254" w:type="dxa"/>
            <w:tcBorders>
              <w:top w:val="nil"/>
              <w:left w:val="nil"/>
              <w:bottom w:val="single" w:sz="4" w:space="0" w:color="auto"/>
              <w:right w:val="single" w:sz="4" w:space="0" w:color="auto"/>
            </w:tcBorders>
            <w:shd w:val="clear" w:color="auto" w:fill="auto"/>
            <w:noWrap/>
            <w:vAlign w:val="bottom"/>
            <w:hideMark/>
          </w:tcPr>
          <w:p w14:paraId="7ACEA2C5"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189,588</w:t>
            </w:r>
          </w:p>
        </w:tc>
        <w:tc>
          <w:tcPr>
            <w:tcW w:w="1254" w:type="dxa"/>
            <w:tcBorders>
              <w:top w:val="nil"/>
              <w:left w:val="nil"/>
              <w:bottom w:val="single" w:sz="4" w:space="0" w:color="auto"/>
              <w:right w:val="single" w:sz="4" w:space="0" w:color="auto"/>
            </w:tcBorders>
            <w:shd w:val="clear" w:color="auto" w:fill="auto"/>
            <w:noWrap/>
            <w:vAlign w:val="bottom"/>
            <w:hideMark/>
          </w:tcPr>
          <w:p w14:paraId="64475D7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3.38</w:t>
            </w:r>
          </w:p>
        </w:tc>
      </w:tr>
      <w:tr w:rsidR="005B7375" w:rsidRPr="00BC1ABD" w14:paraId="58FB210F"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36075CF1"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Skytel</w:t>
            </w:r>
          </w:p>
        </w:tc>
        <w:tc>
          <w:tcPr>
            <w:tcW w:w="1253" w:type="dxa"/>
            <w:tcBorders>
              <w:top w:val="nil"/>
              <w:left w:val="nil"/>
              <w:bottom w:val="single" w:sz="4" w:space="0" w:color="auto"/>
              <w:right w:val="single" w:sz="4" w:space="0" w:color="auto"/>
            </w:tcBorders>
            <w:shd w:val="clear" w:color="auto" w:fill="auto"/>
            <w:noWrap/>
            <w:vAlign w:val="bottom"/>
            <w:hideMark/>
          </w:tcPr>
          <w:p w14:paraId="53854C2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13,136</w:t>
            </w:r>
          </w:p>
        </w:tc>
        <w:tc>
          <w:tcPr>
            <w:tcW w:w="1254" w:type="dxa"/>
            <w:tcBorders>
              <w:top w:val="nil"/>
              <w:left w:val="nil"/>
              <w:bottom w:val="single" w:sz="4" w:space="0" w:color="auto"/>
              <w:right w:val="single" w:sz="4" w:space="0" w:color="auto"/>
            </w:tcBorders>
            <w:shd w:val="clear" w:color="auto" w:fill="auto"/>
            <w:noWrap/>
            <w:vAlign w:val="bottom"/>
            <w:hideMark/>
          </w:tcPr>
          <w:p w14:paraId="3BC7AD1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44,045</w:t>
            </w:r>
          </w:p>
        </w:tc>
        <w:tc>
          <w:tcPr>
            <w:tcW w:w="1254" w:type="dxa"/>
            <w:tcBorders>
              <w:top w:val="nil"/>
              <w:left w:val="nil"/>
              <w:bottom w:val="single" w:sz="4" w:space="0" w:color="auto"/>
              <w:right w:val="single" w:sz="4" w:space="0" w:color="auto"/>
            </w:tcBorders>
            <w:shd w:val="clear" w:color="auto" w:fill="auto"/>
            <w:noWrap/>
            <w:vAlign w:val="bottom"/>
            <w:hideMark/>
          </w:tcPr>
          <w:p w14:paraId="7648304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3.35</w:t>
            </w:r>
          </w:p>
        </w:tc>
        <w:tc>
          <w:tcPr>
            <w:tcW w:w="1254" w:type="dxa"/>
            <w:tcBorders>
              <w:top w:val="nil"/>
              <w:left w:val="nil"/>
              <w:bottom w:val="single" w:sz="4" w:space="0" w:color="auto"/>
              <w:right w:val="single" w:sz="4" w:space="0" w:color="auto"/>
            </w:tcBorders>
            <w:shd w:val="clear" w:color="auto" w:fill="auto"/>
            <w:noWrap/>
            <w:vAlign w:val="bottom"/>
            <w:hideMark/>
          </w:tcPr>
          <w:p w14:paraId="4A712DB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12,824</w:t>
            </w:r>
          </w:p>
        </w:tc>
        <w:tc>
          <w:tcPr>
            <w:tcW w:w="1254" w:type="dxa"/>
            <w:tcBorders>
              <w:top w:val="nil"/>
              <w:left w:val="nil"/>
              <w:bottom w:val="single" w:sz="4" w:space="0" w:color="auto"/>
              <w:right w:val="single" w:sz="4" w:space="0" w:color="auto"/>
            </w:tcBorders>
            <w:shd w:val="clear" w:color="auto" w:fill="auto"/>
            <w:noWrap/>
            <w:vAlign w:val="bottom"/>
            <w:hideMark/>
          </w:tcPr>
          <w:p w14:paraId="72F2E31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38,333</w:t>
            </w:r>
          </w:p>
        </w:tc>
        <w:tc>
          <w:tcPr>
            <w:tcW w:w="1254" w:type="dxa"/>
            <w:tcBorders>
              <w:top w:val="nil"/>
              <w:left w:val="nil"/>
              <w:bottom w:val="single" w:sz="4" w:space="0" w:color="auto"/>
              <w:right w:val="single" w:sz="4" w:space="0" w:color="auto"/>
            </w:tcBorders>
            <w:shd w:val="clear" w:color="auto" w:fill="auto"/>
            <w:noWrap/>
            <w:vAlign w:val="bottom"/>
            <w:hideMark/>
          </w:tcPr>
          <w:p w14:paraId="6AFF235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2.99</w:t>
            </w:r>
          </w:p>
        </w:tc>
      </w:tr>
      <w:tr w:rsidR="005B7375" w:rsidRPr="00BC1ABD" w14:paraId="4D6A928F"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35302AAB" w14:textId="6BE55F45"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Akhali Kselebi Group</w:t>
            </w:r>
            <w:r w:rsidR="005B7375">
              <w:rPr>
                <w:rStyle w:val="FootnoteReference"/>
                <w:rFonts w:eastAsia="Times New Roman" w:cs="Calibri"/>
                <w:color w:val="000000"/>
                <w:lang w:val="en-GB" w:eastAsia="sl-SI"/>
              </w:rPr>
              <w:footnoteReference w:id="102"/>
            </w:r>
          </w:p>
        </w:tc>
        <w:tc>
          <w:tcPr>
            <w:tcW w:w="1253" w:type="dxa"/>
            <w:tcBorders>
              <w:top w:val="nil"/>
              <w:left w:val="nil"/>
              <w:bottom w:val="single" w:sz="4" w:space="0" w:color="auto"/>
              <w:right w:val="single" w:sz="4" w:space="0" w:color="auto"/>
            </w:tcBorders>
            <w:shd w:val="clear" w:color="auto" w:fill="auto"/>
            <w:noWrap/>
            <w:vAlign w:val="bottom"/>
            <w:hideMark/>
          </w:tcPr>
          <w:p w14:paraId="13E1C36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66,542</w:t>
            </w:r>
          </w:p>
        </w:tc>
        <w:tc>
          <w:tcPr>
            <w:tcW w:w="1254" w:type="dxa"/>
            <w:tcBorders>
              <w:top w:val="nil"/>
              <w:left w:val="nil"/>
              <w:bottom w:val="single" w:sz="4" w:space="0" w:color="auto"/>
              <w:right w:val="single" w:sz="4" w:space="0" w:color="auto"/>
            </w:tcBorders>
            <w:shd w:val="clear" w:color="auto" w:fill="auto"/>
            <w:noWrap/>
            <w:vAlign w:val="bottom"/>
            <w:hideMark/>
          </w:tcPr>
          <w:p w14:paraId="5711313C"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61,125</w:t>
            </w:r>
          </w:p>
        </w:tc>
        <w:tc>
          <w:tcPr>
            <w:tcW w:w="1254" w:type="dxa"/>
            <w:tcBorders>
              <w:top w:val="nil"/>
              <w:left w:val="nil"/>
              <w:bottom w:val="single" w:sz="4" w:space="0" w:color="auto"/>
              <w:right w:val="single" w:sz="4" w:space="0" w:color="auto"/>
            </w:tcBorders>
            <w:shd w:val="clear" w:color="auto" w:fill="auto"/>
            <w:noWrap/>
            <w:vAlign w:val="bottom"/>
            <w:hideMark/>
          </w:tcPr>
          <w:p w14:paraId="499AB23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0.92</w:t>
            </w:r>
          </w:p>
        </w:tc>
        <w:tc>
          <w:tcPr>
            <w:tcW w:w="1254" w:type="dxa"/>
            <w:tcBorders>
              <w:top w:val="nil"/>
              <w:left w:val="nil"/>
              <w:bottom w:val="single" w:sz="4" w:space="0" w:color="auto"/>
              <w:right w:val="single" w:sz="4" w:space="0" w:color="auto"/>
            </w:tcBorders>
            <w:shd w:val="clear" w:color="auto" w:fill="auto"/>
            <w:noWrap/>
            <w:vAlign w:val="bottom"/>
            <w:hideMark/>
          </w:tcPr>
          <w:p w14:paraId="4EB31B7A" w14:textId="128C2548" w:rsidR="00A0244C" w:rsidRPr="00BC1ABD" w:rsidRDefault="00195B2F" w:rsidP="007354E3">
            <w:pPr>
              <w:spacing w:after="0" w:line="240" w:lineRule="auto"/>
              <w:jc w:val="right"/>
              <w:rPr>
                <w:rFonts w:eastAsia="Times New Roman" w:cs="Calibri"/>
                <w:color w:val="000000"/>
                <w:lang w:val="en-GB" w:eastAsia="sl-SI"/>
              </w:rPr>
            </w:pPr>
            <w:r>
              <w:rPr>
                <w:rFonts w:eastAsia="Times New Roman" w:cs="Calibri"/>
                <w:color w:val="000000"/>
                <w:lang w:val="en-GB" w:eastAsia="sl-SI"/>
              </w:rPr>
              <w:t xml:space="preserve">       </w:t>
            </w:r>
            <w:r w:rsidR="00A0244C" w:rsidRPr="00BC1ABD">
              <w:rPr>
                <w:rFonts w:eastAsia="Times New Roman" w:cs="Calibri"/>
                <w:color w:val="000000"/>
                <w:lang w:val="en-GB" w:eastAsia="sl-SI"/>
              </w:rPr>
              <w:t xml:space="preserve"> 4,755 </w:t>
            </w:r>
          </w:p>
        </w:tc>
        <w:tc>
          <w:tcPr>
            <w:tcW w:w="1254" w:type="dxa"/>
            <w:tcBorders>
              <w:top w:val="nil"/>
              <w:left w:val="nil"/>
              <w:bottom w:val="single" w:sz="4" w:space="0" w:color="auto"/>
              <w:right w:val="single" w:sz="4" w:space="0" w:color="auto"/>
            </w:tcBorders>
            <w:shd w:val="clear" w:color="auto" w:fill="auto"/>
            <w:noWrap/>
            <w:vAlign w:val="bottom"/>
            <w:hideMark/>
          </w:tcPr>
          <w:p w14:paraId="48320610" w14:textId="4A1C5A23" w:rsidR="00A0244C" w:rsidRPr="00BC1ABD" w:rsidRDefault="00A0244C">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w:t>
            </w:r>
          </w:p>
        </w:tc>
        <w:tc>
          <w:tcPr>
            <w:tcW w:w="1254" w:type="dxa"/>
            <w:tcBorders>
              <w:top w:val="nil"/>
              <w:left w:val="nil"/>
              <w:bottom w:val="single" w:sz="4" w:space="0" w:color="auto"/>
              <w:right w:val="single" w:sz="4" w:space="0" w:color="auto"/>
            </w:tcBorders>
            <w:shd w:val="clear" w:color="auto" w:fill="auto"/>
            <w:noWrap/>
            <w:vAlign w:val="bottom"/>
            <w:hideMark/>
          </w:tcPr>
          <w:p w14:paraId="421F7F7C" w14:textId="6ADF9B6D"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0.00</w:t>
            </w:r>
          </w:p>
        </w:tc>
      </w:tr>
      <w:tr w:rsidR="005B7375" w:rsidRPr="00BC1ABD" w14:paraId="1FF7F7BD" w14:textId="77777777" w:rsidTr="00AB6EC5">
        <w:trPr>
          <w:trHeight w:val="282"/>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C8561FA"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Other</w:t>
            </w:r>
          </w:p>
        </w:tc>
        <w:tc>
          <w:tcPr>
            <w:tcW w:w="1253" w:type="dxa"/>
            <w:tcBorders>
              <w:top w:val="nil"/>
              <w:left w:val="nil"/>
              <w:bottom w:val="single" w:sz="4" w:space="0" w:color="auto"/>
              <w:right w:val="single" w:sz="4" w:space="0" w:color="auto"/>
            </w:tcBorders>
            <w:shd w:val="clear" w:color="auto" w:fill="auto"/>
            <w:noWrap/>
            <w:vAlign w:val="bottom"/>
            <w:hideMark/>
          </w:tcPr>
          <w:p w14:paraId="740C681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40,550</w:t>
            </w:r>
          </w:p>
        </w:tc>
        <w:tc>
          <w:tcPr>
            <w:tcW w:w="1254" w:type="dxa"/>
            <w:tcBorders>
              <w:top w:val="nil"/>
              <w:left w:val="nil"/>
              <w:bottom w:val="single" w:sz="4" w:space="0" w:color="auto"/>
              <w:right w:val="single" w:sz="4" w:space="0" w:color="auto"/>
            </w:tcBorders>
            <w:shd w:val="clear" w:color="auto" w:fill="auto"/>
            <w:noWrap/>
            <w:vAlign w:val="bottom"/>
            <w:hideMark/>
          </w:tcPr>
          <w:p w14:paraId="1B033EDC"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35,655</w:t>
            </w:r>
          </w:p>
        </w:tc>
        <w:tc>
          <w:tcPr>
            <w:tcW w:w="1254" w:type="dxa"/>
            <w:tcBorders>
              <w:top w:val="nil"/>
              <w:left w:val="nil"/>
              <w:bottom w:val="single" w:sz="4" w:space="0" w:color="auto"/>
              <w:right w:val="single" w:sz="4" w:space="0" w:color="auto"/>
            </w:tcBorders>
            <w:shd w:val="clear" w:color="auto" w:fill="auto"/>
            <w:noWrap/>
            <w:vAlign w:val="bottom"/>
            <w:hideMark/>
          </w:tcPr>
          <w:p w14:paraId="668F506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0.88</w:t>
            </w:r>
          </w:p>
        </w:tc>
        <w:tc>
          <w:tcPr>
            <w:tcW w:w="1254" w:type="dxa"/>
            <w:tcBorders>
              <w:top w:val="nil"/>
              <w:left w:val="nil"/>
              <w:bottom w:val="single" w:sz="4" w:space="0" w:color="auto"/>
              <w:right w:val="single" w:sz="4" w:space="0" w:color="auto"/>
            </w:tcBorders>
            <w:shd w:val="clear" w:color="auto" w:fill="auto"/>
            <w:noWrap/>
            <w:vAlign w:val="bottom"/>
            <w:hideMark/>
          </w:tcPr>
          <w:p w14:paraId="230CF230" w14:textId="6890BCA2" w:rsidR="00A0244C" w:rsidRPr="00BC1ABD" w:rsidRDefault="00195B2F" w:rsidP="00AB6EC5">
            <w:pPr>
              <w:spacing w:after="0" w:line="240" w:lineRule="auto"/>
              <w:rPr>
                <w:rFonts w:eastAsia="Times New Roman" w:cs="Calibri"/>
                <w:color w:val="000000"/>
                <w:lang w:val="en-GB" w:eastAsia="sl-SI"/>
              </w:rPr>
            </w:pPr>
            <w:r>
              <w:rPr>
                <w:rFonts w:eastAsia="Times New Roman" w:cs="Calibri"/>
                <w:color w:val="000000"/>
                <w:lang w:val="en-GB" w:eastAsia="sl-SI"/>
              </w:rPr>
              <w:t xml:space="preserve">     </w:t>
            </w:r>
            <w:r w:rsidR="00A0244C" w:rsidRPr="00BC1ABD">
              <w:rPr>
                <w:rFonts w:eastAsia="Times New Roman" w:cs="Calibri"/>
                <w:color w:val="000000"/>
                <w:lang w:val="en-GB" w:eastAsia="sl-SI"/>
              </w:rPr>
              <w:t xml:space="preserve">33,900 </w:t>
            </w:r>
          </w:p>
        </w:tc>
        <w:tc>
          <w:tcPr>
            <w:tcW w:w="1254" w:type="dxa"/>
            <w:tcBorders>
              <w:top w:val="nil"/>
              <w:left w:val="nil"/>
              <w:bottom w:val="single" w:sz="4" w:space="0" w:color="auto"/>
              <w:right w:val="single" w:sz="4" w:space="0" w:color="auto"/>
            </w:tcBorders>
            <w:shd w:val="clear" w:color="auto" w:fill="auto"/>
            <w:noWrap/>
            <w:vAlign w:val="bottom"/>
            <w:hideMark/>
          </w:tcPr>
          <w:p w14:paraId="42B3E2B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30,416</w:t>
            </w:r>
          </w:p>
        </w:tc>
        <w:tc>
          <w:tcPr>
            <w:tcW w:w="1254" w:type="dxa"/>
            <w:tcBorders>
              <w:top w:val="nil"/>
              <w:left w:val="nil"/>
              <w:bottom w:val="single" w:sz="4" w:space="0" w:color="auto"/>
              <w:right w:val="single" w:sz="4" w:space="0" w:color="auto"/>
            </w:tcBorders>
            <w:shd w:val="clear" w:color="auto" w:fill="auto"/>
            <w:noWrap/>
            <w:vAlign w:val="bottom"/>
            <w:hideMark/>
          </w:tcPr>
          <w:p w14:paraId="0A0C968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0.90</w:t>
            </w:r>
          </w:p>
        </w:tc>
      </w:tr>
      <w:tr w:rsidR="005B7375" w:rsidRPr="00BC1ABD" w14:paraId="73AF1095"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6E7CBB4" w14:textId="77777777" w:rsidR="00A0244C" w:rsidRPr="00BC1ABD" w:rsidRDefault="00A0244C" w:rsidP="007354E3">
            <w:pPr>
              <w:spacing w:after="0" w:line="240" w:lineRule="auto"/>
              <w:rPr>
                <w:rFonts w:eastAsia="Times New Roman" w:cs="Calibri"/>
                <w:b/>
                <w:bCs/>
                <w:color w:val="000000"/>
                <w:lang w:val="en-GB" w:eastAsia="sl-SI"/>
              </w:rPr>
            </w:pPr>
            <w:r w:rsidRPr="00BC1ABD">
              <w:rPr>
                <w:rFonts w:eastAsia="Times New Roman" w:cs="Calibri"/>
                <w:b/>
                <w:bCs/>
                <w:color w:val="000000"/>
                <w:lang w:val="en-GB" w:eastAsia="sl-SI"/>
              </w:rPr>
              <w:t>SUM / average</w:t>
            </w:r>
          </w:p>
        </w:tc>
        <w:tc>
          <w:tcPr>
            <w:tcW w:w="1253" w:type="dxa"/>
            <w:tcBorders>
              <w:top w:val="nil"/>
              <w:left w:val="nil"/>
              <w:bottom w:val="single" w:sz="4" w:space="0" w:color="auto"/>
              <w:right w:val="single" w:sz="4" w:space="0" w:color="auto"/>
            </w:tcBorders>
            <w:shd w:val="clear" w:color="auto" w:fill="auto"/>
            <w:noWrap/>
            <w:vAlign w:val="bottom"/>
            <w:hideMark/>
          </w:tcPr>
          <w:p w14:paraId="057E7B28"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875,665</w:t>
            </w:r>
          </w:p>
        </w:tc>
        <w:tc>
          <w:tcPr>
            <w:tcW w:w="1254" w:type="dxa"/>
            <w:tcBorders>
              <w:top w:val="nil"/>
              <w:left w:val="nil"/>
              <w:bottom w:val="single" w:sz="4" w:space="0" w:color="auto"/>
              <w:right w:val="single" w:sz="4" w:space="0" w:color="auto"/>
            </w:tcBorders>
            <w:shd w:val="clear" w:color="auto" w:fill="auto"/>
            <w:noWrap/>
            <w:vAlign w:val="bottom"/>
            <w:hideMark/>
          </w:tcPr>
          <w:p w14:paraId="60475AF0"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1,967,008</w:t>
            </w:r>
          </w:p>
        </w:tc>
        <w:tc>
          <w:tcPr>
            <w:tcW w:w="1254" w:type="dxa"/>
            <w:tcBorders>
              <w:top w:val="nil"/>
              <w:left w:val="nil"/>
              <w:bottom w:val="single" w:sz="4" w:space="0" w:color="auto"/>
              <w:right w:val="single" w:sz="4" w:space="0" w:color="auto"/>
            </w:tcBorders>
            <w:shd w:val="clear" w:color="auto" w:fill="auto"/>
            <w:noWrap/>
            <w:vAlign w:val="bottom"/>
            <w:hideMark/>
          </w:tcPr>
          <w:p w14:paraId="2C7885E0"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2.25</w:t>
            </w:r>
          </w:p>
        </w:tc>
        <w:tc>
          <w:tcPr>
            <w:tcW w:w="1254" w:type="dxa"/>
            <w:tcBorders>
              <w:top w:val="nil"/>
              <w:left w:val="nil"/>
              <w:bottom w:val="single" w:sz="4" w:space="0" w:color="auto"/>
              <w:right w:val="single" w:sz="4" w:space="0" w:color="auto"/>
            </w:tcBorders>
            <w:shd w:val="clear" w:color="auto" w:fill="auto"/>
            <w:noWrap/>
            <w:vAlign w:val="bottom"/>
            <w:hideMark/>
          </w:tcPr>
          <w:p w14:paraId="26B4B04D"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295,402</w:t>
            </w:r>
          </w:p>
        </w:tc>
        <w:tc>
          <w:tcPr>
            <w:tcW w:w="1254" w:type="dxa"/>
            <w:tcBorders>
              <w:top w:val="nil"/>
              <w:left w:val="nil"/>
              <w:bottom w:val="single" w:sz="4" w:space="0" w:color="auto"/>
              <w:right w:val="single" w:sz="4" w:space="0" w:color="auto"/>
            </w:tcBorders>
            <w:shd w:val="clear" w:color="auto" w:fill="auto"/>
            <w:noWrap/>
            <w:vAlign w:val="bottom"/>
            <w:hideMark/>
          </w:tcPr>
          <w:p w14:paraId="7CDC5036"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685,450</w:t>
            </w:r>
          </w:p>
        </w:tc>
        <w:tc>
          <w:tcPr>
            <w:tcW w:w="1254" w:type="dxa"/>
            <w:tcBorders>
              <w:top w:val="nil"/>
              <w:left w:val="nil"/>
              <w:bottom w:val="single" w:sz="4" w:space="0" w:color="auto"/>
              <w:right w:val="single" w:sz="4" w:space="0" w:color="auto"/>
            </w:tcBorders>
            <w:shd w:val="clear" w:color="auto" w:fill="auto"/>
            <w:noWrap/>
            <w:vAlign w:val="bottom"/>
            <w:hideMark/>
          </w:tcPr>
          <w:p w14:paraId="2AFE2A72" w14:textId="77777777" w:rsidR="00A0244C" w:rsidRPr="00BC1ABD" w:rsidRDefault="00A0244C" w:rsidP="007354E3">
            <w:pPr>
              <w:spacing w:after="0" w:line="240" w:lineRule="auto"/>
              <w:jc w:val="right"/>
              <w:rPr>
                <w:rFonts w:eastAsia="Times New Roman" w:cs="Calibri"/>
                <w:b/>
                <w:bCs/>
                <w:color w:val="000000"/>
                <w:lang w:val="en-GB" w:eastAsia="sl-SI"/>
              </w:rPr>
            </w:pPr>
            <w:r w:rsidRPr="00BC1ABD">
              <w:rPr>
                <w:rFonts w:eastAsia="Times New Roman" w:cs="Calibri"/>
                <w:b/>
                <w:bCs/>
                <w:color w:val="000000"/>
                <w:lang w:val="en-GB" w:eastAsia="sl-SI"/>
              </w:rPr>
              <w:t>2.32</w:t>
            </w:r>
          </w:p>
        </w:tc>
      </w:tr>
    </w:tbl>
    <w:p w14:paraId="1E1C14AC" w14:textId="77777777" w:rsidR="00A0244C" w:rsidRPr="00BC1ABD" w:rsidRDefault="00A0244C" w:rsidP="00A0244C">
      <w:pPr>
        <w:jc w:val="center"/>
        <w:rPr>
          <w:rFonts w:cs="Arial"/>
          <w:sz w:val="4"/>
          <w:szCs w:val="4"/>
          <w:lang w:val="en-GB"/>
        </w:rPr>
      </w:pPr>
    </w:p>
    <w:p w14:paraId="3651DDBB"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7DB42134" w14:textId="3870AA63" w:rsidR="00A0244C" w:rsidRPr="00BC1ABD" w:rsidRDefault="00A0244C" w:rsidP="00A0244C">
      <w:pPr>
        <w:jc w:val="both"/>
        <w:rPr>
          <w:rFonts w:cs="Arial"/>
          <w:sz w:val="24"/>
          <w:szCs w:val="24"/>
          <w:lang w:val="en-GB"/>
        </w:rPr>
      </w:pPr>
      <w:r w:rsidRPr="00BC1ABD">
        <w:rPr>
          <w:rFonts w:cs="Arial"/>
          <w:sz w:val="24"/>
          <w:szCs w:val="24"/>
          <w:lang w:val="en-GB"/>
        </w:rPr>
        <w:t xml:space="preserve">Magticom, Silknet and Skytel have a ratio of </w:t>
      </w:r>
      <w:r w:rsidR="00F026B4">
        <w:rPr>
          <w:rFonts w:cs="Arial"/>
          <w:sz w:val="24"/>
          <w:szCs w:val="24"/>
          <w:lang w:val="en-GB"/>
        </w:rPr>
        <w:t>FTTx</w:t>
      </w:r>
      <w:r w:rsidRPr="00BC1ABD">
        <w:rPr>
          <w:rFonts w:cs="Arial"/>
          <w:sz w:val="24"/>
          <w:szCs w:val="24"/>
          <w:lang w:val="en-GB"/>
        </w:rPr>
        <w:t xml:space="preserve"> subscribers to </w:t>
      </w:r>
      <w:r w:rsidR="00F026B4">
        <w:rPr>
          <w:rFonts w:cs="Arial"/>
          <w:sz w:val="24"/>
          <w:szCs w:val="24"/>
          <w:lang w:val="en-GB"/>
        </w:rPr>
        <w:t>FTTx</w:t>
      </w:r>
      <w:r w:rsidRPr="00BC1ABD">
        <w:rPr>
          <w:rFonts w:cs="Arial"/>
          <w:sz w:val="24"/>
          <w:szCs w:val="24"/>
          <w:lang w:val="en-GB"/>
        </w:rPr>
        <w:t xml:space="preserve"> premises passed of between 2.31 and 3.35. </w:t>
      </w:r>
      <w:r w:rsidR="001A02CA">
        <w:rPr>
          <w:rFonts w:cs="Arial"/>
          <w:sz w:val="24"/>
          <w:szCs w:val="24"/>
          <w:lang w:val="en-GB"/>
        </w:rPr>
        <w:t>Akhali Kselebi</w:t>
      </w:r>
      <w:r w:rsidR="006E5529">
        <w:rPr>
          <w:rFonts w:cs="Arial"/>
          <w:sz w:val="24"/>
          <w:szCs w:val="24"/>
          <w:lang w:val="en-GB"/>
        </w:rPr>
        <w:t xml:space="preserve"> </w:t>
      </w:r>
      <w:r w:rsidRPr="00BC1ABD">
        <w:rPr>
          <w:rFonts w:cs="Arial"/>
          <w:sz w:val="24"/>
          <w:szCs w:val="24"/>
          <w:lang w:val="en-GB"/>
        </w:rPr>
        <w:t xml:space="preserve">and other operators have ratios below 1:1, making their data unreliable as it is not likely that that they </w:t>
      </w:r>
      <w:r w:rsidR="00657438" w:rsidRPr="00BC1ABD">
        <w:rPr>
          <w:rFonts w:cs="Arial"/>
          <w:sz w:val="24"/>
          <w:szCs w:val="24"/>
          <w:lang w:val="en-GB"/>
        </w:rPr>
        <w:t>possess</w:t>
      </w:r>
      <w:r w:rsidRPr="00BC1ABD">
        <w:rPr>
          <w:rFonts w:cs="Arial"/>
          <w:sz w:val="24"/>
          <w:szCs w:val="24"/>
          <w:lang w:val="en-GB"/>
        </w:rPr>
        <w:t xml:space="preserve"> a significantly different ratio from the larger operators in practice.</w:t>
      </w:r>
    </w:p>
    <w:p w14:paraId="026AB2AB" w14:textId="6484D97F" w:rsidR="00A0244C" w:rsidRPr="00BC1ABD" w:rsidRDefault="00A0244C" w:rsidP="00A0244C">
      <w:pPr>
        <w:jc w:val="both"/>
        <w:rPr>
          <w:rFonts w:cs="Arial"/>
          <w:sz w:val="24"/>
          <w:szCs w:val="24"/>
          <w:lang w:val="en-GB"/>
        </w:rPr>
      </w:pPr>
      <w:r w:rsidRPr="00BC1ABD">
        <w:rPr>
          <w:rFonts w:cs="Arial"/>
          <w:sz w:val="24"/>
          <w:szCs w:val="24"/>
          <w:lang w:val="en-GB"/>
        </w:rPr>
        <w:t>Akhali Kselebi’s</w:t>
      </w:r>
      <w:r w:rsidR="006E5529">
        <w:rPr>
          <w:rFonts w:cs="Arial"/>
          <w:sz w:val="24"/>
          <w:szCs w:val="24"/>
          <w:lang w:val="en-GB"/>
        </w:rPr>
        <w:t xml:space="preserve"> </w:t>
      </w:r>
      <w:r w:rsidR="00F026B4">
        <w:rPr>
          <w:rFonts w:cs="Arial"/>
          <w:sz w:val="24"/>
          <w:szCs w:val="24"/>
          <w:lang w:val="en-GB"/>
        </w:rPr>
        <w:t>FTTx</w:t>
      </w:r>
      <w:r w:rsidRPr="00BC1ABD">
        <w:rPr>
          <w:rFonts w:cs="Arial"/>
          <w:sz w:val="24"/>
          <w:szCs w:val="24"/>
          <w:lang w:val="en-GB"/>
        </w:rPr>
        <w:t xml:space="preserve"> networks are present in the four largest cities plus 11 further settlements with an additional 183,701 inhabitants. In 4 of these settlements with a total 105,592 inhabitants, their </w:t>
      </w:r>
      <w:r w:rsidR="007355E2">
        <w:rPr>
          <w:rFonts w:cs="Arial"/>
          <w:sz w:val="24"/>
          <w:szCs w:val="24"/>
          <w:lang w:val="en-GB"/>
        </w:rPr>
        <w:t xml:space="preserve">share of </w:t>
      </w:r>
      <w:r w:rsidR="00F026B4">
        <w:rPr>
          <w:rFonts w:cs="Arial"/>
          <w:sz w:val="24"/>
          <w:szCs w:val="24"/>
          <w:lang w:val="en-GB"/>
        </w:rPr>
        <w:t>FTTx</w:t>
      </w:r>
      <w:r w:rsidR="007355E2" w:rsidRPr="00BC1ABD">
        <w:rPr>
          <w:rFonts w:cs="Arial"/>
          <w:sz w:val="24"/>
          <w:szCs w:val="24"/>
          <w:lang w:val="en-GB"/>
        </w:rPr>
        <w:t xml:space="preserve"> broadband access </w:t>
      </w:r>
      <w:r w:rsidR="007355E2">
        <w:rPr>
          <w:rFonts w:cs="Arial"/>
          <w:sz w:val="24"/>
          <w:szCs w:val="24"/>
          <w:lang w:val="en-GB"/>
        </w:rPr>
        <w:t>users</w:t>
      </w:r>
      <w:r w:rsidR="007355E2" w:rsidRPr="00BC1ABD" w:rsidDel="007355E2">
        <w:rPr>
          <w:rFonts w:cs="Arial"/>
          <w:sz w:val="24"/>
          <w:szCs w:val="24"/>
          <w:lang w:val="en-GB"/>
        </w:rPr>
        <w:t xml:space="preserve"> </w:t>
      </w:r>
      <w:r w:rsidR="00F026B4">
        <w:rPr>
          <w:rFonts w:cs="Arial"/>
          <w:sz w:val="24"/>
          <w:szCs w:val="24"/>
          <w:lang w:val="en-GB"/>
        </w:rPr>
        <w:t>FTTx</w:t>
      </w:r>
      <w:r w:rsidR="00657438">
        <w:rPr>
          <w:rFonts w:cs="Arial"/>
          <w:sz w:val="24"/>
          <w:szCs w:val="24"/>
          <w:lang w:val="en-GB"/>
        </w:rPr>
        <w:t xml:space="preserve"> </w:t>
      </w:r>
      <w:r w:rsidRPr="00BC1ABD">
        <w:rPr>
          <w:rFonts w:cs="Arial"/>
          <w:sz w:val="24"/>
          <w:szCs w:val="24"/>
          <w:lang w:val="en-GB"/>
        </w:rPr>
        <w:t>is below 10%. In the remaining 7 settlements there are 78,109 inhabitants which is only 2% of the Georgian population.</w:t>
      </w:r>
    </w:p>
    <w:p w14:paraId="5254F774" w14:textId="12A5E173" w:rsidR="00A0244C" w:rsidRPr="00BC1ABD" w:rsidRDefault="00A0244C" w:rsidP="00A0244C">
      <w:pPr>
        <w:jc w:val="both"/>
        <w:rPr>
          <w:rFonts w:cs="Arial"/>
          <w:sz w:val="24"/>
          <w:szCs w:val="24"/>
          <w:lang w:val="en-GB"/>
        </w:rPr>
      </w:pPr>
      <w:r w:rsidRPr="00BC1ABD">
        <w:rPr>
          <w:rFonts w:cs="Arial"/>
          <w:sz w:val="24"/>
          <w:szCs w:val="24"/>
          <w:lang w:val="en-GB"/>
        </w:rPr>
        <w:t xml:space="preserve">Other </w:t>
      </w:r>
      <w:r w:rsidR="00F026B4">
        <w:rPr>
          <w:rFonts w:cs="Arial"/>
          <w:sz w:val="24"/>
          <w:szCs w:val="24"/>
          <w:lang w:val="en-GB"/>
        </w:rPr>
        <w:t>FTTx</w:t>
      </w:r>
      <w:r w:rsidRPr="00BC1ABD">
        <w:rPr>
          <w:rFonts w:cs="Arial"/>
          <w:sz w:val="24"/>
          <w:szCs w:val="24"/>
          <w:lang w:val="en-GB"/>
        </w:rPr>
        <w:t xml:space="preserve"> network operators are present in the four largest cities plus a further 382 settlements with 687,921 inhabitants. In 269 of settlements (with a total population of 145,121) one out of the smaller operators is the only </w:t>
      </w:r>
      <w:r w:rsidR="00F026B4">
        <w:rPr>
          <w:rFonts w:cs="Arial"/>
          <w:sz w:val="24"/>
          <w:szCs w:val="24"/>
          <w:lang w:val="en-GB"/>
        </w:rPr>
        <w:t>FTTx</w:t>
      </w:r>
      <w:r w:rsidRPr="00BC1ABD">
        <w:rPr>
          <w:rFonts w:cs="Arial"/>
          <w:sz w:val="24"/>
          <w:szCs w:val="24"/>
          <w:lang w:val="en-GB"/>
        </w:rPr>
        <w:t xml:space="preserve"> network operator. In a further 44 settlements with 376,138 inhabitants</w:t>
      </w:r>
      <w:r w:rsidR="00C839B0">
        <w:rPr>
          <w:rFonts w:cs="Arial"/>
          <w:sz w:val="24"/>
          <w:szCs w:val="24"/>
          <w:lang w:val="en-GB"/>
        </w:rPr>
        <w:t>,</w:t>
      </w:r>
      <w:r w:rsidRPr="00BC1ABD">
        <w:rPr>
          <w:rFonts w:cs="Arial"/>
          <w:sz w:val="24"/>
          <w:szCs w:val="24"/>
          <w:lang w:val="en-GB"/>
        </w:rPr>
        <w:t xml:space="preserve"> smaller operators hold an </w:t>
      </w:r>
      <w:r w:rsidR="00F026B4">
        <w:rPr>
          <w:rFonts w:cs="Arial"/>
          <w:sz w:val="24"/>
          <w:szCs w:val="24"/>
          <w:lang w:val="en-GB"/>
        </w:rPr>
        <w:t>FTTx</w:t>
      </w:r>
      <w:r w:rsidRPr="00BC1ABD">
        <w:rPr>
          <w:rFonts w:cs="Arial"/>
          <w:sz w:val="24"/>
          <w:szCs w:val="24"/>
          <w:lang w:val="en-GB"/>
        </w:rPr>
        <w:t xml:space="preserve"> </w:t>
      </w:r>
      <w:r w:rsidR="007355E2">
        <w:rPr>
          <w:rFonts w:cs="Arial"/>
          <w:sz w:val="24"/>
          <w:szCs w:val="24"/>
          <w:lang w:val="en-GB"/>
        </w:rPr>
        <w:t xml:space="preserve">share of </w:t>
      </w:r>
      <w:r w:rsidR="007355E2" w:rsidRPr="00BC1ABD">
        <w:rPr>
          <w:rFonts w:cs="Arial"/>
          <w:sz w:val="24"/>
          <w:szCs w:val="24"/>
          <w:lang w:val="en-GB"/>
        </w:rPr>
        <w:t xml:space="preserve">fixed broadband access </w:t>
      </w:r>
      <w:r w:rsidR="007355E2">
        <w:rPr>
          <w:rFonts w:cs="Arial"/>
          <w:sz w:val="24"/>
          <w:szCs w:val="24"/>
          <w:lang w:val="en-GB"/>
        </w:rPr>
        <w:t>users</w:t>
      </w:r>
      <w:r w:rsidR="007355E2" w:rsidRPr="00BC1ABD" w:rsidDel="007355E2">
        <w:rPr>
          <w:rFonts w:cs="Arial"/>
          <w:sz w:val="24"/>
          <w:szCs w:val="24"/>
          <w:lang w:val="en-GB"/>
        </w:rPr>
        <w:t xml:space="preserve"> </w:t>
      </w:r>
      <w:r w:rsidRPr="00BC1ABD">
        <w:rPr>
          <w:rFonts w:cs="Arial"/>
          <w:sz w:val="24"/>
          <w:szCs w:val="24"/>
          <w:lang w:val="en-GB"/>
        </w:rPr>
        <w:t xml:space="preserve">below 10%. In the case of 56 settlements (with 76,093 inhabitants) there are only two of the smaller </w:t>
      </w:r>
      <w:r w:rsidR="00F026B4">
        <w:rPr>
          <w:rFonts w:cs="Arial"/>
          <w:sz w:val="24"/>
          <w:szCs w:val="24"/>
          <w:lang w:val="en-GB"/>
        </w:rPr>
        <w:t>FTTx</w:t>
      </w:r>
      <w:r w:rsidRPr="00BC1ABD">
        <w:rPr>
          <w:rFonts w:cs="Arial"/>
          <w:sz w:val="24"/>
          <w:szCs w:val="24"/>
          <w:lang w:val="en-GB"/>
        </w:rPr>
        <w:t xml:space="preserve"> network operators present. Settlements with less than 3 </w:t>
      </w:r>
      <w:r w:rsidR="00F026B4">
        <w:rPr>
          <w:rFonts w:cs="Arial"/>
          <w:sz w:val="24"/>
          <w:szCs w:val="24"/>
          <w:lang w:val="en-GB"/>
        </w:rPr>
        <w:t>FTTx</w:t>
      </w:r>
      <w:r w:rsidRPr="00BC1ABD">
        <w:rPr>
          <w:rFonts w:cs="Arial"/>
          <w:sz w:val="24"/>
          <w:szCs w:val="24"/>
          <w:lang w:val="en-GB"/>
        </w:rPr>
        <w:t xml:space="preserve"> network operators are not considered contestable. The competitive impact of the smaller </w:t>
      </w:r>
      <w:r w:rsidR="00F026B4">
        <w:rPr>
          <w:rFonts w:cs="Arial"/>
          <w:sz w:val="24"/>
          <w:szCs w:val="24"/>
          <w:lang w:val="en-GB"/>
        </w:rPr>
        <w:t>FTTx</w:t>
      </w:r>
      <w:r w:rsidRPr="00BC1ABD">
        <w:rPr>
          <w:rFonts w:cs="Arial"/>
          <w:sz w:val="24"/>
          <w:szCs w:val="24"/>
          <w:lang w:val="en-GB"/>
        </w:rPr>
        <w:t xml:space="preserve"> network operators is only present in 13 settlements with 90,623 inhabitants (3% of the Georgian population).</w:t>
      </w:r>
    </w:p>
    <w:p w14:paraId="20A5F2DD" w14:textId="1C791AE9" w:rsidR="00A0244C" w:rsidRPr="00BC1ABD" w:rsidRDefault="00A0244C" w:rsidP="00A0244C">
      <w:pPr>
        <w:jc w:val="both"/>
        <w:rPr>
          <w:rFonts w:cs="Arial"/>
          <w:sz w:val="24"/>
          <w:szCs w:val="24"/>
          <w:lang w:val="en-GB"/>
        </w:rPr>
      </w:pPr>
      <w:r w:rsidRPr="00BC1ABD">
        <w:rPr>
          <w:rFonts w:cs="Arial"/>
          <w:sz w:val="24"/>
          <w:szCs w:val="24"/>
          <w:lang w:val="en-GB"/>
        </w:rPr>
        <w:t xml:space="preserve">It is therefore concluded that only Skytel could have a significant competitive impact and only in a very limited number of settlements below 100,000 inhabitants. Smaller players can have relatively little competitive impact because they typically have less than 10% </w:t>
      </w:r>
      <w:r w:rsidR="00F026B4">
        <w:rPr>
          <w:rFonts w:cs="Arial"/>
          <w:sz w:val="24"/>
          <w:szCs w:val="24"/>
          <w:lang w:val="en-GB"/>
        </w:rPr>
        <w:t>FTTx</w:t>
      </w:r>
      <w:r w:rsidRPr="00BC1ABD">
        <w:rPr>
          <w:rFonts w:cs="Arial"/>
          <w:sz w:val="24"/>
          <w:szCs w:val="24"/>
          <w:lang w:val="en-GB"/>
        </w:rPr>
        <w:t xml:space="preserve"> </w:t>
      </w:r>
      <w:r w:rsidR="007355E2">
        <w:rPr>
          <w:rFonts w:cs="Arial"/>
          <w:sz w:val="24"/>
          <w:szCs w:val="24"/>
          <w:lang w:val="en-GB"/>
        </w:rPr>
        <w:t xml:space="preserve">share of </w:t>
      </w:r>
      <w:r w:rsidRPr="00BC1ABD">
        <w:rPr>
          <w:rFonts w:cs="Arial"/>
          <w:sz w:val="24"/>
          <w:szCs w:val="24"/>
          <w:lang w:val="en-GB"/>
        </w:rPr>
        <w:t xml:space="preserve">fixed broadband access </w:t>
      </w:r>
      <w:r w:rsidR="007355E2">
        <w:rPr>
          <w:rFonts w:cs="Arial"/>
          <w:sz w:val="24"/>
          <w:szCs w:val="24"/>
          <w:lang w:val="en-GB"/>
        </w:rPr>
        <w:t>users</w:t>
      </w:r>
      <w:r w:rsidRPr="00BC1ABD">
        <w:rPr>
          <w:rFonts w:cs="Arial"/>
          <w:sz w:val="24"/>
          <w:szCs w:val="24"/>
          <w:lang w:val="en-GB"/>
        </w:rPr>
        <w:t>. Akhali Kselebi’s</w:t>
      </w:r>
      <w:r w:rsidR="006E5529">
        <w:rPr>
          <w:rFonts w:cs="Arial"/>
          <w:sz w:val="24"/>
          <w:szCs w:val="24"/>
          <w:lang w:val="en-GB"/>
        </w:rPr>
        <w:t xml:space="preserve"> </w:t>
      </w:r>
      <w:r w:rsidRPr="00BC1ABD">
        <w:rPr>
          <w:rFonts w:cs="Arial"/>
          <w:sz w:val="24"/>
          <w:szCs w:val="24"/>
          <w:lang w:val="en-GB"/>
        </w:rPr>
        <w:t>impact is limited to its presence in the largest cities.</w:t>
      </w:r>
    </w:p>
    <w:p w14:paraId="1962CAF9" w14:textId="02AEE1C3" w:rsidR="00A0244C" w:rsidRPr="00BC1ABD" w:rsidRDefault="00A0244C" w:rsidP="00A0244C">
      <w:pPr>
        <w:jc w:val="both"/>
        <w:rPr>
          <w:rFonts w:cs="Arial"/>
          <w:sz w:val="24"/>
          <w:szCs w:val="24"/>
          <w:lang w:val="en-GB"/>
        </w:rPr>
      </w:pPr>
      <w:r w:rsidRPr="00BC1ABD">
        <w:rPr>
          <w:rFonts w:cs="Arial"/>
          <w:sz w:val="24"/>
          <w:szCs w:val="24"/>
          <w:lang w:val="en-GB"/>
        </w:rPr>
        <w:t xml:space="preserve">Further analysis of </w:t>
      </w:r>
      <w:r w:rsidR="00F026B4">
        <w:rPr>
          <w:rFonts w:cs="Arial"/>
          <w:sz w:val="24"/>
          <w:szCs w:val="24"/>
          <w:lang w:val="en-GB"/>
        </w:rPr>
        <w:t>FTTx</w:t>
      </w:r>
      <w:r w:rsidRPr="00BC1ABD">
        <w:rPr>
          <w:rFonts w:cs="Arial"/>
          <w:sz w:val="24"/>
          <w:szCs w:val="24"/>
          <w:lang w:val="en-GB"/>
        </w:rPr>
        <w:t xml:space="preserve"> coverage (premises passed by </w:t>
      </w:r>
      <w:r w:rsidR="00F026B4">
        <w:rPr>
          <w:rFonts w:cs="Arial"/>
          <w:sz w:val="24"/>
          <w:szCs w:val="24"/>
          <w:lang w:val="en-GB"/>
        </w:rPr>
        <w:t>FTTx</w:t>
      </w:r>
      <w:r w:rsidRPr="00BC1ABD">
        <w:rPr>
          <w:rFonts w:cs="Arial"/>
          <w:sz w:val="24"/>
          <w:szCs w:val="24"/>
          <w:lang w:val="en-GB"/>
        </w:rPr>
        <w:t xml:space="preserve"> networks) is possible using only the data supplied by Magticom, Silknet and Skytel. The analysis is limited to settlements with less than 100,000 inhabitants.</w:t>
      </w:r>
    </w:p>
    <w:p w14:paraId="7E117F41" w14:textId="4C036296" w:rsidR="00A0244C" w:rsidRPr="00BC1ABD" w:rsidRDefault="00A0244C" w:rsidP="00A0244C">
      <w:pPr>
        <w:jc w:val="both"/>
        <w:rPr>
          <w:rFonts w:cs="Arial"/>
          <w:sz w:val="24"/>
          <w:szCs w:val="24"/>
          <w:lang w:val="en-GB"/>
        </w:rPr>
      </w:pPr>
      <w:r w:rsidRPr="00BC1ABD">
        <w:rPr>
          <w:rFonts w:cs="Arial"/>
          <w:sz w:val="24"/>
          <w:szCs w:val="24"/>
          <w:lang w:val="en-GB"/>
        </w:rPr>
        <w:t xml:space="preserve">Settlements with four or five </w:t>
      </w:r>
      <w:r w:rsidR="00F026B4">
        <w:rPr>
          <w:rFonts w:cs="Arial"/>
          <w:sz w:val="24"/>
          <w:szCs w:val="24"/>
          <w:lang w:val="en-GB"/>
        </w:rPr>
        <w:t>FTTx</w:t>
      </w:r>
      <w:r w:rsidRPr="00BC1ABD">
        <w:rPr>
          <w:rFonts w:cs="Arial"/>
          <w:sz w:val="24"/>
          <w:szCs w:val="24"/>
          <w:lang w:val="en-GB"/>
        </w:rPr>
        <w:t xml:space="preserve"> network operators are all either too large (more than 100,000 inhabitants) or they do not fulfil the criterion on coverage (a requirement for 80% </w:t>
      </w:r>
      <w:r w:rsidR="00F026B4">
        <w:rPr>
          <w:rFonts w:cs="Arial"/>
          <w:sz w:val="24"/>
          <w:szCs w:val="24"/>
          <w:lang w:val="en-GB"/>
        </w:rPr>
        <w:t>FTTx</w:t>
      </w:r>
      <w:r w:rsidRPr="00BC1ABD">
        <w:rPr>
          <w:rFonts w:cs="Arial"/>
          <w:sz w:val="24"/>
          <w:szCs w:val="24"/>
          <w:lang w:val="en-GB"/>
        </w:rPr>
        <w:t xml:space="preserve"> coverage for the second operator and 20% for the third – see Chapter </w:t>
      </w:r>
      <w:r w:rsidR="00391365">
        <w:rPr>
          <w:rFonts w:cs="Arial"/>
          <w:sz w:val="24"/>
          <w:szCs w:val="24"/>
          <w:lang w:val="en-GB"/>
        </w:rPr>
        <w:t>2.</w:t>
      </w:r>
      <w:r w:rsidRPr="00BC1ABD">
        <w:rPr>
          <w:rFonts w:cs="Arial"/>
          <w:sz w:val="24"/>
          <w:szCs w:val="24"/>
          <w:lang w:val="en-GB"/>
        </w:rPr>
        <w:t xml:space="preserve">3.6). For settlements with 3 </w:t>
      </w:r>
      <w:r w:rsidR="00F026B4">
        <w:rPr>
          <w:rFonts w:cs="Arial"/>
          <w:sz w:val="24"/>
          <w:szCs w:val="24"/>
          <w:lang w:val="en-GB"/>
        </w:rPr>
        <w:t>FTTx</w:t>
      </w:r>
      <w:r w:rsidRPr="00BC1ABD">
        <w:rPr>
          <w:rFonts w:cs="Arial"/>
          <w:sz w:val="24"/>
          <w:szCs w:val="24"/>
          <w:lang w:val="en-GB"/>
        </w:rPr>
        <w:t xml:space="preserve"> network operators, 4 settlements fulfil these coverage criteria, but three of them have already been marked as contestable using the </w:t>
      </w:r>
      <w:r w:rsidR="00F026B4">
        <w:rPr>
          <w:rFonts w:cs="Arial"/>
          <w:sz w:val="24"/>
          <w:szCs w:val="24"/>
          <w:lang w:val="en-GB"/>
        </w:rPr>
        <w:t>FTTx</w:t>
      </w:r>
      <w:r w:rsidRPr="00BC1ABD">
        <w:rPr>
          <w:rFonts w:cs="Arial"/>
          <w:sz w:val="24"/>
          <w:szCs w:val="24"/>
          <w:lang w:val="en-GB"/>
        </w:rPr>
        <w:t xml:space="preserve"> share</w:t>
      </w:r>
      <w:r w:rsidR="007355E2">
        <w:rPr>
          <w:rFonts w:cs="Arial"/>
          <w:sz w:val="24"/>
          <w:szCs w:val="24"/>
          <w:lang w:val="en-GB"/>
        </w:rPr>
        <w:t xml:space="preserve"> of broadband users</w:t>
      </w:r>
      <w:r w:rsidRPr="00BC1ABD">
        <w:rPr>
          <w:rFonts w:cs="Arial"/>
          <w:sz w:val="24"/>
          <w:szCs w:val="24"/>
          <w:lang w:val="en-GB"/>
        </w:rPr>
        <w:t>-based criteria.</w:t>
      </w:r>
    </w:p>
    <w:p w14:paraId="7B07D791" w14:textId="09017D42" w:rsidR="00A0244C" w:rsidRPr="00793E5F" w:rsidRDefault="00A0244C" w:rsidP="00793E5F">
      <w:pPr>
        <w:pStyle w:val="Caption"/>
        <w:jc w:val="center"/>
        <w:rPr>
          <w:rFonts w:cs="Arial"/>
          <w:b/>
          <w:sz w:val="24"/>
          <w:szCs w:val="24"/>
          <w:lang w:val="en-GB"/>
        </w:rPr>
      </w:pPr>
      <w:bookmarkStart w:id="325" w:name="_Toc152931421"/>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70</w:t>
      </w:r>
      <w:r w:rsidRPr="00BC1ABD">
        <w:rPr>
          <w:lang w:val="en-GB"/>
        </w:rPr>
        <w:fldChar w:fldCharType="end"/>
      </w:r>
      <w:r w:rsidRPr="00BC1ABD">
        <w:rPr>
          <w:lang w:val="en-GB"/>
        </w:rPr>
        <w:t>: Premises passed: Silknet more than 80%, other operators more than 20%</w:t>
      </w:r>
      <w:bookmarkEnd w:id="325"/>
    </w:p>
    <w:tbl>
      <w:tblPr>
        <w:tblW w:w="9062" w:type="dxa"/>
        <w:tblCellMar>
          <w:left w:w="70" w:type="dxa"/>
          <w:right w:w="70" w:type="dxa"/>
        </w:tblCellMar>
        <w:tblLook w:val="04A0" w:firstRow="1" w:lastRow="0" w:firstColumn="1" w:lastColumn="0" w:noHBand="0" w:noVBand="1"/>
      </w:tblPr>
      <w:tblGrid>
        <w:gridCol w:w="1225"/>
        <w:gridCol w:w="976"/>
        <w:gridCol w:w="1422"/>
        <w:gridCol w:w="855"/>
        <w:gridCol w:w="889"/>
        <w:gridCol w:w="877"/>
        <w:gridCol w:w="557"/>
        <w:gridCol w:w="801"/>
        <w:gridCol w:w="730"/>
        <w:gridCol w:w="730"/>
      </w:tblGrid>
      <w:tr w:rsidR="00A1654F" w:rsidRPr="00BC1ABD" w14:paraId="78D3CF64" w14:textId="77777777" w:rsidTr="00513448">
        <w:trPr>
          <w:trHeight w:val="552"/>
        </w:trPr>
        <w:tc>
          <w:tcPr>
            <w:tcW w:w="1245" w:type="dxa"/>
            <w:tcBorders>
              <w:top w:val="single" w:sz="4" w:space="0" w:color="9BC2E6"/>
              <w:left w:val="single" w:sz="4" w:space="0" w:color="9BC2E6"/>
              <w:bottom w:val="single" w:sz="4" w:space="0" w:color="9BC2E6"/>
              <w:right w:val="nil"/>
            </w:tcBorders>
            <w:shd w:val="clear" w:color="5B9BD5" w:fill="5B9BD5"/>
            <w:vAlign w:val="bottom"/>
            <w:hideMark/>
          </w:tcPr>
          <w:p w14:paraId="76E5D5CD"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Municipality</w:t>
            </w:r>
          </w:p>
        </w:tc>
        <w:tc>
          <w:tcPr>
            <w:tcW w:w="991" w:type="dxa"/>
            <w:tcBorders>
              <w:top w:val="single" w:sz="4" w:space="0" w:color="9BC2E6"/>
              <w:left w:val="nil"/>
              <w:bottom w:val="single" w:sz="4" w:space="0" w:color="9BC2E6"/>
              <w:right w:val="nil"/>
            </w:tcBorders>
            <w:shd w:val="clear" w:color="5B9BD5" w:fill="5B9BD5"/>
            <w:vAlign w:val="bottom"/>
            <w:hideMark/>
          </w:tcPr>
          <w:p w14:paraId="6A4818EC"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Settlement</w:t>
            </w:r>
          </w:p>
        </w:tc>
        <w:tc>
          <w:tcPr>
            <w:tcW w:w="1445" w:type="dxa"/>
            <w:tcBorders>
              <w:top w:val="single" w:sz="4" w:space="0" w:color="9BC2E6"/>
              <w:left w:val="nil"/>
              <w:bottom w:val="single" w:sz="4" w:space="0" w:color="9BC2E6"/>
              <w:right w:val="nil"/>
            </w:tcBorders>
            <w:shd w:val="clear" w:color="5B9BD5" w:fill="5B9BD5"/>
            <w:vAlign w:val="bottom"/>
            <w:hideMark/>
          </w:tcPr>
          <w:p w14:paraId="6AF114E3"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Contestable 3 op.</w:t>
            </w:r>
          </w:p>
        </w:tc>
        <w:tc>
          <w:tcPr>
            <w:tcW w:w="736" w:type="dxa"/>
            <w:tcBorders>
              <w:top w:val="single" w:sz="4" w:space="0" w:color="9BC2E6"/>
              <w:left w:val="nil"/>
              <w:bottom w:val="single" w:sz="4" w:space="0" w:color="9BC2E6"/>
              <w:right w:val="nil"/>
            </w:tcBorders>
            <w:shd w:val="clear" w:color="5B9BD5" w:fill="5B9BD5"/>
            <w:vAlign w:val="bottom"/>
            <w:hideMark/>
          </w:tcPr>
          <w:p w14:paraId="3DBB2BAC"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Population</w:t>
            </w:r>
          </w:p>
        </w:tc>
        <w:tc>
          <w:tcPr>
            <w:tcW w:w="901" w:type="dxa"/>
            <w:tcBorders>
              <w:top w:val="single" w:sz="4" w:space="0" w:color="9BC2E6"/>
              <w:left w:val="nil"/>
              <w:bottom w:val="single" w:sz="4" w:space="0" w:color="9BC2E6"/>
              <w:right w:val="nil"/>
            </w:tcBorders>
            <w:shd w:val="clear" w:color="5B9BD5" w:fill="5B9BD5"/>
            <w:vAlign w:val="bottom"/>
            <w:hideMark/>
          </w:tcPr>
          <w:p w14:paraId="50872BD7"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households</w:t>
            </w:r>
          </w:p>
        </w:tc>
        <w:tc>
          <w:tcPr>
            <w:tcW w:w="888" w:type="dxa"/>
            <w:tcBorders>
              <w:top w:val="single" w:sz="4" w:space="0" w:color="9BC2E6"/>
              <w:left w:val="nil"/>
              <w:bottom w:val="single" w:sz="4" w:space="0" w:color="9BC2E6"/>
              <w:right w:val="nil"/>
            </w:tcBorders>
            <w:shd w:val="clear" w:color="5B9BD5" w:fill="5B9BD5"/>
            <w:vAlign w:val="bottom"/>
            <w:hideMark/>
          </w:tcPr>
          <w:p w14:paraId="6CA9C672"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subscribers total</w:t>
            </w:r>
          </w:p>
        </w:tc>
        <w:tc>
          <w:tcPr>
            <w:tcW w:w="565" w:type="dxa"/>
            <w:tcBorders>
              <w:top w:val="single" w:sz="4" w:space="0" w:color="9BC2E6"/>
              <w:left w:val="nil"/>
              <w:bottom w:val="single" w:sz="4" w:space="0" w:color="9BC2E6"/>
              <w:right w:val="nil"/>
            </w:tcBorders>
            <w:shd w:val="clear" w:color="5B9BD5" w:fill="5B9BD5"/>
            <w:vAlign w:val="bottom"/>
            <w:hideMark/>
          </w:tcPr>
          <w:p w14:paraId="482F0078"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Magti share</w:t>
            </w:r>
          </w:p>
        </w:tc>
        <w:tc>
          <w:tcPr>
            <w:tcW w:w="811" w:type="dxa"/>
            <w:tcBorders>
              <w:top w:val="single" w:sz="4" w:space="0" w:color="9BC2E6"/>
              <w:left w:val="nil"/>
              <w:bottom w:val="single" w:sz="4" w:space="0" w:color="9BC2E6"/>
              <w:right w:val="nil"/>
            </w:tcBorders>
            <w:shd w:val="clear" w:color="5B9BD5" w:fill="5B9BD5"/>
            <w:vAlign w:val="bottom"/>
            <w:hideMark/>
          </w:tcPr>
          <w:p w14:paraId="4E31DB94"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Magticom premises take up</w:t>
            </w:r>
          </w:p>
        </w:tc>
        <w:tc>
          <w:tcPr>
            <w:tcW w:w="740" w:type="dxa"/>
            <w:tcBorders>
              <w:top w:val="single" w:sz="4" w:space="0" w:color="9BC2E6"/>
              <w:left w:val="nil"/>
              <w:bottom w:val="single" w:sz="4" w:space="0" w:color="9BC2E6"/>
              <w:right w:val="nil"/>
            </w:tcBorders>
            <w:shd w:val="clear" w:color="5B9BD5" w:fill="5B9BD5"/>
            <w:vAlign w:val="bottom"/>
            <w:hideMark/>
          </w:tcPr>
          <w:p w14:paraId="69C18A64" w14:textId="77777777"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Silknet premises take up</w:t>
            </w:r>
          </w:p>
        </w:tc>
        <w:tc>
          <w:tcPr>
            <w:tcW w:w="740" w:type="dxa"/>
            <w:tcBorders>
              <w:top w:val="single" w:sz="4" w:space="0" w:color="9BC2E6"/>
              <w:left w:val="nil"/>
              <w:bottom w:val="single" w:sz="4" w:space="0" w:color="9BC2E6"/>
              <w:right w:val="single" w:sz="4" w:space="0" w:color="9BC2E6"/>
            </w:tcBorders>
            <w:shd w:val="clear" w:color="5B9BD5" w:fill="5B9BD5"/>
            <w:vAlign w:val="bottom"/>
            <w:hideMark/>
          </w:tcPr>
          <w:p w14:paraId="40E6FF10" w14:textId="6D0A2E50" w:rsidR="00A1654F" w:rsidRPr="00BC1ABD" w:rsidRDefault="00A1654F" w:rsidP="00513448">
            <w:pPr>
              <w:spacing w:after="0" w:line="240" w:lineRule="auto"/>
              <w:rPr>
                <w:rFonts w:eastAsia="Times New Roman" w:cs="Calibri"/>
                <w:b/>
                <w:bCs/>
                <w:color w:val="FFFFFF"/>
                <w:sz w:val="16"/>
                <w:szCs w:val="16"/>
                <w:lang w:val="en-GB" w:eastAsia="sl-SI"/>
              </w:rPr>
            </w:pPr>
            <w:r w:rsidRPr="00BC1ABD">
              <w:rPr>
                <w:rFonts w:eastAsia="Times New Roman" w:cs="Calibri"/>
                <w:b/>
                <w:bCs/>
                <w:color w:val="FFFFFF"/>
                <w:sz w:val="16"/>
                <w:szCs w:val="16"/>
                <w:lang w:val="en-GB" w:eastAsia="sl-SI"/>
              </w:rPr>
              <w:t>other premises</w:t>
            </w:r>
            <w:r w:rsidR="00195B2F">
              <w:rPr>
                <w:rFonts w:eastAsia="Times New Roman" w:cs="Calibri"/>
                <w:b/>
                <w:bCs/>
                <w:color w:val="FFFFFF"/>
                <w:sz w:val="16"/>
                <w:szCs w:val="16"/>
                <w:lang w:val="en-GB" w:eastAsia="sl-SI"/>
              </w:rPr>
              <w:t xml:space="preserve"> </w:t>
            </w:r>
            <w:r w:rsidRPr="00BC1ABD">
              <w:rPr>
                <w:rFonts w:eastAsia="Times New Roman" w:cs="Calibri"/>
                <w:b/>
                <w:bCs/>
                <w:color w:val="FFFFFF"/>
                <w:sz w:val="16"/>
                <w:szCs w:val="16"/>
                <w:lang w:val="en-GB" w:eastAsia="sl-SI"/>
              </w:rPr>
              <w:t>take</w:t>
            </w:r>
            <w:r w:rsidR="005A0B56">
              <w:rPr>
                <w:rFonts w:eastAsia="Times New Roman" w:cs="Calibri"/>
                <w:b/>
                <w:bCs/>
                <w:color w:val="FFFFFF"/>
                <w:sz w:val="16"/>
                <w:szCs w:val="16"/>
                <w:lang w:val="en-GB" w:eastAsia="sl-SI"/>
              </w:rPr>
              <w:t>-</w:t>
            </w:r>
            <w:r w:rsidRPr="00BC1ABD">
              <w:rPr>
                <w:rFonts w:eastAsia="Times New Roman" w:cs="Calibri"/>
                <w:b/>
                <w:bCs/>
                <w:color w:val="FFFFFF"/>
                <w:sz w:val="16"/>
                <w:szCs w:val="16"/>
                <w:lang w:val="en-GB" w:eastAsia="sl-SI"/>
              </w:rPr>
              <w:t>up</w:t>
            </w:r>
          </w:p>
        </w:tc>
      </w:tr>
      <w:tr w:rsidR="00A1654F" w:rsidRPr="00BC1ABD" w14:paraId="18F6AA6E" w14:textId="77777777" w:rsidTr="00513448">
        <w:trPr>
          <w:trHeight w:val="288"/>
        </w:trPr>
        <w:tc>
          <w:tcPr>
            <w:tcW w:w="1245" w:type="dxa"/>
            <w:tcBorders>
              <w:top w:val="single" w:sz="4" w:space="0" w:color="9BC2E6"/>
              <w:left w:val="single" w:sz="4" w:space="0" w:color="9BC2E6"/>
              <w:bottom w:val="single" w:sz="4" w:space="0" w:color="9BC2E6"/>
              <w:right w:val="nil"/>
            </w:tcBorders>
            <w:shd w:val="clear" w:color="DDEBF7" w:fill="DDEBF7"/>
            <w:noWrap/>
            <w:vAlign w:val="center"/>
            <w:hideMark/>
          </w:tcPr>
          <w:p w14:paraId="70C83393"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991" w:type="dxa"/>
            <w:tcBorders>
              <w:top w:val="single" w:sz="4" w:space="0" w:color="9BC2E6"/>
              <w:left w:val="nil"/>
              <w:bottom w:val="single" w:sz="4" w:space="0" w:color="9BC2E6"/>
              <w:right w:val="nil"/>
            </w:tcBorders>
            <w:shd w:val="clear" w:color="DDEBF7" w:fill="DDEBF7"/>
            <w:noWrap/>
            <w:vAlign w:val="center"/>
            <w:hideMark/>
          </w:tcPr>
          <w:p w14:paraId="4B6F7F2B" w14:textId="3A9FB2D1" w:rsidR="00A1654F" w:rsidRPr="00BC1ABD" w:rsidRDefault="000C31B2" w:rsidP="00513448">
            <w:pPr>
              <w:spacing w:after="0" w:line="240" w:lineRule="auto"/>
              <w:jc w:val="center"/>
              <w:rPr>
                <w:rFonts w:eastAsia="Times New Roman" w:cs="Calibri"/>
                <w:color w:val="000000"/>
                <w:sz w:val="16"/>
                <w:szCs w:val="16"/>
                <w:lang w:val="en-GB" w:eastAsia="sl-SI"/>
              </w:rPr>
            </w:pPr>
            <w:r w:rsidRPr="000C31B2">
              <w:rPr>
                <w:rFonts w:eastAsia="Times New Roman" w:cs="Calibri"/>
                <w:color w:val="000000"/>
                <w:sz w:val="16"/>
                <w:szCs w:val="16"/>
                <w:lang w:val="en-GB" w:eastAsia="sl-SI"/>
              </w:rPr>
              <w:t>Busheti</w:t>
            </w:r>
          </w:p>
        </w:tc>
        <w:tc>
          <w:tcPr>
            <w:tcW w:w="1445" w:type="dxa"/>
            <w:tcBorders>
              <w:top w:val="single" w:sz="4" w:space="0" w:color="9BC2E6"/>
              <w:left w:val="nil"/>
              <w:bottom w:val="single" w:sz="4" w:space="0" w:color="9BC2E6"/>
              <w:right w:val="nil"/>
            </w:tcBorders>
            <w:shd w:val="clear" w:color="DDEBF7" w:fill="DDEBF7"/>
            <w:noWrap/>
            <w:vAlign w:val="center"/>
            <w:hideMark/>
          </w:tcPr>
          <w:p w14:paraId="0F6E7CB3"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736" w:type="dxa"/>
            <w:tcBorders>
              <w:top w:val="single" w:sz="4" w:space="0" w:color="9BC2E6"/>
              <w:left w:val="nil"/>
              <w:bottom w:val="single" w:sz="4" w:space="0" w:color="9BC2E6"/>
              <w:right w:val="nil"/>
            </w:tcBorders>
            <w:shd w:val="clear" w:color="DDEBF7" w:fill="DDEBF7"/>
            <w:noWrap/>
            <w:vAlign w:val="bottom"/>
            <w:hideMark/>
          </w:tcPr>
          <w:p w14:paraId="1CB29DF8"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1,090</w:t>
            </w:r>
          </w:p>
        </w:tc>
        <w:tc>
          <w:tcPr>
            <w:tcW w:w="901" w:type="dxa"/>
            <w:tcBorders>
              <w:top w:val="single" w:sz="4" w:space="0" w:color="9BC2E6"/>
              <w:left w:val="nil"/>
              <w:bottom w:val="single" w:sz="4" w:space="0" w:color="9BC2E6"/>
              <w:right w:val="nil"/>
            </w:tcBorders>
            <w:shd w:val="clear" w:color="DDEBF7" w:fill="DDEBF7"/>
            <w:noWrap/>
            <w:vAlign w:val="bottom"/>
            <w:hideMark/>
          </w:tcPr>
          <w:p w14:paraId="0B62FCC0"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332</w:t>
            </w:r>
          </w:p>
        </w:tc>
        <w:tc>
          <w:tcPr>
            <w:tcW w:w="888" w:type="dxa"/>
            <w:tcBorders>
              <w:top w:val="single" w:sz="4" w:space="0" w:color="9BC2E6"/>
              <w:left w:val="nil"/>
              <w:bottom w:val="single" w:sz="4" w:space="0" w:color="9BC2E6"/>
              <w:right w:val="nil"/>
            </w:tcBorders>
            <w:shd w:val="clear" w:color="DDEBF7" w:fill="DDEBF7"/>
            <w:noWrap/>
            <w:vAlign w:val="bottom"/>
            <w:hideMark/>
          </w:tcPr>
          <w:p w14:paraId="6F871A6E"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235</w:t>
            </w:r>
          </w:p>
        </w:tc>
        <w:tc>
          <w:tcPr>
            <w:tcW w:w="565" w:type="dxa"/>
            <w:tcBorders>
              <w:top w:val="single" w:sz="4" w:space="0" w:color="9BC2E6"/>
              <w:left w:val="nil"/>
              <w:bottom w:val="single" w:sz="4" w:space="0" w:color="9BC2E6"/>
              <w:right w:val="nil"/>
            </w:tcBorders>
            <w:shd w:val="clear" w:color="DDEBF7" w:fill="DDEBF7"/>
            <w:noWrap/>
            <w:vAlign w:val="bottom"/>
            <w:hideMark/>
          </w:tcPr>
          <w:p w14:paraId="2D0DCF25"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20.43</w:t>
            </w:r>
          </w:p>
        </w:tc>
        <w:tc>
          <w:tcPr>
            <w:tcW w:w="811" w:type="dxa"/>
            <w:tcBorders>
              <w:top w:val="single" w:sz="4" w:space="0" w:color="9BC2E6"/>
              <w:left w:val="nil"/>
              <w:bottom w:val="single" w:sz="4" w:space="0" w:color="9BC2E6"/>
              <w:right w:val="nil"/>
            </w:tcBorders>
            <w:shd w:val="clear" w:color="DDEBF7" w:fill="DDEBF7"/>
            <w:noWrap/>
            <w:vAlign w:val="bottom"/>
            <w:hideMark/>
          </w:tcPr>
          <w:p w14:paraId="05D0888D"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17.17</w:t>
            </w:r>
          </w:p>
        </w:tc>
        <w:tc>
          <w:tcPr>
            <w:tcW w:w="740" w:type="dxa"/>
            <w:tcBorders>
              <w:top w:val="single" w:sz="4" w:space="0" w:color="9BC2E6"/>
              <w:left w:val="nil"/>
              <w:bottom w:val="single" w:sz="4" w:space="0" w:color="9BC2E6"/>
              <w:right w:val="nil"/>
            </w:tcBorders>
            <w:shd w:val="clear" w:color="DDEBF7" w:fill="FFC7CE"/>
            <w:noWrap/>
            <w:vAlign w:val="bottom"/>
            <w:hideMark/>
          </w:tcPr>
          <w:p w14:paraId="2C132EFD" w14:textId="77777777" w:rsidR="00A1654F" w:rsidRPr="00BC1ABD" w:rsidRDefault="00A1654F" w:rsidP="00513448">
            <w:pPr>
              <w:spacing w:after="0" w:line="240" w:lineRule="auto"/>
              <w:jc w:val="right"/>
              <w:rPr>
                <w:rFonts w:eastAsia="Times New Roman" w:cs="Calibri"/>
                <w:color w:val="9C0006"/>
                <w:sz w:val="16"/>
                <w:szCs w:val="16"/>
                <w:lang w:val="en-GB" w:eastAsia="sl-SI"/>
              </w:rPr>
            </w:pPr>
            <w:r w:rsidRPr="00BC1ABD">
              <w:rPr>
                <w:rFonts w:eastAsia="Times New Roman" w:cs="Calibri"/>
                <w:color w:val="9C0006"/>
                <w:sz w:val="16"/>
                <w:szCs w:val="16"/>
                <w:lang w:val="en-GB" w:eastAsia="sl-SI"/>
              </w:rPr>
              <w:t>110.84</w:t>
            </w:r>
          </w:p>
        </w:tc>
        <w:tc>
          <w:tcPr>
            <w:tcW w:w="740" w:type="dxa"/>
            <w:tcBorders>
              <w:top w:val="single" w:sz="4" w:space="0" w:color="9BC2E6"/>
              <w:left w:val="nil"/>
              <w:bottom w:val="single" w:sz="4" w:space="0" w:color="9BC2E6"/>
              <w:right w:val="single" w:sz="4" w:space="0" w:color="9BC2E6"/>
            </w:tcBorders>
            <w:shd w:val="clear" w:color="DDEBF7" w:fill="DDEBF7"/>
            <w:noWrap/>
            <w:vAlign w:val="bottom"/>
            <w:hideMark/>
          </w:tcPr>
          <w:p w14:paraId="76FE685D"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21.69</w:t>
            </w:r>
          </w:p>
        </w:tc>
      </w:tr>
      <w:tr w:rsidR="00A1654F" w:rsidRPr="00BC1ABD" w14:paraId="60F455A7" w14:textId="77777777" w:rsidTr="00513448">
        <w:trPr>
          <w:trHeight w:val="288"/>
        </w:trPr>
        <w:tc>
          <w:tcPr>
            <w:tcW w:w="1245" w:type="dxa"/>
            <w:tcBorders>
              <w:top w:val="single" w:sz="4" w:space="0" w:color="9BC2E6"/>
              <w:left w:val="single" w:sz="4" w:space="0" w:color="9BC2E6"/>
              <w:bottom w:val="single" w:sz="4" w:space="0" w:color="9BC2E6"/>
              <w:right w:val="nil"/>
            </w:tcBorders>
            <w:shd w:val="clear" w:color="auto" w:fill="auto"/>
            <w:noWrap/>
            <w:vAlign w:val="center"/>
            <w:hideMark/>
          </w:tcPr>
          <w:p w14:paraId="49F4EE24"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991" w:type="dxa"/>
            <w:tcBorders>
              <w:top w:val="single" w:sz="4" w:space="0" w:color="9BC2E6"/>
              <w:left w:val="nil"/>
              <w:bottom w:val="single" w:sz="4" w:space="0" w:color="9BC2E6"/>
              <w:right w:val="nil"/>
            </w:tcBorders>
            <w:shd w:val="clear" w:color="auto" w:fill="auto"/>
            <w:noWrap/>
            <w:vAlign w:val="center"/>
            <w:hideMark/>
          </w:tcPr>
          <w:p w14:paraId="5460AD0C" w14:textId="1B9BCA3A" w:rsidR="00A1654F" w:rsidRPr="00BC1ABD" w:rsidRDefault="000C31B2" w:rsidP="00513448">
            <w:pPr>
              <w:spacing w:after="0" w:line="240" w:lineRule="auto"/>
              <w:jc w:val="center"/>
              <w:rPr>
                <w:rFonts w:eastAsia="Times New Roman" w:cs="Calibri"/>
                <w:color w:val="000000"/>
                <w:sz w:val="16"/>
                <w:szCs w:val="16"/>
                <w:lang w:val="en-GB" w:eastAsia="sl-SI"/>
              </w:rPr>
            </w:pPr>
            <w:r>
              <w:rPr>
                <w:rFonts w:eastAsia="Times New Roman" w:cs="Calibri"/>
                <w:color w:val="000000"/>
                <w:sz w:val="16"/>
                <w:szCs w:val="16"/>
                <w:lang w:val="en-GB" w:eastAsia="sl-SI"/>
              </w:rPr>
              <w:t>Vanta</w:t>
            </w:r>
          </w:p>
        </w:tc>
        <w:tc>
          <w:tcPr>
            <w:tcW w:w="1445" w:type="dxa"/>
            <w:tcBorders>
              <w:top w:val="single" w:sz="4" w:space="0" w:color="9BC2E6"/>
              <w:left w:val="nil"/>
              <w:bottom w:val="single" w:sz="4" w:space="0" w:color="9BC2E6"/>
              <w:right w:val="nil"/>
            </w:tcBorders>
            <w:shd w:val="clear" w:color="auto" w:fill="auto"/>
            <w:noWrap/>
            <w:vAlign w:val="center"/>
            <w:hideMark/>
          </w:tcPr>
          <w:p w14:paraId="1BDB9AA0"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736" w:type="dxa"/>
            <w:tcBorders>
              <w:top w:val="single" w:sz="4" w:space="0" w:color="9BC2E6"/>
              <w:left w:val="nil"/>
              <w:bottom w:val="single" w:sz="4" w:space="0" w:color="9BC2E6"/>
              <w:right w:val="nil"/>
            </w:tcBorders>
            <w:shd w:val="clear" w:color="auto" w:fill="auto"/>
            <w:noWrap/>
            <w:vAlign w:val="bottom"/>
            <w:hideMark/>
          </w:tcPr>
          <w:p w14:paraId="52C7A9DD"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937</w:t>
            </w:r>
          </w:p>
        </w:tc>
        <w:tc>
          <w:tcPr>
            <w:tcW w:w="901" w:type="dxa"/>
            <w:tcBorders>
              <w:top w:val="single" w:sz="4" w:space="0" w:color="9BC2E6"/>
              <w:left w:val="nil"/>
              <w:bottom w:val="single" w:sz="4" w:space="0" w:color="9BC2E6"/>
              <w:right w:val="nil"/>
            </w:tcBorders>
            <w:shd w:val="clear" w:color="auto" w:fill="auto"/>
            <w:noWrap/>
            <w:vAlign w:val="bottom"/>
            <w:hideMark/>
          </w:tcPr>
          <w:p w14:paraId="50CC76E6"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307</w:t>
            </w:r>
          </w:p>
        </w:tc>
        <w:tc>
          <w:tcPr>
            <w:tcW w:w="888" w:type="dxa"/>
            <w:tcBorders>
              <w:top w:val="single" w:sz="4" w:space="0" w:color="9BC2E6"/>
              <w:left w:val="nil"/>
              <w:bottom w:val="single" w:sz="4" w:space="0" w:color="9BC2E6"/>
              <w:right w:val="nil"/>
            </w:tcBorders>
            <w:shd w:val="clear" w:color="auto" w:fill="auto"/>
            <w:noWrap/>
            <w:vAlign w:val="bottom"/>
            <w:hideMark/>
          </w:tcPr>
          <w:p w14:paraId="4EFA39CF"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183</w:t>
            </w:r>
          </w:p>
        </w:tc>
        <w:tc>
          <w:tcPr>
            <w:tcW w:w="565" w:type="dxa"/>
            <w:tcBorders>
              <w:top w:val="single" w:sz="4" w:space="0" w:color="9BC2E6"/>
              <w:left w:val="nil"/>
              <w:bottom w:val="single" w:sz="4" w:space="0" w:color="9BC2E6"/>
              <w:right w:val="nil"/>
            </w:tcBorders>
            <w:shd w:val="clear" w:color="auto" w:fill="auto"/>
            <w:noWrap/>
            <w:vAlign w:val="bottom"/>
            <w:hideMark/>
          </w:tcPr>
          <w:p w14:paraId="70889562"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0.55</w:t>
            </w:r>
          </w:p>
        </w:tc>
        <w:tc>
          <w:tcPr>
            <w:tcW w:w="811" w:type="dxa"/>
            <w:tcBorders>
              <w:top w:val="single" w:sz="4" w:space="0" w:color="9BC2E6"/>
              <w:left w:val="nil"/>
              <w:bottom w:val="single" w:sz="4" w:space="0" w:color="9BC2E6"/>
              <w:right w:val="nil"/>
            </w:tcBorders>
            <w:shd w:val="clear" w:color="auto" w:fill="auto"/>
            <w:noWrap/>
            <w:vAlign w:val="bottom"/>
            <w:hideMark/>
          </w:tcPr>
          <w:p w14:paraId="42D7D2FA"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0.33</w:t>
            </w:r>
          </w:p>
        </w:tc>
        <w:tc>
          <w:tcPr>
            <w:tcW w:w="740" w:type="dxa"/>
            <w:tcBorders>
              <w:top w:val="single" w:sz="4" w:space="0" w:color="9BC2E6"/>
              <w:left w:val="nil"/>
              <w:bottom w:val="single" w:sz="4" w:space="0" w:color="9BC2E6"/>
              <w:right w:val="nil"/>
            </w:tcBorders>
            <w:shd w:val="clear" w:color="000000" w:fill="FFC7CE"/>
            <w:noWrap/>
            <w:vAlign w:val="bottom"/>
            <w:hideMark/>
          </w:tcPr>
          <w:p w14:paraId="6CC59CC1" w14:textId="77777777" w:rsidR="00A1654F" w:rsidRPr="00BC1ABD" w:rsidRDefault="00A1654F" w:rsidP="00513448">
            <w:pPr>
              <w:spacing w:after="0" w:line="240" w:lineRule="auto"/>
              <w:jc w:val="right"/>
              <w:rPr>
                <w:rFonts w:eastAsia="Times New Roman" w:cs="Calibri"/>
                <w:color w:val="9C0006"/>
                <w:sz w:val="16"/>
                <w:szCs w:val="16"/>
                <w:lang w:val="en-GB" w:eastAsia="sl-SI"/>
              </w:rPr>
            </w:pPr>
            <w:r w:rsidRPr="00BC1ABD">
              <w:rPr>
                <w:rFonts w:eastAsia="Times New Roman" w:cs="Calibri"/>
                <w:color w:val="9C0006"/>
                <w:sz w:val="16"/>
                <w:szCs w:val="16"/>
                <w:lang w:val="en-GB" w:eastAsia="sl-SI"/>
              </w:rPr>
              <w:t>114.01</w:t>
            </w:r>
          </w:p>
        </w:tc>
        <w:tc>
          <w:tcPr>
            <w:tcW w:w="740" w:type="dxa"/>
            <w:tcBorders>
              <w:top w:val="single" w:sz="4" w:space="0" w:color="9BC2E6"/>
              <w:left w:val="nil"/>
              <w:bottom w:val="single" w:sz="4" w:space="0" w:color="9BC2E6"/>
              <w:right w:val="single" w:sz="4" w:space="0" w:color="9BC2E6"/>
            </w:tcBorders>
            <w:shd w:val="clear" w:color="auto" w:fill="auto"/>
            <w:noWrap/>
            <w:vAlign w:val="bottom"/>
            <w:hideMark/>
          </w:tcPr>
          <w:p w14:paraId="741B9371"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57.00</w:t>
            </w:r>
          </w:p>
        </w:tc>
      </w:tr>
      <w:tr w:rsidR="00A1654F" w:rsidRPr="00BC1ABD" w14:paraId="0C8B6AD3" w14:textId="77777777" w:rsidTr="00513448">
        <w:trPr>
          <w:trHeight w:val="288"/>
        </w:trPr>
        <w:tc>
          <w:tcPr>
            <w:tcW w:w="1245" w:type="dxa"/>
            <w:tcBorders>
              <w:top w:val="single" w:sz="4" w:space="0" w:color="9BC2E6"/>
              <w:left w:val="single" w:sz="4" w:space="0" w:color="9BC2E6"/>
              <w:bottom w:val="single" w:sz="4" w:space="0" w:color="9BC2E6"/>
              <w:right w:val="nil"/>
            </w:tcBorders>
            <w:shd w:val="clear" w:color="DDEBF7" w:fill="DDEBF7"/>
            <w:noWrap/>
            <w:vAlign w:val="center"/>
            <w:hideMark/>
          </w:tcPr>
          <w:p w14:paraId="1886CE66"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Kakheti</w:t>
            </w:r>
          </w:p>
        </w:tc>
        <w:tc>
          <w:tcPr>
            <w:tcW w:w="991" w:type="dxa"/>
            <w:tcBorders>
              <w:top w:val="single" w:sz="4" w:space="0" w:color="9BC2E6"/>
              <w:left w:val="nil"/>
              <w:bottom w:val="single" w:sz="4" w:space="0" w:color="9BC2E6"/>
              <w:right w:val="nil"/>
            </w:tcBorders>
            <w:shd w:val="clear" w:color="DDEBF7" w:fill="DDEBF7"/>
            <w:noWrap/>
            <w:vAlign w:val="center"/>
            <w:hideMark/>
          </w:tcPr>
          <w:p w14:paraId="06A8D3A8" w14:textId="42A9E5CB" w:rsidR="00A1654F" w:rsidRPr="00BC1ABD" w:rsidRDefault="000C31B2" w:rsidP="00513448">
            <w:pPr>
              <w:spacing w:after="0" w:line="240" w:lineRule="auto"/>
              <w:jc w:val="center"/>
              <w:rPr>
                <w:rFonts w:eastAsia="Times New Roman" w:cs="Calibri"/>
                <w:color w:val="000000"/>
                <w:sz w:val="16"/>
                <w:szCs w:val="16"/>
                <w:lang w:val="en-GB" w:eastAsia="sl-SI"/>
              </w:rPr>
            </w:pPr>
            <w:r w:rsidRPr="000C31B2">
              <w:rPr>
                <w:rFonts w:eastAsia="Times New Roman" w:cs="Calibri"/>
                <w:color w:val="000000"/>
                <w:sz w:val="16"/>
                <w:szCs w:val="16"/>
                <w:lang w:val="en-GB" w:eastAsia="sl-SI"/>
              </w:rPr>
              <w:t>Kvemo Khodasheni</w:t>
            </w:r>
          </w:p>
        </w:tc>
        <w:tc>
          <w:tcPr>
            <w:tcW w:w="1445" w:type="dxa"/>
            <w:tcBorders>
              <w:top w:val="single" w:sz="4" w:space="0" w:color="9BC2E6"/>
              <w:left w:val="nil"/>
              <w:bottom w:val="single" w:sz="4" w:space="0" w:color="9BC2E6"/>
              <w:right w:val="nil"/>
            </w:tcBorders>
            <w:shd w:val="clear" w:color="DDEBF7" w:fill="DDEBF7"/>
            <w:noWrap/>
            <w:vAlign w:val="center"/>
            <w:hideMark/>
          </w:tcPr>
          <w:p w14:paraId="15CC9B24"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CONTESTABLE</w:t>
            </w:r>
          </w:p>
        </w:tc>
        <w:tc>
          <w:tcPr>
            <w:tcW w:w="736" w:type="dxa"/>
            <w:tcBorders>
              <w:top w:val="single" w:sz="4" w:space="0" w:color="9BC2E6"/>
              <w:left w:val="nil"/>
              <w:bottom w:val="single" w:sz="4" w:space="0" w:color="9BC2E6"/>
              <w:right w:val="nil"/>
            </w:tcBorders>
            <w:shd w:val="clear" w:color="DDEBF7" w:fill="DDEBF7"/>
            <w:noWrap/>
            <w:vAlign w:val="bottom"/>
            <w:hideMark/>
          </w:tcPr>
          <w:p w14:paraId="65687603"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1,277</w:t>
            </w:r>
          </w:p>
        </w:tc>
        <w:tc>
          <w:tcPr>
            <w:tcW w:w="901" w:type="dxa"/>
            <w:tcBorders>
              <w:top w:val="single" w:sz="4" w:space="0" w:color="9BC2E6"/>
              <w:left w:val="nil"/>
              <w:bottom w:val="single" w:sz="4" w:space="0" w:color="9BC2E6"/>
              <w:right w:val="nil"/>
            </w:tcBorders>
            <w:shd w:val="clear" w:color="DDEBF7" w:fill="DDEBF7"/>
            <w:noWrap/>
            <w:vAlign w:val="bottom"/>
            <w:hideMark/>
          </w:tcPr>
          <w:p w14:paraId="73844B4C"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416</w:t>
            </w:r>
          </w:p>
        </w:tc>
        <w:tc>
          <w:tcPr>
            <w:tcW w:w="888" w:type="dxa"/>
            <w:tcBorders>
              <w:top w:val="single" w:sz="4" w:space="0" w:color="9BC2E6"/>
              <w:left w:val="nil"/>
              <w:bottom w:val="single" w:sz="4" w:space="0" w:color="9BC2E6"/>
              <w:right w:val="nil"/>
            </w:tcBorders>
            <w:shd w:val="clear" w:color="DDEBF7" w:fill="DDEBF7"/>
            <w:noWrap/>
            <w:vAlign w:val="bottom"/>
            <w:hideMark/>
          </w:tcPr>
          <w:p w14:paraId="35498644"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277</w:t>
            </w:r>
          </w:p>
        </w:tc>
        <w:tc>
          <w:tcPr>
            <w:tcW w:w="565" w:type="dxa"/>
            <w:tcBorders>
              <w:top w:val="single" w:sz="4" w:space="0" w:color="9BC2E6"/>
              <w:left w:val="nil"/>
              <w:bottom w:val="single" w:sz="4" w:space="0" w:color="9BC2E6"/>
              <w:right w:val="nil"/>
            </w:tcBorders>
            <w:shd w:val="clear" w:color="DDEBF7" w:fill="DDEBF7"/>
            <w:noWrap/>
            <w:vAlign w:val="bottom"/>
            <w:hideMark/>
          </w:tcPr>
          <w:p w14:paraId="60B0A8A8"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14.44</w:t>
            </w:r>
          </w:p>
        </w:tc>
        <w:tc>
          <w:tcPr>
            <w:tcW w:w="811" w:type="dxa"/>
            <w:tcBorders>
              <w:top w:val="single" w:sz="4" w:space="0" w:color="9BC2E6"/>
              <w:left w:val="nil"/>
              <w:bottom w:val="single" w:sz="4" w:space="0" w:color="9BC2E6"/>
              <w:right w:val="nil"/>
            </w:tcBorders>
            <w:shd w:val="clear" w:color="DDEBF7" w:fill="DDEBF7"/>
            <w:noWrap/>
            <w:vAlign w:val="bottom"/>
            <w:hideMark/>
          </w:tcPr>
          <w:p w14:paraId="74431995"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18.75</w:t>
            </w:r>
          </w:p>
        </w:tc>
        <w:tc>
          <w:tcPr>
            <w:tcW w:w="740" w:type="dxa"/>
            <w:tcBorders>
              <w:top w:val="single" w:sz="4" w:space="0" w:color="9BC2E6"/>
              <w:left w:val="nil"/>
              <w:bottom w:val="single" w:sz="4" w:space="0" w:color="9BC2E6"/>
              <w:right w:val="nil"/>
            </w:tcBorders>
            <w:shd w:val="clear" w:color="DDEBF7" w:fill="FFC7CE"/>
            <w:noWrap/>
            <w:vAlign w:val="bottom"/>
            <w:hideMark/>
          </w:tcPr>
          <w:p w14:paraId="4D396031" w14:textId="77777777" w:rsidR="00A1654F" w:rsidRPr="00BC1ABD" w:rsidRDefault="00A1654F" w:rsidP="00513448">
            <w:pPr>
              <w:spacing w:after="0" w:line="240" w:lineRule="auto"/>
              <w:jc w:val="right"/>
              <w:rPr>
                <w:rFonts w:eastAsia="Times New Roman" w:cs="Calibri"/>
                <w:color w:val="9C0006"/>
                <w:sz w:val="16"/>
                <w:szCs w:val="16"/>
                <w:lang w:val="en-GB" w:eastAsia="sl-SI"/>
              </w:rPr>
            </w:pPr>
            <w:r w:rsidRPr="00BC1ABD">
              <w:rPr>
                <w:rFonts w:eastAsia="Times New Roman" w:cs="Calibri"/>
                <w:color w:val="9C0006"/>
                <w:sz w:val="16"/>
                <w:szCs w:val="16"/>
                <w:lang w:val="en-GB" w:eastAsia="sl-SI"/>
              </w:rPr>
              <w:t>131.01</w:t>
            </w:r>
          </w:p>
        </w:tc>
        <w:tc>
          <w:tcPr>
            <w:tcW w:w="740" w:type="dxa"/>
            <w:tcBorders>
              <w:top w:val="single" w:sz="4" w:space="0" w:color="9BC2E6"/>
              <w:left w:val="nil"/>
              <w:bottom w:val="single" w:sz="4" w:space="0" w:color="9BC2E6"/>
              <w:right w:val="single" w:sz="4" w:space="0" w:color="9BC2E6"/>
            </w:tcBorders>
            <w:shd w:val="clear" w:color="DDEBF7" w:fill="DDEBF7"/>
            <w:noWrap/>
            <w:vAlign w:val="bottom"/>
            <w:hideMark/>
          </w:tcPr>
          <w:p w14:paraId="2D2C0368"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65.75</w:t>
            </w:r>
          </w:p>
        </w:tc>
      </w:tr>
      <w:tr w:rsidR="00A1654F" w:rsidRPr="00BC1ABD" w14:paraId="119C43D9" w14:textId="77777777" w:rsidTr="00513448">
        <w:trPr>
          <w:trHeight w:val="288"/>
        </w:trPr>
        <w:tc>
          <w:tcPr>
            <w:tcW w:w="1245" w:type="dxa"/>
            <w:tcBorders>
              <w:top w:val="single" w:sz="4" w:space="0" w:color="9BC2E6"/>
              <w:left w:val="single" w:sz="4" w:space="0" w:color="9BC2E6"/>
              <w:bottom w:val="single" w:sz="4" w:space="0" w:color="9BC2E6"/>
              <w:right w:val="nil"/>
            </w:tcBorders>
            <w:shd w:val="clear" w:color="auto" w:fill="auto"/>
            <w:noWrap/>
            <w:vAlign w:val="center"/>
            <w:hideMark/>
          </w:tcPr>
          <w:p w14:paraId="5B8DE369" w14:textId="77777777" w:rsidR="00A1654F" w:rsidRPr="00BC1ABD" w:rsidRDefault="00A1654F" w:rsidP="00513448">
            <w:pPr>
              <w:spacing w:after="0" w:line="240" w:lineRule="auto"/>
              <w:jc w:val="center"/>
              <w:rPr>
                <w:rFonts w:eastAsia="Times New Roman" w:cs="Calibri"/>
                <w:color w:val="000000"/>
                <w:sz w:val="16"/>
                <w:szCs w:val="16"/>
                <w:lang w:val="en-GB" w:eastAsia="sl-SI"/>
              </w:rPr>
            </w:pPr>
            <w:r w:rsidRPr="00BC1ABD">
              <w:rPr>
                <w:rFonts w:eastAsia="Times New Roman" w:cs="Calibri"/>
                <w:color w:val="000000"/>
                <w:sz w:val="16"/>
                <w:szCs w:val="16"/>
                <w:lang w:val="en-GB" w:eastAsia="sl-SI"/>
              </w:rPr>
              <w:t xml:space="preserve">Kvemo Kartli </w:t>
            </w:r>
          </w:p>
        </w:tc>
        <w:tc>
          <w:tcPr>
            <w:tcW w:w="991" w:type="dxa"/>
            <w:tcBorders>
              <w:top w:val="single" w:sz="4" w:space="0" w:color="9BC2E6"/>
              <w:left w:val="nil"/>
              <w:bottom w:val="single" w:sz="4" w:space="0" w:color="9BC2E6"/>
              <w:right w:val="nil"/>
            </w:tcBorders>
            <w:shd w:val="clear" w:color="auto" w:fill="auto"/>
            <w:noWrap/>
            <w:vAlign w:val="center"/>
            <w:hideMark/>
          </w:tcPr>
          <w:p w14:paraId="6D5A2D46" w14:textId="03DD4935" w:rsidR="00A1654F" w:rsidRPr="00BC1ABD" w:rsidRDefault="000C31B2" w:rsidP="00513448">
            <w:pPr>
              <w:spacing w:after="0" w:line="240" w:lineRule="auto"/>
              <w:jc w:val="center"/>
              <w:rPr>
                <w:rFonts w:eastAsia="Times New Roman" w:cs="Calibri"/>
                <w:color w:val="000000"/>
                <w:sz w:val="16"/>
                <w:szCs w:val="16"/>
                <w:lang w:val="en-GB" w:eastAsia="sl-SI"/>
              </w:rPr>
            </w:pPr>
            <w:r w:rsidRPr="000C31B2">
              <w:rPr>
                <w:rFonts w:eastAsia="Times New Roman" w:cs="Calibri"/>
                <w:color w:val="000000"/>
                <w:sz w:val="16"/>
                <w:szCs w:val="16"/>
                <w:lang w:val="en-GB" w:eastAsia="sl-SI"/>
              </w:rPr>
              <w:t>Marneuli</w:t>
            </w:r>
          </w:p>
        </w:tc>
        <w:tc>
          <w:tcPr>
            <w:tcW w:w="1445" w:type="dxa"/>
            <w:tcBorders>
              <w:top w:val="single" w:sz="4" w:space="0" w:color="9BC2E6"/>
              <w:left w:val="nil"/>
              <w:bottom w:val="single" w:sz="4" w:space="0" w:color="9BC2E6"/>
              <w:right w:val="nil"/>
            </w:tcBorders>
            <w:shd w:val="clear" w:color="000000" w:fill="FFE599" w:themeFill="accent4" w:themeFillTint="66"/>
            <w:noWrap/>
            <w:vAlign w:val="center"/>
            <w:hideMark/>
          </w:tcPr>
          <w:p w14:paraId="3787D97B" w14:textId="77777777" w:rsidR="00A1654F" w:rsidRPr="00BC1ABD" w:rsidRDefault="00A1654F" w:rsidP="00513448">
            <w:pPr>
              <w:spacing w:after="0" w:line="240" w:lineRule="auto"/>
              <w:jc w:val="center"/>
              <w:rPr>
                <w:rFonts w:eastAsia="Times New Roman" w:cs="Calibri"/>
                <w:color w:val="C45911" w:themeColor="accent2" w:themeShade="BF"/>
                <w:sz w:val="16"/>
                <w:szCs w:val="16"/>
                <w:lang w:val="en-GB" w:eastAsia="sl-SI"/>
              </w:rPr>
            </w:pPr>
            <w:r w:rsidRPr="00BC1ABD">
              <w:rPr>
                <w:rFonts w:eastAsia="Times New Roman" w:cs="Calibri"/>
                <w:color w:val="C45911" w:themeColor="accent2" w:themeShade="BF"/>
                <w:sz w:val="16"/>
                <w:szCs w:val="16"/>
                <w:lang w:val="en-GB" w:eastAsia="sl-SI"/>
              </w:rPr>
              <w:t>TENDS TO CONTESTABLE</w:t>
            </w:r>
          </w:p>
        </w:tc>
        <w:tc>
          <w:tcPr>
            <w:tcW w:w="736" w:type="dxa"/>
            <w:tcBorders>
              <w:top w:val="single" w:sz="4" w:space="0" w:color="9BC2E6"/>
              <w:left w:val="nil"/>
              <w:bottom w:val="single" w:sz="4" w:space="0" w:color="9BC2E6"/>
              <w:right w:val="nil"/>
            </w:tcBorders>
            <w:shd w:val="clear" w:color="auto" w:fill="auto"/>
            <w:noWrap/>
            <w:vAlign w:val="bottom"/>
            <w:hideMark/>
          </w:tcPr>
          <w:p w14:paraId="71AF11AE"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20,211</w:t>
            </w:r>
          </w:p>
        </w:tc>
        <w:tc>
          <w:tcPr>
            <w:tcW w:w="901" w:type="dxa"/>
            <w:tcBorders>
              <w:top w:val="single" w:sz="4" w:space="0" w:color="9BC2E6"/>
              <w:left w:val="nil"/>
              <w:bottom w:val="single" w:sz="4" w:space="0" w:color="9BC2E6"/>
              <w:right w:val="nil"/>
            </w:tcBorders>
            <w:shd w:val="clear" w:color="auto" w:fill="auto"/>
            <w:noWrap/>
            <w:vAlign w:val="bottom"/>
            <w:hideMark/>
          </w:tcPr>
          <w:p w14:paraId="644643C8"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6,650</w:t>
            </w:r>
          </w:p>
        </w:tc>
        <w:tc>
          <w:tcPr>
            <w:tcW w:w="888" w:type="dxa"/>
            <w:tcBorders>
              <w:top w:val="single" w:sz="4" w:space="0" w:color="9BC2E6"/>
              <w:left w:val="nil"/>
              <w:bottom w:val="single" w:sz="4" w:space="0" w:color="9BC2E6"/>
              <w:right w:val="nil"/>
            </w:tcBorders>
            <w:shd w:val="clear" w:color="auto" w:fill="auto"/>
            <w:noWrap/>
            <w:vAlign w:val="bottom"/>
            <w:hideMark/>
          </w:tcPr>
          <w:p w14:paraId="76A34E5B"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4,264</w:t>
            </w:r>
          </w:p>
        </w:tc>
        <w:tc>
          <w:tcPr>
            <w:tcW w:w="565" w:type="dxa"/>
            <w:tcBorders>
              <w:top w:val="single" w:sz="4" w:space="0" w:color="9BC2E6"/>
              <w:left w:val="nil"/>
              <w:bottom w:val="single" w:sz="4" w:space="0" w:color="9BC2E6"/>
              <w:right w:val="nil"/>
            </w:tcBorders>
            <w:shd w:val="clear" w:color="auto" w:fill="auto"/>
            <w:noWrap/>
            <w:vAlign w:val="bottom"/>
            <w:hideMark/>
          </w:tcPr>
          <w:p w14:paraId="7201FF2D"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58.42</w:t>
            </w:r>
          </w:p>
        </w:tc>
        <w:tc>
          <w:tcPr>
            <w:tcW w:w="811" w:type="dxa"/>
            <w:tcBorders>
              <w:top w:val="single" w:sz="4" w:space="0" w:color="9BC2E6"/>
              <w:left w:val="nil"/>
              <w:bottom w:val="single" w:sz="4" w:space="0" w:color="9BC2E6"/>
              <w:right w:val="nil"/>
            </w:tcBorders>
            <w:shd w:val="clear" w:color="auto" w:fill="auto"/>
            <w:noWrap/>
            <w:vAlign w:val="bottom"/>
            <w:hideMark/>
          </w:tcPr>
          <w:p w14:paraId="51A766F2"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93.76</w:t>
            </w:r>
          </w:p>
        </w:tc>
        <w:tc>
          <w:tcPr>
            <w:tcW w:w="740" w:type="dxa"/>
            <w:tcBorders>
              <w:top w:val="single" w:sz="4" w:space="0" w:color="9BC2E6"/>
              <w:left w:val="nil"/>
              <w:bottom w:val="single" w:sz="4" w:space="0" w:color="9BC2E6"/>
              <w:right w:val="nil"/>
            </w:tcBorders>
            <w:shd w:val="clear" w:color="000000" w:fill="FFC7CE"/>
            <w:noWrap/>
            <w:vAlign w:val="bottom"/>
            <w:hideMark/>
          </w:tcPr>
          <w:p w14:paraId="1E2526A9" w14:textId="77777777" w:rsidR="00A1654F" w:rsidRPr="00BC1ABD" w:rsidRDefault="00A1654F" w:rsidP="00513448">
            <w:pPr>
              <w:spacing w:after="0" w:line="240" w:lineRule="auto"/>
              <w:jc w:val="right"/>
              <w:rPr>
                <w:rFonts w:eastAsia="Times New Roman" w:cs="Calibri"/>
                <w:color w:val="9C0006"/>
                <w:sz w:val="16"/>
                <w:szCs w:val="16"/>
                <w:lang w:val="en-GB" w:eastAsia="sl-SI"/>
              </w:rPr>
            </w:pPr>
            <w:r w:rsidRPr="00BC1ABD">
              <w:rPr>
                <w:rFonts w:eastAsia="Times New Roman" w:cs="Calibri"/>
                <w:color w:val="9C0006"/>
                <w:sz w:val="16"/>
                <w:szCs w:val="16"/>
                <w:lang w:val="en-GB" w:eastAsia="sl-SI"/>
              </w:rPr>
              <w:t>131.43</w:t>
            </w:r>
          </w:p>
        </w:tc>
        <w:tc>
          <w:tcPr>
            <w:tcW w:w="740" w:type="dxa"/>
            <w:tcBorders>
              <w:top w:val="single" w:sz="4" w:space="0" w:color="9BC2E6"/>
              <w:left w:val="nil"/>
              <w:bottom w:val="single" w:sz="4" w:space="0" w:color="9BC2E6"/>
              <w:right w:val="single" w:sz="4" w:space="0" w:color="9BC2E6"/>
            </w:tcBorders>
            <w:shd w:val="clear" w:color="auto" w:fill="auto"/>
            <w:noWrap/>
            <w:vAlign w:val="bottom"/>
            <w:hideMark/>
          </w:tcPr>
          <w:p w14:paraId="1248E595" w14:textId="77777777" w:rsidR="00A1654F" w:rsidRPr="00BC1ABD" w:rsidRDefault="00A1654F" w:rsidP="00513448">
            <w:pPr>
              <w:spacing w:after="0" w:line="240" w:lineRule="auto"/>
              <w:jc w:val="right"/>
              <w:rPr>
                <w:rFonts w:eastAsia="Times New Roman" w:cs="Calibri"/>
                <w:color w:val="000000"/>
                <w:sz w:val="16"/>
                <w:szCs w:val="16"/>
                <w:lang w:val="en-GB" w:eastAsia="sl-SI"/>
              </w:rPr>
            </w:pPr>
            <w:r w:rsidRPr="00BC1ABD">
              <w:rPr>
                <w:rFonts w:eastAsia="Times New Roman" w:cs="Calibri"/>
                <w:color w:val="000000"/>
                <w:sz w:val="16"/>
                <w:szCs w:val="16"/>
                <w:lang w:val="en-GB" w:eastAsia="sl-SI"/>
              </w:rPr>
              <w:t>31.84</w:t>
            </w:r>
          </w:p>
        </w:tc>
      </w:tr>
    </w:tbl>
    <w:p w14:paraId="14EB6D0C"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w:t>
      </w:r>
    </w:p>
    <w:p w14:paraId="26C31398" w14:textId="01B980EF" w:rsidR="00A0244C" w:rsidRPr="00C5165D" w:rsidRDefault="00A0244C" w:rsidP="00A0244C">
      <w:pPr>
        <w:jc w:val="both"/>
        <w:rPr>
          <w:rFonts w:cs="Arial"/>
          <w:lang w:val="en-GB"/>
        </w:rPr>
      </w:pPr>
      <w:r w:rsidRPr="00C5165D">
        <w:rPr>
          <w:rFonts w:cs="Arial"/>
          <w:lang w:val="en-GB"/>
        </w:rPr>
        <w:t xml:space="preserve">Note: Where the </w:t>
      </w:r>
      <w:r w:rsidR="00F026B4">
        <w:rPr>
          <w:rFonts w:cs="Arial"/>
          <w:lang w:val="en-GB"/>
        </w:rPr>
        <w:t>FTTx</w:t>
      </w:r>
      <w:r w:rsidRPr="00C5165D">
        <w:rPr>
          <w:rFonts w:cs="Arial"/>
          <w:lang w:val="en-GB"/>
        </w:rPr>
        <w:t xml:space="preserve"> premises passed figure is more than the total number of households, the cell is marked in red. A higher number of premises passed than households is possible where empty premises are not counted because they are not permanently occupied (for example public buildings, empty houses and little-used apartments).</w:t>
      </w:r>
    </w:p>
    <w:p w14:paraId="24D36478" w14:textId="77777777" w:rsidR="00A0244C" w:rsidRPr="00BC1ABD" w:rsidRDefault="00A0244C" w:rsidP="00033EBE">
      <w:pPr>
        <w:pStyle w:val="Heading2"/>
        <w:numPr>
          <w:ilvl w:val="1"/>
          <w:numId w:val="88"/>
        </w:numPr>
        <w:spacing w:after="240"/>
        <w:rPr>
          <w:lang w:val="en-GB"/>
        </w:rPr>
      </w:pPr>
      <w:bookmarkStart w:id="326" w:name="_Toc131088634"/>
      <w:bookmarkStart w:id="327" w:name="_Toc169258985"/>
      <w:r w:rsidRPr="00BC1ABD">
        <w:rPr>
          <w:lang w:val="en-GB"/>
        </w:rPr>
        <w:t>Conclusions on the geographical analysis of competition</w:t>
      </w:r>
      <w:bookmarkEnd w:id="326"/>
      <w:bookmarkEnd w:id="327"/>
    </w:p>
    <w:p w14:paraId="5CC2168D" w14:textId="0466CF71" w:rsidR="00A0244C" w:rsidRPr="00BC1ABD" w:rsidRDefault="00A0244C" w:rsidP="00A0244C">
      <w:pPr>
        <w:jc w:val="both"/>
        <w:rPr>
          <w:rFonts w:cs="Arial"/>
          <w:sz w:val="24"/>
          <w:szCs w:val="24"/>
          <w:lang w:val="en-GB"/>
        </w:rPr>
      </w:pPr>
      <w:r w:rsidRPr="00BC1ABD">
        <w:rPr>
          <w:rFonts w:cs="Arial"/>
          <w:sz w:val="24"/>
          <w:szCs w:val="24"/>
          <w:lang w:val="en-GB"/>
        </w:rPr>
        <w:t xml:space="preserve">The geographical analysis has revealed the different levels of competition for different settlements in Georgia. A large majority of settlements (in terms of number of settlements, but not in </w:t>
      </w:r>
      <w:r w:rsidRPr="00384D6A">
        <w:rPr>
          <w:rFonts w:cs="Arial"/>
          <w:sz w:val="24"/>
          <w:szCs w:val="24"/>
          <w:lang w:val="en-GB"/>
        </w:rPr>
        <w:t>terms of population) have less than three networks and are therefore considered as not contestable.</w:t>
      </w:r>
      <w:r w:rsidR="005909BB" w:rsidRPr="00384D6A">
        <w:rPr>
          <w:rFonts w:cs="Arial"/>
          <w:sz w:val="24"/>
          <w:szCs w:val="24"/>
          <w:lang w:val="en-GB"/>
        </w:rPr>
        <w:t xml:space="preserve"> In </w:t>
      </w:r>
      <w:r w:rsidR="00664547" w:rsidRPr="00384D6A">
        <w:rPr>
          <w:rFonts w:cs="Arial"/>
          <w:sz w:val="24"/>
          <w:szCs w:val="24"/>
          <w:lang w:val="en-GB"/>
        </w:rPr>
        <w:t xml:space="preserve">the </w:t>
      </w:r>
      <w:r w:rsidR="005909BB" w:rsidRPr="00384D6A">
        <w:rPr>
          <w:rFonts w:cs="Arial"/>
          <w:sz w:val="24"/>
          <w:szCs w:val="24"/>
          <w:lang w:val="en-GB"/>
        </w:rPr>
        <w:t>majority of settlements, which have at least one FTTx network and are not contestable, Ma</w:t>
      </w:r>
      <w:r w:rsidR="005A0B56" w:rsidRPr="00384D6A">
        <w:rPr>
          <w:rFonts w:cs="Arial"/>
          <w:sz w:val="24"/>
          <w:szCs w:val="24"/>
          <w:lang w:val="en-GB"/>
        </w:rPr>
        <w:t>g</w:t>
      </w:r>
      <w:r w:rsidR="005909BB" w:rsidRPr="00384D6A">
        <w:rPr>
          <w:rFonts w:cs="Arial"/>
          <w:sz w:val="24"/>
          <w:szCs w:val="24"/>
          <w:lang w:val="en-GB"/>
        </w:rPr>
        <w:t>ticom is present</w:t>
      </w:r>
      <w:r w:rsidR="00664547" w:rsidRPr="00384D6A">
        <w:rPr>
          <w:rFonts w:cs="Arial"/>
          <w:sz w:val="24"/>
          <w:szCs w:val="24"/>
          <w:lang w:val="en-GB"/>
        </w:rPr>
        <w:t>.</w:t>
      </w:r>
      <w:r w:rsidR="005909BB" w:rsidRPr="00384D6A">
        <w:rPr>
          <w:rFonts w:cs="Arial"/>
          <w:sz w:val="24"/>
          <w:szCs w:val="24"/>
          <w:lang w:val="en-GB"/>
        </w:rPr>
        <w:t xml:space="preserve"> </w:t>
      </w:r>
      <w:r w:rsidR="00664547" w:rsidRPr="00384D6A">
        <w:rPr>
          <w:rFonts w:cs="Arial"/>
          <w:sz w:val="24"/>
          <w:szCs w:val="24"/>
          <w:lang w:val="en-GB"/>
        </w:rPr>
        <w:t>B</w:t>
      </w:r>
      <w:r w:rsidR="005909BB" w:rsidRPr="00384D6A">
        <w:rPr>
          <w:rFonts w:cs="Arial"/>
          <w:sz w:val="24"/>
          <w:szCs w:val="24"/>
          <w:lang w:val="en-GB"/>
        </w:rPr>
        <w:t>ut there are still settlements, mostly smaller ones, where Magticom is not present</w:t>
      </w:r>
      <w:r w:rsidR="00F974AD" w:rsidRPr="00384D6A">
        <w:rPr>
          <w:rFonts w:cs="Arial"/>
          <w:sz w:val="24"/>
          <w:szCs w:val="24"/>
          <w:lang w:val="en-GB"/>
        </w:rPr>
        <w:t xml:space="preserve">. </w:t>
      </w:r>
      <w:r w:rsidR="00664547" w:rsidRPr="00384D6A">
        <w:rPr>
          <w:rFonts w:cs="Arial"/>
          <w:sz w:val="24"/>
          <w:szCs w:val="24"/>
          <w:lang w:val="en-GB"/>
        </w:rPr>
        <w:t>The d</w:t>
      </w:r>
      <w:r w:rsidR="00F974AD" w:rsidRPr="00384D6A">
        <w:rPr>
          <w:rFonts w:cs="Arial"/>
          <w:sz w:val="24"/>
          <w:szCs w:val="24"/>
          <w:lang w:val="en-GB"/>
        </w:rPr>
        <w:t>etails are described in Chapter 6.3.3</w:t>
      </w:r>
      <w:r w:rsidR="005909BB" w:rsidRPr="00384D6A">
        <w:rPr>
          <w:rFonts w:cs="Arial"/>
          <w:sz w:val="24"/>
          <w:szCs w:val="24"/>
          <w:lang w:val="en-GB"/>
        </w:rPr>
        <w:t>.</w:t>
      </w:r>
    </w:p>
    <w:p w14:paraId="1CE7F997" w14:textId="7D5910F0" w:rsidR="00A0244C" w:rsidRPr="00BC1ABD" w:rsidRDefault="00A0244C" w:rsidP="00A0244C">
      <w:pPr>
        <w:jc w:val="both"/>
        <w:rPr>
          <w:rFonts w:cs="Arial"/>
          <w:sz w:val="24"/>
          <w:szCs w:val="24"/>
          <w:lang w:val="en-GB"/>
        </w:rPr>
      </w:pPr>
      <w:r w:rsidRPr="00BC1ABD">
        <w:rPr>
          <w:rFonts w:cs="Arial"/>
          <w:sz w:val="24"/>
          <w:szCs w:val="24"/>
          <w:lang w:val="en-GB"/>
        </w:rPr>
        <w:t xml:space="preserve">Settlements that are not covered by any </w:t>
      </w:r>
      <w:r w:rsidR="00F026B4">
        <w:rPr>
          <w:rFonts w:cs="Arial"/>
          <w:sz w:val="24"/>
          <w:szCs w:val="24"/>
          <w:lang w:val="en-GB"/>
        </w:rPr>
        <w:t>FTTx</w:t>
      </w:r>
      <w:r w:rsidRPr="00BC1ABD">
        <w:rPr>
          <w:rFonts w:cs="Arial"/>
          <w:sz w:val="24"/>
          <w:szCs w:val="24"/>
          <w:lang w:val="en-GB"/>
        </w:rPr>
        <w:t xml:space="preserve"> network operator are excluded.</w:t>
      </w:r>
    </w:p>
    <w:p w14:paraId="015581C5" w14:textId="0941B652" w:rsidR="00793E5F" w:rsidRPr="003336AC" w:rsidRDefault="00A0244C" w:rsidP="003336AC">
      <w:pPr>
        <w:jc w:val="both"/>
        <w:rPr>
          <w:rFonts w:cs="Arial"/>
          <w:sz w:val="24"/>
          <w:szCs w:val="24"/>
          <w:lang w:val="en-GB"/>
        </w:rPr>
      </w:pPr>
      <w:r w:rsidRPr="00BC1ABD">
        <w:rPr>
          <w:rFonts w:cs="Arial"/>
          <w:sz w:val="24"/>
          <w:szCs w:val="24"/>
          <w:lang w:val="en-GB"/>
        </w:rPr>
        <w:t xml:space="preserve">Among 45 settlements with three or more </w:t>
      </w:r>
      <w:r w:rsidR="00F026B4">
        <w:rPr>
          <w:rFonts w:cs="Arial"/>
          <w:sz w:val="24"/>
          <w:szCs w:val="24"/>
          <w:lang w:val="en-GB"/>
        </w:rPr>
        <w:t>FTTx</w:t>
      </w:r>
      <w:r w:rsidRPr="00BC1ABD">
        <w:rPr>
          <w:rFonts w:cs="Arial"/>
          <w:sz w:val="24"/>
          <w:szCs w:val="24"/>
          <w:lang w:val="en-GB"/>
        </w:rPr>
        <w:t xml:space="preserve"> network operators, 9 are contestable, an additional 2 tends towards effective contestability, and two more are too large to be assessed as contestable, despite the three main cumulative criteria being met. In total, the contestable settlements represent only 0.68 % of the Georgian population, plus two further settlements that tend toward contestability, representing a further </w:t>
      </w:r>
      <w:r w:rsidR="000E716C" w:rsidRPr="00852C30">
        <w:rPr>
          <w:rFonts w:cs="Arial"/>
          <w:sz w:val="24"/>
          <w:szCs w:val="24"/>
          <w:highlight w:val="yellow"/>
          <w:lang w:val="en-GB"/>
        </w:rPr>
        <w:t>1</w:t>
      </w:r>
      <w:r w:rsidR="006032DD" w:rsidRPr="00852C30">
        <w:rPr>
          <w:rFonts w:cs="Arial"/>
          <w:sz w:val="24"/>
          <w:szCs w:val="24"/>
          <w:highlight w:val="yellow"/>
          <w:lang w:val="en-GB"/>
        </w:rPr>
        <w:t>.</w:t>
      </w:r>
      <w:r w:rsidR="000E716C" w:rsidRPr="00852C30">
        <w:rPr>
          <w:rFonts w:cs="Arial"/>
          <w:sz w:val="24"/>
          <w:szCs w:val="24"/>
          <w:highlight w:val="yellow"/>
          <w:lang w:val="en-GB"/>
        </w:rPr>
        <w:t>24</w:t>
      </w:r>
      <w:r w:rsidR="000E716C">
        <w:rPr>
          <w:rFonts w:cs="Arial"/>
          <w:sz w:val="24"/>
          <w:szCs w:val="24"/>
          <w:lang w:val="en-GB"/>
        </w:rPr>
        <w:t xml:space="preserve"> </w:t>
      </w:r>
      <w:r w:rsidRPr="00BC1ABD">
        <w:rPr>
          <w:rFonts w:cs="Arial"/>
          <w:sz w:val="24"/>
          <w:szCs w:val="24"/>
          <w:lang w:val="en-GB"/>
        </w:rPr>
        <w:t>% of the Georgian population.</w:t>
      </w:r>
    </w:p>
    <w:p w14:paraId="71B4CFAB" w14:textId="25DE3225" w:rsidR="00A0244C" w:rsidRPr="00852C30" w:rsidRDefault="00A0244C" w:rsidP="00A0244C">
      <w:pPr>
        <w:pStyle w:val="Caption"/>
        <w:jc w:val="center"/>
        <w:rPr>
          <w:rFonts w:cs="Arial"/>
          <w:b/>
          <w:sz w:val="24"/>
          <w:szCs w:val="24"/>
          <w:lang w:val="en-US"/>
        </w:rPr>
      </w:pPr>
      <w:bookmarkStart w:id="328" w:name="_Toc152931422"/>
      <w:r w:rsidRPr="00852C30">
        <w:rPr>
          <w:highlight w:val="yellow"/>
          <w:lang w:val="en-GB"/>
        </w:rPr>
        <w:t xml:space="preserve">Figure </w:t>
      </w:r>
      <w:r w:rsidRPr="00852C30">
        <w:rPr>
          <w:highlight w:val="yellow"/>
          <w:lang w:val="en-GB"/>
        </w:rPr>
        <w:fldChar w:fldCharType="begin"/>
      </w:r>
      <w:r w:rsidRPr="00852C30">
        <w:rPr>
          <w:highlight w:val="yellow"/>
          <w:lang w:val="en-GB"/>
        </w:rPr>
        <w:instrText xml:space="preserve"> SEQ Figure \* ARABIC </w:instrText>
      </w:r>
      <w:r w:rsidRPr="00852C30">
        <w:rPr>
          <w:highlight w:val="yellow"/>
          <w:lang w:val="en-GB"/>
        </w:rPr>
        <w:fldChar w:fldCharType="separate"/>
      </w:r>
      <w:r w:rsidR="00ED2C35" w:rsidRPr="00852C30">
        <w:rPr>
          <w:noProof/>
          <w:highlight w:val="yellow"/>
          <w:lang w:val="en-GB"/>
        </w:rPr>
        <w:t>71</w:t>
      </w:r>
      <w:r w:rsidRPr="00852C30">
        <w:rPr>
          <w:highlight w:val="yellow"/>
          <w:lang w:val="en-GB"/>
        </w:rPr>
        <w:fldChar w:fldCharType="end"/>
      </w:r>
      <w:r w:rsidRPr="00852C30">
        <w:rPr>
          <w:highlight w:val="yellow"/>
          <w:lang w:val="en-GB"/>
        </w:rPr>
        <w:t>: Summary of competition assessment by settlements</w:t>
      </w:r>
      <w:bookmarkEnd w:id="328"/>
    </w:p>
    <w:tbl>
      <w:tblPr>
        <w:tblW w:w="9067" w:type="dxa"/>
        <w:tblCellMar>
          <w:left w:w="70" w:type="dxa"/>
          <w:right w:w="70" w:type="dxa"/>
        </w:tblCellMar>
        <w:tblLook w:val="04A0" w:firstRow="1" w:lastRow="0" w:firstColumn="1" w:lastColumn="0" w:noHBand="0" w:noVBand="1"/>
      </w:tblPr>
      <w:tblGrid>
        <w:gridCol w:w="3114"/>
        <w:gridCol w:w="1650"/>
        <w:gridCol w:w="1610"/>
        <w:gridCol w:w="2693"/>
      </w:tblGrid>
      <w:tr w:rsidR="00A0244C" w:rsidRPr="00073779" w14:paraId="778D9661"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5B9BD5" w:fill="5B9BD5"/>
            <w:noWrap/>
            <w:vAlign w:val="bottom"/>
            <w:hideMark/>
          </w:tcPr>
          <w:p w14:paraId="408FCA55" w14:textId="77777777" w:rsidR="00A0244C" w:rsidRPr="00073779" w:rsidRDefault="00A0244C" w:rsidP="007354E3">
            <w:pPr>
              <w:spacing w:after="0" w:line="240" w:lineRule="auto"/>
              <w:rPr>
                <w:rFonts w:eastAsia="Times New Roman" w:cs="Calibri"/>
                <w:b/>
                <w:bCs/>
                <w:color w:val="FFFFFF"/>
                <w:lang w:val="en-GB" w:eastAsia="sl-SI"/>
              </w:rPr>
            </w:pPr>
            <w:r w:rsidRPr="00073779">
              <w:rPr>
                <w:rFonts w:eastAsia="Times New Roman" w:cs="Calibri"/>
                <w:b/>
                <w:bCs/>
                <w:color w:val="FFFFFF"/>
                <w:lang w:val="en-GB" w:eastAsia="sl-SI"/>
              </w:rPr>
              <w:t>Level of contestability</w:t>
            </w:r>
          </w:p>
        </w:tc>
        <w:tc>
          <w:tcPr>
            <w:tcW w:w="1650" w:type="dxa"/>
            <w:tcBorders>
              <w:top w:val="single" w:sz="4" w:space="0" w:color="9BC2E6"/>
              <w:left w:val="nil"/>
              <w:bottom w:val="single" w:sz="4" w:space="0" w:color="9BC2E6"/>
              <w:right w:val="nil"/>
            </w:tcBorders>
            <w:shd w:val="clear" w:color="5B9BD5" w:fill="5B9BD5"/>
            <w:noWrap/>
            <w:vAlign w:val="bottom"/>
            <w:hideMark/>
          </w:tcPr>
          <w:p w14:paraId="6751F86B" w14:textId="77777777" w:rsidR="00A0244C" w:rsidRPr="00073779" w:rsidRDefault="00A0244C" w:rsidP="007354E3">
            <w:pPr>
              <w:spacing w:after="0" w:line="240" w:lineRule="auto"/>
              <w:rPr>
                <w:rFonts w:eastAsia="Times New Roman" w:cs="Calibri"/>
                <w:b/>
                <w:bCs/>
                <w:color w:val="FFFFFF"/>
                <w:lang w:val="en-GB" w:eastAsia="sl-SI"/>
              </w:rPr>
            </w:pPr>
            <w:r w:rsidRPr="00073779">
              <w:rPr>
                <w:rFonts w:eastAsia="Times New Roman" w:cs="Calibri"/>
                <w:b/>
                <w:bCs/>
                <w:color w:val="FFFFFF"/>
                <w:lang w:val="en-GB" w:eastAsia="sl-SI"/>
              </w:rPr>
              <w:t>No of settlements</w:t>
            </w:r>
          </w:p>
        </w:tc>
        <w:tc>
          <w:tcPr>
            <w:tcW w:w="1610" w:type="dxa"/>
            <w:tcBorders>
              <w:top w:val="single" w:sz="4" w:space="0" w:color="9BC2E6"/>
              <w:left w:val="nil"/>
              <w:bottom w:val="single" w:sz="4" w:space="0" w:color="9BC2E6"/>
              <w:right w:val="nil"/>
            </w:tcBorders>
            <w:shd w:val="clear" w:color="5B9BD5" w:fill="5B9BD5"/>
            <w:noWrap/>
            <w:vAlign w:val="bottom"/>
            <w:hideMark/>
          </w:tcPr>
          <w:p w14:paraId="4EB3FD08" w14:textId="77777777" w:rsidR="00A0244C" w:rsidRPr="00073779" w:rsidRDefault="00A0244C" w:rsidP="007354E3">
            <w:pPr>
              <w:spacing w:after="0" w:line="240" w:lineRule="auto"/>
              <w:rPr>
                <w:rFonts w:eastAsia="Times New Roman" w:cs="Calibri"/>
                <w:b/>
                <w:bCs/>
                <w:color w:val="FFFFFF"/>
                <w:lang w:val="en-GB" w:eastAsia="sl-SI"/>
              </w:rPr>
            </w:pPr>
            <w:r w:rsidRPr="00073779">
              <w:rPr>
                <w:rFonts w:eastAsia="Times New Roman" w:cs="Calibri"/>
                <w:b/>
                <w:bCs/>
                <w:color w:val="FFFFFF"/>
                <w:lang w:val="en-GB" w:eastAsia="sl-SI"/>
              </w:rPr>
              <w:t>Population</w:t>
            </w:r>
          </w:p>
        </w:tc>
        <w:tc>
          <w:tcPr>
            <w:tcW w:w="2693" w:type="dxa"/>
            <w:tcBorders>
              <w:top w:val="single" w:sz="4" w:space="0" w:color="9BC2E6"/>
              <w:left w:val="nil"/>
              <w:bottom w:val="single" w:sz="4" w:space="0" w:color="9BC2E6"/>
              <w:right w:val="single" w:sz="4" w:space="0" w:color="9BC2E6"/>
            </w:tcBorders>
            <w:shd w:val="clear" w:color="5B9BD5" w:fill="5B9BD5"/>
            <w:noWrap/>
            <w:vAlign w:val="bottom"/>
            <w:hideMark/>
          </w:tcPr>
          <w:p w14:paraId="69FF05C7" w14:textId="77777777" w:rsidR="00A0244C" w:rsidRPr="00073779" w:rsidRDefault="00A0244C" w:rsidP="007354E3">
            <w:pPr>
              <w:spacing w:after="0" w:line="240" w:lineRule="auto"/>
              <w:rPr>
                <w:rFonts w:eastAsia="Times New Roman" w:cs="Calibri"/>
                <w:b/>
                <w:bCs/>
                <w:color w:val="FFFFFF"/>
                <w:lang w:val="en-GB" w:eastAsia="sl-SI"/>
              </w:rPr>
            </w:pPr>
            <w:r w:rsidRPr="00073779">
              <w:rPr>
                <w:rFonts w:eastAsia="Times New Roman" w:cs="Calibri"/>
                <w:b/>
                <w:bCs/>
                <w:color w:val="FFFFFF"/>
                <w:lang w:val="en-GB" w:eastAsia="sl-SI"/>
              </w:rPr>
              <w:t>% of Georgian population</w:t>
            </w:r>
          </w:p>
        </w:tc>
      </w:tr>
      <w:tr w:rsidR="007042DB" w:rsidRPr="00073779" w14:paraId="74442927"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DDEBF7" w:fill="DDEBF7"/>
            <w:noWrap/>
            <w:vAlign w:val="bottom"/>
            <w:hideMark/>
          </w:tcPr>
          <w:p w14:paraId="0DCF0772" w14:textId="77777777" w:rsidR="007042DB" w:rsidRPr="00073779" w:rsidRDefault="007042DB" w:rsidP="007042DB">
            <w:pPr>
              <w:spacing w:after="0" w:line="240" w:lineRule="auto"/>
              <w:rPr>
                <w:rFonts w:eastAsia="Times New Roman" w:cs="Calibri"/>
                <w:color w:val="000000"/>
                <w:lang w:val="en-GB" w:eastAsia="sl-SI"/>
              </w:rPr>
            </w:pPr>
            <w:r w:rsidRPr="00073779">
              <w:rPr>
                <w:rFonts w:eastAsia="Times New Roman" w:cs="Calibri"/>
                <w:color w:val="000000"/>
                <w:lang w:val="en-GB" w:eastAsia="sl-SI"/>
              </w:rPr>
              <w:t>CONTESTABLE</w:t>
            </w:r>
          </w:p>
        </w:tc>
        <w:tc>
          <w:tcPr>
            <w:tcW w:w="1650" w:type="dxa"/>
            <w:tcBorders>
              <w:top w:val="single" w:sz="4" w:space="0" w:color="9BC2E6"/>
              <w:left w:val="nil"/>
              <w:bottom w:val="single" w:sz="4" w:space="0" w:color="9BC2E6"/>
              <w:right w:val="nil"/>
            </w:tcBorders>
            <w:shd w:val="clear" w:color="DDEBF7" w:fill="DDEBF7"/>
            <w:noWrap/>
            <w:vAlign w:val="bottom"/>
            <w:hideMark/>
          </w:tcPr>
          <w:p w14:paraId="5A5D4BCC" w14:textId="38FC2CE0"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eastAsia="Times New Roman" w:hAnsi="Sylfaen" w:cs="Calibri"/>
                <w:color w:val="000000"/>
                <w:sz w:val="16"/>
                <w:szCs w:val="16"/>
                <w:lang w:val="ka-GE" w:eastAsia="sl-SI"/>
              </w:rPr>
              <w:t>9</w:t>
            </w:r>
          </w:p>
        </w:tc>
        <w:tc>
          <w:tcPr>
            <w:tcW w:w="1610" w:type="dxa"/>
            <w:tcBorders>
              <w:top w:val="single" w:sz="4" w:space="0" w:color="9BC2E6"/>
              <w:left w:val="nil"/>
              <w:bottom w:val="single" w:sz="4" w:space="0" w:color="9BC2E6"/>
              <w:right w:val="nil"/>
            </w:tcBorders>
            <w:shd w:val="clear" w:color="DDEBF7" w:fill="DDEBF7"/>
            <w:noWrap/>
            <w:vAlign w:val="bottom"/>
            <w:hideMark/>
          </w:tcPr>
          <w:p w14:paraId="4831B178" w14:textId="3D5252FC"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              24,964 </w:t>
            </w:r>
          </w:p>
        </w:tc>
        <w:tc>
          <w:tcPr>
            <w:tcW w:w="2693" w:type="dxa"/>
            <w:tcBorders>
              <w:top w:val="single" w:sz="4" w:space="0" w:color="9BC2E6"/>
              <w:left w:val="nil"/>
              <w:bottom w:val="single" w:sz="4" w:space="0" w:color="9BC2E6"/>
              <w:right w:val="single" w:sz="4" w:space="0" w:color="9BC2E6"/>
            </w:tcBorders>
            <w:shd w:val="clear" w:color="DDEBF7" w:fill="DDEBF7"/>
            <w:noWrap/>
            <w:vAlign w:val="bottom"/>
            <w:hideMark/>
          </w:tcPr>
          <w:p w14:paraId="357212B3" w14:textId="1A465D93"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0.68 </w:t>
            </w:r>
          </w:p>
        </w:tc>
      </w:tr>
      <w:tr w:rsidR="007042DB" w:rsidRPr="00073779" w14:paraId="722D8E9C"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auto" w:fill="auto"/>
            <w:noWrap/>
            <w:vAlign w:val="bottom"/>
            <w:hideMark/>
          </w:tcPr>
          <w:p w14:paraId="75EBABFC" w14:textId="77777777" w:rsidR="007042DB" w:rsidRPr="00073779" w:rsidRDefault="007042DB" w:rsidP="007042DB">
            <w:pPr>
              <w:spacing w:after="0" w:line="240" w:lineRule="auto"/>
              <w:rPr>
                <w:rFonts w:eastAsia="Times New Roman" w:cs="Calibri"/>
                <w:color w:val="000000"/>
                <w:lang w:val="en-GB" w:eastAsia="sl-SI"/>
              </w:rPr>
            </w:pPr>
            <w:r w:rsidRPr="00073779">
              <w:rPr>
                <w:rFonts w:eastAsia="Times New Roman" w:cs="Calibri"/>
                <w:color w:val="000000"/>
                <w:lang w:val="en-GB" w:eastAsia="sl-SI"/>
              </w:rPr>
              <w:t>CONTESTABLE BUT TOO BIG</w:t>
            </w:r>
          </w:p>
        </w:tc>
        <w:tc>
          <w:tcPr>
            <w:tcW w:w="1650" w:type="dxa"/>
            <w:tcBorders>
              <w:top w:val="single" w:sz="4" w:space="0" w:color="9BC2E6"/>
              <w:left w:val="nil"/>
              <w:bottom w:val="single" w:sz="4" w:space="0" w:color="9BC2E6"/>
              <w:right w:val="nil"/>
            </w:tcBorders>
            <w:shd w:val="clear" w:color="auto" w:fill="auto"/>
            <w:noWrap/>
            <w:vAlign w:val="bottom"/>
            <w:hideMark/>
          </w:tcPr>
          <w:p w14:paraId="6D31D542" w14:textId="18808395"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eastAsia="Times New Roman" w:hAnsi="Sylfaen" w:cs="Calibri"/>
                <w:color w:val="000000"/>
                <w:sz w:val="16"/>
                <w:szCs w:val="16"/>
                <w:lang w:val="ka-GE" w:eastAsia="sl-SI"/>
              </w:rPr>
              <w:t>2</w:t>
            </w:r>
          </w:p>
        </w:tc>
        <w:tc>
          <w:tcPr>
            <w:tcW w:w="1610" w:type="dxa"/>
            <w:tcBorders>
              <w:top w:val="nil"/>
              <w:left w:val="nil"/>
              <w:bottom w:val="single" w:sz="4" w:space="0" w:color="9BC2E6"/>
              <w:right w:val="nil"/>
            </w:tcBorders>
            <w:shd w:val="clear" w:color="auto" w:fill="auto"/>
            <w:noWrap/>
            <w:vAlign w:val="bottom"/>
            <w:hideMark/>
          </w:tcPr>
          <w:p w14:paraId="2BCF48C7" w14:textId="1544A0EE"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            272,738 </w:t>
            </w:r>
          </w:p>
        </w:tc>
        <w:tc>
          <w:tcPr>
            <w:tcW w:w="2693" w:type="dxa"/>
            <w:tcBorders>
              <w:top w:val="single" w:sz="4" w:space="0" w:color="9BC2E6"/>
              <w:left w:val="nil"/>
              <w:bottom w:val="single" w:sz="4" w:space="0" w:color="9BC2E6"/>
              <w:right w:val="single" w:sz="4" w:space="0" w:color="9BC2E6"/>
            </w:tcBorders>
            <w:shd w:val="clear" w:color="auto" w:fill="auto"/>
            <w:noWrap/>
            <w:vAlign w:val="bottom"/>
            <w:hideMark/>
          </w:tcPr>
          <w:p w14:paraId="4A27C140" w14:textId="04DE8DFA"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7.43 </w:t>
            </w:r>
          </w:p>
        </w:tc>
      </w:tr>
      <w:tr w:rsidR="007042DB" w:rsidRPr="00073779" w14:paraId="6E9B88EB"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DDEBF7" w:fill="DDEBF7"/>
            <w:noWrap/>
            <w:vAlign w:val="bottom"/>
            <w:hideMark/>
          </w:tcPr>
          <w:p w14:paraId="58C4F91F" w14:textId="77777777" w:rsidR="007042DB" w:rsidRPr="00073779" w:rsidRDefault="007042DB" w:rsidP="007042DB">
            <w:pPr>
              <w:spacing w:after="0" w:line="240" w:lineRule="auto"/>
              <w:rPr>
                <w:rFonts w:eastAsia="Times New Roman" w:cs="Calibri"/>
                <w:color w:val="FF0000"/>
                <w:lang w:val="en-GB" w:eastAsia="sl-SI"/>
              </w:rPr>
            </w:pPr>
            <w:r w:rsidRPr="00852C30">
              <w:rPr>
                <w:rFonts w:eastAsia="Times New Roman" w:cs="Calibri"/>
                <w:lang w:val="en-GB" w:eastAsia="sl-SI"/>
              </w:rPr>
              <w:t>TENDS TO CONTESTABILITY</w:t>
            </w:r>
          </w:p>
        </w:tc>
        <w:tc>
          <w:tcPr>
            <w:tcW w:w="1650" w:type="dxa"/>
            <w:tcBorders>
              <w:top w:val="single" w:sz="4" w:space="0" w:color="9BC2E6"/>
              <w:left w:val="nil"/>
              <w:bottom w:val="single" w:sz="4" w:space="0" w:color="9BC2E6"/>
              <w:right w:val="nil"/>
            </w:tcBorders>
            <w:shd w:val="clear" w:color="DDEBF7" w:fill="DDEBF7"/>
            <w:noWrap/>
            <w:vAlign w:val="bottom"/>
            <w:hideMark/>
          </w:tcPr>
          <w:p w14:paraId="1795FD3F" w14:textId="68F9562E" w:rsidR="007042DB" w:rsidRPr="00073779" w:rsidRDefault="007042DB" w:rsidP="007042DB">
            <w:pPr>
              <w:spacing w:after="0" w:line="240" w:lineRule="auto"/>
              <w:jc w:val="right"/>
              <w:rPr>
                <w:rFonts w:eastAsia="Times New Roman" w:cs="Calibri"/>
                <w:color w:val="FF0000"/>
                <w:lang w:val="en-GB" w:eastAsia="sl-SI"/>
              </w:rPr>
            </w:pPr>
            <w:r w:rsidRPr="00073779">
              <w:rPr>
                <w:rFonts w:ascii="Sylfaen" w:eastAsia="Times New Roman" w:hAnsi="Sylfaen" w:cs="Calibri"/>
                <w:sz w:val="16"/>
                <w:szCs w:val="16"/>
                <w:lang w:val="ka-GE" w:eastAsia="sl-SI"/>
              </w:rPr>
              <w:t>2</w:t>
            </w:r>
          </w:p>
        </w:tc>
        <w:tc>
          <w:tcPr>
            <w:tcW w:w="1610" w:type="dxa"/>
            <w:tcBorders>
              <w:top w:val="single" w:sz="4" w:space="0" w:color="9BC2E6"/>
              <w:left w:val="nil"/>
              <w:bottom w:val="single" w:sz="4" w:space="0" w:color="9BC2E6"/>
              <w:right w:val="nil"/>
            </w:tcBorders>
            <w:shd w:val="clear" w:color="DDEBF7" w:fill="DDEBF7"/>
            <w:noWrap/>
            <w:vAlign w:val="bottom"/>
            <w:hideMark/>
          </w:tcPr>
          <w:p w14:paraId="70210B56" w14:textId="406C22EA" w:rsidR="007042DB" w:rsidRPr="00073779" w:rsidRDefault="007042DB" w:rsidP="007042DB">
            <w:pPr>
              <w:spacing w:after="0" w:line="240" w:lineRule="auto"/>
              <w:jc w:val="right"/>
              <w:rPr>
                <w:rFonts w:eastAsia="Times New Roman" w:cs="Calibri"/>
                <w:color w:val="FF0000"/>
                <w:lang w:val="en-GB" w:eastAsia="sl-SI"/>
              </w:rPr>
            </w:pPr>
            <w:r w:rsidRPr="00073779">
              <w:rPr>
                <w:rFonts w:ascii="Sylfaen" w:hAnsi="Sylfaen"/>
                <w:color w:val="000000"/>
                <w:sz w:val="16"/>
                <w:szCs w:val="16"/>
              </w:rPr>
              <w:t xml:space="preserve">              45,529 </w:t>
            </w:r>
          </w:p>
        </w:tc>
        <w:tc>
          <w:tcPr>
            <w:tcW w:w="2693" w:type="dxa"/>
            <w:tcBorders>
              <w:top w:val="single" w:sz="4" w:space="0" w:color="9BC2E6"/>
              <w:left w:val="nil"/>
              <w:bottom w:val="single" w:sz="4" w:space="0" w:color="9BC2E6"/>
              <w:right w:val="single" w:sz="4" w:space="0" w:color="9BC2E6"/>
            </w:tcBorders>
            <w:shd w:val="clear" w:color="DDEBF7" w:fill="DDEBF7"/>
            <w:noWrap/>
            <w:vAlign w:val="bottom"/>
            <w:hideMark/>
          </w:tcPr>
          <w:p w14:paraId="3EBCDDF3" w14:textId="0F843CAF" w:rsidR="007042DB" w:rsidRPr="00073779" w:rsidRDefault="007042DB" w:rsidP="007042DB">
            <w:pPr>
              <w:spacing w:after="0" w:line="240" w:lineRule="auto"/>
              <w:jc w:val="right"/>
              <w:rPr>
                <w:rFonts w:eastAsia="Times New Roman" w:cs="Calibri"/>
                <w:color w:val="FF0000"/>
                <w:lang w:val="en-GB" w:eastAsia="sl-SI"/>
              </w:rPr>
            </w:pPr>
            <w:r w:rsidRPr="00073779">
              <w:rPr>
                <w:rFonts w:ascii="Sylfaen" w:hAnsi="Sylfaen"/>
                <w:color w:val="000000"/>
                <w:sz w:val="16"/>
                <w:szCs w:val="16"/>
              </w:rPr>
              <w:t xml:space="preserve">1.24 </w:t>
            </w:r>
          </w:p>
        </w:tc>
      </w:tr>
      <w:tr w:rsidR="007042DB" w:rsidRPr="00073779" w14:paraId="379D9F6C"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auto" w:fill="auto"/>
            <w:noWrap/>
            <w:vAlign w:val="bottom"/>
            <w:hideMark/>
          </w:tcPr>
          <w:p w14:paraId="5FE090D0" w14:textId="77777777" w:rsidR="007042DB" w:rsidRPr="00073779" w:rsidRDefault="007042DB" w:rsidP="007042DB">
            <w:pPr>
              <w:spacing w:after="0" w:line="240" w:lineRule="auto"/>
              <w:rPr>
                <w:rFonts w:eastAsia="Times New Roman" w:cs="Calibri"/>
                <w:color w:val="000000"/>
                <w:lang w:val="en-GB" w:eastAsia="sl-SI"/>
              </w:rPr>
            </w:pPr>
            <w:r w:rsidRPr="00073779">
              <w:rPr>
                <w:rFonts w:eastAsia="Times New Roman" w:cs="Calibri"/>
                <w:color w:val="000000"/>
                <w:lang w:val="en-GB" w:eastAsia="sl-SI"/>
              </w:rPr>
              <w:t>NOT CONTESTABLE, 3 + NETW</w:t>
            </w:r>
          </w:p>
        </w:tc>
        <w:tc>
          <w:tcPr>
            <w:tcW w:w="1650" w:type="dxa"/>
            <w:tcBorders>
              <w:top w:val="single" w:sz="4" w:space="0" w:color="9BC2E6"/>
              <w:left w:val="nil"/>
              <w:bottom w:val="single" w:sz="4" w:space="0" w:color="9BC2E6"/>
              <w:right w:val="nil"/>
            </w:tcBorders>
            <w:shd w:val="clear" w:color="auto" w:fill="auto"/>
            <w:noWrap/>
            <w:vAlign w:val="bottom"/>
            <w:hideMark/>
          </w:tcPr>
          <w:p w14:paraId="452055B4" w14:textId="5F18B899"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eastAsia="Times New Roman" w:hAnsi="Sylfaen" w:cs="Calibri"/>
                <w:color w:val="000000"/>
                <w:sz w:val="16"/>
                <w:szCs w:val="16"/>
                <w:lang w:val="ka-GE" w:eastAsia="sl-SI"/>
              </w:rPr>
              <w:t>32</w:t>
            </w:r>
          </w:p>
        </w:tc>
        <w:tc>
          <w:tcPr>
            <w:tcW w:w="1610" w:type="dxa"/>
            <w:tcBorders>
              <w:top w:val="nil"/>
              <w:left w:val="nil"/>
              <w:bottom w:val="nil"/>
              <w:right w:val="nil"/>
            </w:tcBorders>
            <w:shd w:val="clear" w:color="auto" w:fill="auto"/>
            <w:noWrap/>
            <w:vAlign w:val="bottom"/>
            <w:hideMark/>
          </w:tcPr>
          <w:p w14:paraId="0484A194" w14:textId="526EBA2B"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lang w:val="en-US"/>
              </w:rPr>
              <w:t>1,644,217</w:t>
            </w:r>
          </w:p>
        </w:tc>
        <w:tc>
          <w:tcPr>
            <w:tcW w:w="2693" w:type="dxa"/>
            <w:tcBorders>
              <w:top w:val="single" w:sz="4" w:space="0" w:color="9BC2E6"/>
              <w:left w:val="nil"/>
              <w:bottom w:val="single" w:sz="4" w:space="0" w:color="9BC2E6"/>
              <w:right w:val="single" w:sz="4" w:space="0" w:color="9BC2E6"/>
            </w:tcBorders>
            <w:shd w:val="clear" w:color="auto" w:fill="auto"/>
            <w:noWrap/>
            <w:vAlign w:val="bottom"/>
            <w:hideMark/>
          </w:tcPr>
          <w:p w14:paraId="6F374D4E" w14:textId="7CE8F5BC"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44.7</w:t>
            </w:r>
          </w:p>
        </w:tc>
      </w:tr>
      <w:tr w:rsidR="007042DB" w:rsidRPr="00073779" w14:paraId="3AB4D944"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DDEBF7" w:fill="DDEBF7"/>
            <w:noWrap/>
            <w:vAlign w:val="bottom"/>
            <w:hideMark/>
          </w:tcPr>
          <w:p w14:paraId="34F9D644" w14:textId="51708348" w:rsidR="007042DB" w:rsidRPr="00073779" w:rsidRDefault="007042DB" w:rsidP="007042DB">
            <w:pPr>
              <w:spacing w:after="0" w:line="240" w:lineRule="auto"/>
              <w:rPr>
                <w:rFonts w:eastAsia="Times New Roman" w:cs="Calibri"/>
                <w:color w:val="000000"/>
                <w:lang w:val="en-GB" w:eastAsia="sl-SI"/>
              </w:rPr>
            </w:pPr>
            <w:r w:rsidRPr="00073779">
              <w:rPr>
                <w:rFonts w:eastAsia="Times New Roman" w:cs="Calibri"/>
                <w:color w:val="000000"/>
                <w:lang w:val="en-GB" w:eastAsia="sl-SI"/>
              </w:rPr>
              <w:t>NOT CONTESTABLE, 3 – NETW</w:t>
            </w:r>
          </w:p>
        </w:tc>
        <w:tc>
          <w:tcPr>
            <w:tcW w:w="1650" w:type="dxa"/>
            <w:tcBorders>
              <w:top w:val="single" w:sz="4" w:space="0" w:color="9BC2E6"/>
              <w:left w:val="nil"/>
              <w:bottom w:val="single" w:sz="4" w:space="0" w:color="9BC2E6"/>
              <w:right w:val="nil"/>
            </w:tcBorders>
            <w:shd w:val="clear" w:color="DDEBF7" w:fill="DDEBF7"/>
            <w:noWrap/>
            <w:vAlign w:val="bottom"/>
            <w:hideMark/>
          </w:tcPr>
          <w:p w14:paraId="6F9DB4FC" w14:textId="10281FA4"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eastAsia="Times New Roman" w:hAnsi="Sylfaen" w:cs="Calibri"/>
                <w:color w:val="000000"/>
                <w:sz w:val="16"/>
                <w:szCs w:val="16"/>
                <w:lang w:val="ka-GE" w:eastAsia="sl-SI"/>
              </w:rPr>
              <w:t>949</w:t>
            </w:r>
          </w:p>
        </w:tc>
        <w:tc>
          <w:tcPr>
            <w:tcW w:w="1610" w:type="dxa"/>
            <w:tcBorders>
              <w:top w:val="single" w:sz="4" w:space="0" w:color="9BC2E6"/>
              <w:left w:val="nil"/>
              <w:bottom w:val="single" w:sz="4" w:space="0" w:color="9BC2E6"/>
              <w:right w:val="nil"/>
            </w:tcBorders>
            <w:shd w:val="clear" w:color="DDEBF7" w:fill="DDEBF7"/>
            <w:noWrap/>
            <w:vAlign w:val="bottom"/>
            <w:hideMark/>
          </w:tcPr>
          <w:p w14:paraId="10350FED" w14:textId="6E52913F"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         1,056,062 </w:t>
            </w:r>
          </w:p>
        </w:tc>
        <w:tc>
          <w:tcPr>
            <w:tcW w:w="2693" w:type="dxa"/>
            <w:tcBorders>
              <w:top w:val="single" w:sz="4" w:space="0" w:color="9BC2E6"/>
              <w:left w:val="nil"/>
              <w:bottom w:val="single" w:sz="4" w:space="0" w:color="9BC2E6"/>
              <w:right w:val="single" w:sz="4" w:space="0" w:color="9BC2E6"/>
            </w:tcBorders>
            <w:shd w:val="clear" w:color="DDEBF7" w:fill="DDEBF7"/>
            <w:noWrap/>
            <w:vAlign w:val="bottom"/>
            <w:hideMark/>
          </w:tcPr>
          <w:p w14:paraId="5EB0AB9F" w14:textId="709B0057"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28.77 </w:t>
            </w:r>
          </w:p>
        </w:tc>
      </w:tr>
      <w:tr w:rsidR="007042DB" w:rsidRPr="00BC1ABD" w14:paraId="3D05E62A" w14:textId="77777777" w:rsidTr="007354E3">
        <w:trPr>
          <w:trHeight w:val="288"/>
        </w:trPr>
        <w:tc>
          <w:tcPr>
            <w:tcW w:w="3114" w:type="dxa"/>
            <w:tcBorders>
              <w:top w:val="single" w:sz="4" w:space="0" w:color="9BC2E6"/>
              <w:left w:val="single" w:sz="4" w:space="0" w:color="9BC2E6"/>
              <w:bottom w:val="single" w:sz="4" w:space="0" w:color="9BC2E6"/>
              <w:right w:val="nil"/>
            </w:tcBorders>
            <w:shd w:val="clear" w:color="DDEBF7" w:fill="DDEBF7"/>
            <w:noWrap/>
            <w:vAlign w:val="bottom"/>
          </w:tcPr>
          <w:p w14:paraId="4512B8FD" w14:textId="2C95B357" w:rsidR="007042DB" w:rsidRPr="00073779" w:rsidRDefault="007042DB" w:rsidP="007042DB">
            <w:pPr>
              <w:spacing w:after="0" w:line="240" w:lineRule="auto"/>
              <w:rPr>
                <w:rFonts w:eastAsia="Times New Roman" w:cs="Calibri"/>
                <w:color w:val="000000"/>
                <w:lang w:val="en-GB" w:eastAsia="sl-SI"/>
              </w:rPr>
            </w:pPr>
            <w:r w:rsidRPr="00073779">
              <w:rPr>
                <w:rFonts w:eastAsia="Times New Roman" w:cs="Calibri"/>
                <w:color w:val="000000"/>
                <w:lang w:val="en-GB" w:eastAsia="sl-SI"/>
              </w:rPr>
              <w:t>NOT CONTESTABLE, MAGTICOM IS PRESENT</w:t>
            </w:r>
          </w:p>
        </w:tc>
        <w:tc>
          <w:tcPr>
            <w:tcW w:w="1650" w:type="dxa"/>
            <w:tcBorders>
              <w:top w:val="single" w:sz="4" w:space="0" w:color="9BC2E6"/>
              <w:left w:val="nil"/>
              <w:bottom w:val="single" w:sz="4" w:space="0" w:color="9BC2E6"/>
              <w:right w:val="nil"/>
            </w:tcBorders>
            <w:shd w:val="clear" w:color="DDEBF7" w:fill="DDEBF7"/>
            <w:noWrap/>
            <w:vAlign w:val="bottom"/>
          </w:tcPr>
          <w:p w14:paraId="7A4F89FD" w14:textId="0568FD86"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eastAsia="Times New Roman" w:hAnsi="Sylfaen" w:cs="Calibri"/>
                <w:sz w:val="16"/>
                <w:szCs w:val="16"/>
                <w:lang w:val="ka-GE" w:eastAsia="sl-SI"/>
              </w:rPr>
              <w:t>589</w:t>
            </w:r>
          </w:p>
        </w:tc>
        <w:tc>
          <w:tcPr>
            <w:tcW w:w="1610" w:type="dxa"/>
            <w:tcBorders>
              <w:top w:val="single" w:sz="4" w:space="0" w:color="9BC2E6"/>
              <w:left w:val="nil"/>
              <w:bottom w:val="single" w:sz="4" w:space="0" w:color="9BC2E6"/>
              <w:right w:val="nil"/>
            </w:tcBorders>
            <w:shd w:val="clear" w:color="DDEBF7" w:fill="DDEBF7"/>
            <w:noWrap/>
            <w:vAlign w:val="bottom"/>
          </w:tcPr>
          <w:p w14:paraId="586DA512" w14:textId="27D2B128"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         2,485,521 </w:t>
            </w:r>
          </w:p>
        </w:tc>
        <w:tc>
          <w:tcPr>
            <w:tcW w:w="2693" w:type="dxa"/>
            <w:tcBorders>
              <w:top w:val="single" w:sz="4" w:space="0" w:color="9BC2E6"/>
              <w:left w:val="nil"/>
              <w:bottom w:val="single" w:sz="4" w:space="0" w:color="9BC2E6"/>
              <w:right w:val="single" w:sz="4" w:space="0" w:color="9BC2E6"/>
            </w:tcBorders>
            <w:shd w:val="clear" w:color="DDEBF7" w:fill="DDEBF7"/>
            <w:noWrap/>
            <w:vAlign w:val="bottom"/>
          </w:tcPr>
          <w:p w14:paraId="01628E9E" w14:textId="58E31D34" w:rsidR="007042DB" w:rsidRPr="00073779" w:rsidRDefault="007042DB" w:rsidP="007042DB">
            <w:pPr>
              <w:spacing w:after="0" w:line="240" w:lineRule="auto"/>
              <w:jc w:val="right"/>
              <w:rPr>
                <w:rFonts w:eastAsia="Times New Roman" w:cs="Calibri"/>
                <w:color w:val="000000"/>
                <w:lang w:val="en-GB" w:eastAsia="sl-SI"/>
              </w:rPr>
            </w:pPr>
            <w:r w:rsidRPr="00073779">
              <w:rPr>
                <w:rFonts w:ascii="Sylfaen" w:hAnsi="Sylfaen"/>
                <w:color w:val="000000"/>
                <w:sz w:val="16"/>
                <w:szCs w:val="16"/>
              </w:rPr>
              <w:t xml:space="preserve">67.70 </w:t>
            </w:r>
          </w:p>
        </w:tc>
      </w:tr>
    </w:tbl>
    <w:p w14:paraId="46FFCBC3" w14:textId="77777777" w:rsidR="00A0244C" w:rsidRPr="00BC1ABD" w:rsidRDefault="00A0244C" w:rsidP="00A0244C">
      <w:pPr>
        <w:jc w:val="center"/>
        <w:rPr>
          <w:rFonts w:cs="Arial"/>
          <w:sz w:val="4"/>
          <w:szCs w:val="4"/>
          <w:lang w:val="en-GB"/>
        </w:rPr>
      </w:pPr>
    </w:p>
    <w:p w14:paraId="5E38CB4F"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 and other ComCom data</w:t>
      </w:r>
    </w:p>
    <w:p w14:paraId="43DC7CE0" w14:textId="6B1A4E5F" w:rsidR="00A0244C" w:rsidRPr="00BC1ABD" w:rsidRDefault="00A0244C" w:rsidP="00A0244C">
      <w:pPr>
        <w:jc w:val="both"/>
        <w:rPr>
          <w:rFonts w:cs="Arial"/>
          <w:sz w:val="24"/>
          <w:szCs w:val="24"/>
          <w:lang w:val="en-GB"/>
        </w:rPr>
      </w:pPr>
      <w:r w:rsidRPr="00BC1ABD">
        <w:rPr>
          <w:rFonts w:cs="Arial"/>
          <w:sz w:val="24"/>
          <w:szCs w:val="24"/>
          <w:lang w:val="en-GB"/>
        </w:rPr>
        <w:t xml:space="preserve">The list of the contestable settlements is shown in Figure </w:t>
      </w:r>
      <w:r w:rsidR="0005218F">
        <w:rPr>
          <w:rFonts w:cs="Arial"/>
          <w:sz w:val="24"/>
          <w:szCs w:val="24"/>
          <w:lang w:val="en-GB"/>
        </w:rPr>
        <w:t>71</w:t>
      </w:r>
      <w:r w:rsidRPr="00BC1ABD">
        <w:rPr>
          <w:rFonts w:cs="Arial"/>
          <w:sz w:val="24"/>
          <w:szCs w:val="24"/>
          <w:lang w:val="en-GB"/>
        </w:rPr>
        <w:t>.</w:t>
      </w:r>
    </w:p>
    <w:p w14:paraId="7CAF7BC8" w14:textId="0C0E8F3C" w:rsidR="00A0244C" w:rsidRPr="00BC1ABD" w:rsidRDefault="00A0244C" w:rsidP="00A0244C">
      <w:pPr>
        <w:pStyle w:val="Caption"/>
        <w:jc w:val="center"/>
        <w:rPr>
          <w:rFonts w:cs="Arial"/>
          <w:b/>
          <w:sz w:val="24"/>
          <w:szCs w:val="24"/>
          <w:lang w:val="en-GB"/>
        </w:rPr>
      </w:pPr>
      <w:bookmarkStart w:id="329" w:name="_Toc152931423"/>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72</w:t>
      </w:r>
      <w:r w:rsidRPr="00BC1ABD">
        <w:rPr>
          <w:lang w:val="en-GB"/>
        </w:rPr>
        <w:fldChar w:fldCharType="end"/>
      </w:r>
      <w:r w:rsidRPr="00BC1ABD">
        <w:rPr>
          <w:lang w:val="en-GB"/>
        </w:rPr>
        <w:t xml:space="preserve">: List of contestable settlements (cluster </w:t>
      </w:r>
      <w:r w:rsidR="00B42CA5">
        <w:rPr>
          <w:lang w:val="en-GB"/>
        </w:rPr>
        <w:t>III</w:t>
      </w:r>
      <w:r w:rsidRPr="00BC1ABD">
        <w:rPr>
          <w:lang w:val="en-GB"/>
        </w:rPr>
        <w:t>)</w:t>
      </w:r>
      <w:bookmarkEnd w:id="329"/>
    </w:p>
    <w:tbl>
      <w:tblPr>
        <w:tblW w:w="9062" w:type="dxa"/>
        <w:tblCellMar>
          <w:left w:w="70" w:type="dxa"/>
          <w:right w:w="70" w:type="dxa"/>
        </w:tblCellMar>
        <w:tblLook w:val="04A0" w:firstRow="1" w:lastRow="0" w:firstColumn="1" w:lastColumn="0" w:noHBand="0" w:noVBand="1"/>
      </w:tblPr>
      <w:tblGrid>
        <w:gridCol w:w="1594"/>
        <w:gridCol w:w="1516"/>
        <w:gridCol w:w="2296"/>
        <w:gridCol w:w="172"/>
        <w:gridCol w:w="1083"/>
        <w:gridCol w:w="183"/>
        <w:gridCol w:w="1049"/>
        <w:gridCol w:w="1169"/>
      </w:tblGrid>
      <w:tr w:rsidR="00A0244C" w:rsidRPr="00BC1ABD" w14:paraId="32EF1049" w14:textId="77777777" w:rsidTr="007354E3">
        <w:trPr>
          <w:trHeight w:val="564"/>
        </w:trPr>
        <w:tc>
          <w:tcPr>
            <w:tcW w:w="1596" w:type="dxa"/>
            <w:tcBorders>
              <w:top w:val="single" w:sz="4" w:space="0" w:color="9BC2E6"/>
              <w:left w:val="single" w:sz="4" w:space="0" w:color="9BC2E6"/>
              <w:bottom w:val="single" w:sz="4" w:space="0" w:color="9BC2E6"/>
              <w:right w:val="nil"/>
            </w:tcBorders>
            <w:shd w:val="clear" w:color="5B9BD5" w:fill="5B9BD5"/>
            <w:vAlign w:val="bottom"/>
            <w:hideMark/>
          </w:tcPr>
          <w:p w14:paraId="732CA2C3" w14:textId="77777777" w:rsidR="00A0244C" w:rsidRPr="00BC1ABD" w:rsidRDefault="00A0244C" w:rsidP="007354E3">
            <w:pPr>
              <w:spacing w:after="0" w:line="240" w:lineRule="auto"/>
              <w:rPr>
                <w:rFonts w:eastAsia="Times New Roman" w:cs="Calibri"/>
                <w:b/>
                <w:bCs/>
                <w:color w:val="FFFFFF"/>
                <w:lang w:val="en-GB" w:eastAsia="sl-SI"/>
              </w:rPr>
            </w:pPr>
            <w:r w:rsidRPr="00BC1ABD">
              <w:rPr>
                <w:rFonts w:eastAsia="Times New Roman" w:cs="Calibri"/>
                <w:b/>
                <w:bCs/>
                <w:color w:val="FFFFFF"/>
                <w:lang w:val="en-GB" w:eastAsia="sl-SI"/>
              </w:rPr>
              <w:t>Municipality</w:t>
            </w:r>
          </w:p>
        </w:tc>
        <w:tc>
          <w:tcPr>
            <w:tcW w:w="1518" w:type="dxa"/>
            <w:tcBorders>
              <w:top w:val="single" w:sz="4" w:space="0" w:color="9BC2E6"/>
              <w:left w:val="nil"/>
              <w:bottom w:val="single" w:sz="4" w:space="0" w:color="9BC2E6"/>
              <w:right w:val="nil"/>
            </w:tcBorders>
            <w:shd w:val="clear" w:color="5B9BD5" w:fill="5B9BD5"/>
            <w:vAlign w:val="bottom"/>
            <w:hideMark/>
          </w:tcPr>
          <w:p w14:paraId="126CFD77" w14:textId="77777777" w:rsidR="00A0244C" w:rsidRPr="00BC1ABD" w:rsidRDefault="00A0244C" w:rsidP="007354E3">
            <w:pPr>
              <w:spacing w:after="0" w:line="240" w:lineRule="auto"/>
              <w:rPr>
                <w:rFonts w:eastAsia="Times New Roman" w:cs="Calibri"/>
                <w:b/>
                <w:bCs/>
                <w:color w:val="FFFFFF"/>
                <w:lang w:val="en-GB" w:eastAsia="sl-SI"/>
              </w:rPr>
            </w:pPr>
            <w:r w:rsidRPr="00BC1ABD">
              <w:rPr>
                <w:rFonts w:eastAsia="Times New Roman" w:cs="Calibri"/>
                <w:b/>
                <w:bCs/>
                <w:color w:val="FFFFFF"/>
                <w:lang w:val="en-GB" w:eastAsia="sl-SI"/>
              </w:rPr>
              <w:t>Settlement</w:t>
            </w:r>
          </w:p>
        </w:tc>
        <w:tc>
          <w:tcPr>
            <w:tcW w:w="2300" w:type="dxa"/>
            <w:tcBorders>
              <w:top w:val="single" w:sz="4" w:space="0" w:color="9BC2E6"/>
              <w:left w:val="nil"/>
              <w:bottom w:val="single" w:sz="4" w:space="0" w:color="9BC2E6"/>
              <w:right w:val="nil"/>
            </w:tcBorders>
            <w:shd w:val="clear" w:color="5B9BD5" w:fill="5B9BD5"/>
            <w:vAlign w:val="bottom"/>
            <w:hideMark/>
          </w:tcPr>
          <w:p w14:paraId="7A4483FC" w14:textId="77777777" w:rsidR="00A0244C" w:rsidRPr="00BC1ABD" w:rsidRDefault="00A0244C" w:rsidP="007354E3">
            <w:pPr>
              <w:spacing w:after="0" w:line="240" w:lineRule="auto"/>
              <w:rPr>
                <w:rFonts w:eastAsia="Times New Roman" w:cs="Calibri"/>
                <w:b/>
                <w:bCs/>
                <w:color w:val="FFFFFF"/>
                <w:lang w:val="en-GB" w:eastAsia="sl-SI"/>
              </w:rPr>
            </w:pPr>
            <w:r w:rsidRPr="00BC1ABD">
              <w:rPr>
                <w:rFonts w:eastAsia="Times New Roman" w:cs="Calibri"/>
                <w:b/>
                <w:bCs/>
                <w:color w:val="FFFFFF"/>
                <w:lang w:val="en-GB" w:eastAsia="sl-SI"/>
              </w:rPr>
              <w:t xml:space="preserve">Contestable </w:t>
            </w:r>
          </w:p>
        </w:tc>
        <w:tc>
          <w:tcPr>
            <w:tcW w:w="1257" w:type="dxa"/>
            <w:gridSpan w:val="2"/>
            <w:tcBorders>
              <w:top w:val="single" w:sz="4" w:space="0" w:color="9BC2E6"/>
              <w:left w:val="nil"/>
              <w:bottom w:val="single" w:sz="4" w:space="0" w:color="9BC2E6"/>
              <w:right w:val="nil"/>
            </w:tcBorders>
            <w:shd w:val="clear" w:color="5B9BD5" w:fill="5B9BD5"/>
            <w:vAlign w:val="bottom"/>
            <w:hideMark/>
          </w:tcPr>
          <w:p w14:paraId="31885EDF" w14:textId="77777777" w:rsidR="00A0244C" w:rsidRPr="00BC1ABD" w:rsidRDefault="00A0244C" w:rsidP="007354E3">
            <w:pPr>
              <w:spacing w:after="0" w:line="240" w:lineRule="auto"/>
              <w:rPr>
                <w:rFonts w:eastAsia="Times New Roman" w:cs="Calibri"/>
                <w:b/>
                <w:bCs/>
                <w:color w:val="FFFFFF"/>
                <w:lang w:val="en-GB" w:eastAsia="sl-SI"/>
              </w:rPr>
            </w:pPr>
            <w:r w:rsidRPr="00BC1ABD">
              <w:rPr>
                <w:rFonts w:eastAsia="Times New Roman" w:cs="Calibri"/>
                <w:b/>
                <w:bCs/>
                <w:color w:val="FFFFFF"/>
                <w:lang w:val="en-GB" w:eastAsia="sl-SI"/>
              </w:rPr>
              <w:t>Population</w:t>
            </w:r>
          </w:p>
        </w:tc>
        <w:tc>
          <w:tcPr>
            <w:tcW w:w="1234" w:type="dxa"/>
            <w:gridSpan w:val="2"/>
            <w:tcBorders>
              <w:top w:val="single" w:sz="4" w:space="0" w:color="9BC2E6"/>
              <w:left w:val="nil"/>
              <w:bottom w:val="single" w:sz="4" w:space="0" w:color="9BC2E6"/>
              <w:right w:val="nil"/>
            </w:tcBorders>
            <w:shd w:val="clear" w:color="5B9BD5" w:fill="5B9BD5"/>
            <w:vAlign w:val="bottom"/>
            <w:hideMark/>
          </w:tcPr>
          <w:p w14:paraId="57AC6275" w14:textId="77777777" w:rsidR="00A0244C" w:rsidRPr="00BC1ABD" w:rsidRDefault="00A0244C" w:rsidP="007354E3">
            <w:pPr>
              <w:spacing w:after="0" w:line="240" w:lineRule="auto"/>
              <w:rPr>
                <w:rFonts w:eastAsia="Times New Roman" w:cs="Calibri"/>
                <w:b/>
                <w:bCs/>
                <w:color w:val="FFFFFF"/>
                <w:lang w:val="en-GB" w:eastAsia="sl-SI"/>
              </w:rPr>
            </w:pPr>
            <w:r w:rsidRPr="00BC1ABD">
              <w:rPr>
                <w:rFonts w:eastAsia="Times New Roman" w:cs="Calibri"/>
                <w:b/>
                <w:bCs/>
                <w:color w:val="FFFFFF"/>
                <w:lang w:val="en-GB" w:eastAsia="sl-SI"/>
              </w:rPr>
              <w:t>households</w:t>
            </w:r>
          </w:p>
        </w:tc>
        <w:tc>
          <w:tcPr>
            <w:tcW w:w="1157" w:type="dxa"/>
            <w:tcBorders>
              <w:top w:val="single" w:sz="4" w:space="0" w:color="9BC2E6"/>
              <w:left w:val="nil"/>
              <w:bottom w:val="single" w:sz="4" w:space="0" w:color="9BC2E6"/>
              <w:right w:val="single" w:sz="4" w:space="0" w:color="9BC2E6"/>
            </w:tcBorders>
            <w:shd w:val="clear" w:color="5B9BD5" w:fill="5B9BD5"/>
            <w:vAlign w:val="bottom"/>
            <w:hideMark/>
          </w:tcPr>
          <w:p w14:paraId="0B4A0D5B" w14:textId="77777777" w:rsidR="00A0244C" w:rsidRPr="00BC1ABD" w:rsidRDefault="00A0244C" w:rsidP="007354E3">
            <w:pPr>
              <w:spacing w:after="0" w:line="240" w:lineRule="auto"/>
              <w:rPr>
                <w:rFonts w:eastAsia="Times New Roman" w:cs="Calibri"/>
                <w:b/>
                <w:bCs/>
                <w:color w:val="FFFFFF"/>
                <w:lang w:val="en-GB" w:eastAsia="sl-SI"/>
              </w:rPr>
            </w:pPr>
            <w:r w:rsidRPr="00BC1ABD">
              <w:rPr>
                <w:rFonts w:eastAsia="Times New Roman" w:cs="Calibri"/>
                <w:b/>
                <w:bCs/>
                <w:color w:val="FFFFFF"/>
                <w:lang w:val="en-GB" w:eastAsia="sl-SI"/>
              </w:rPr>
              <w:t>subscribers total</w:t>
            </w:r>
          </w:p>
        </w:tc>
      </w:tr>
      <w:tr w:rsidR="00A0244C" w:rsidRPr="00BC1ABD" w14:paraId="5FBAE5C4"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DDEBF7" w:fill="DDEBF7"/>
            <w:noWrap/>
            <w:vAlign w:val="center"/>
            <w:hideMark/>
          </w:tcPr>
          <w:p w14:paraId="18508B27"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Samtskhe-Javakheti</w:t>
            </w:r>
          </w:p>
        </w:tc>
        <w:tc>
          <w:tcPr>
            <w:tcW w:w="1518" w:type="dxa"/>
            <w:tcBorders>
              <w:top w:val="single" w:sz="4" w:space="0" w:color="9BC2E6"/>
              <w:left w:val="nil"/>
              <w:bottom w:val="single" w:sz="4" w:space="0" w:color="9BC2E6"/>
              <w:right w:val="nil"/>
            </w:tcBorders>
            <w:shd w:val="clear" w:color="DDEBF7" w:fill="DDEBF7"/>
            <w:noWrap/>
            <w:vAlign w:val="center"/>
            <w:hideMark/>
          </w:tcPr>
          <w:p w14:paraId="64F70758" w14:textId="5F508BDD" w:rsidR="00A0244C" w:rsidRPr="00BC1ABD" w:rsidRDefault="00657438" w:rsidP="007354E3">
            <w:pPr>
              <w:spacing w:after="0" w:line="240" w:lineRule="auto"/>
              <w:jc w:val="center"/>
              <w:rPr>
                <w:rFonts w:eastAsia="Times New Roman" w:cs="Calibri"/>
                <w:color w:val="000000"/>
                <w:lang w:val="en-GB" w:eastAsia="sl-SI"/>
              </w:rPr>
            </w:pPr>
            <w:r w:rsidRPr="00657438">
              <w:rPr>
                <w:rFonts w:eastAsia="Times New Roman" w:cs="Calibri"/>
                <w:color w:val="000000"/>
                <w:lang w:val="en-GB" w:eastAsia="sl-SI"/>
              </w:rPr>
              <w:t>Akhalkalaki</w:t>
            </w:r>
          </w:p>
        </w:tc>
        <w:tc>
          <w:tcPr>
            <w:tcW w:w="2472" w:type="dxa"/>
            <w:gridSpan w:val="2"/>
            <w:tcBorders>
              <w:top w:val="single" w:sz="4" w:space="0" w:color="9BC2E6"/>
              <w:left w:val="nil"/>
              <w:bottom w:val="single" w:sz="4" w:space="0" w:color="9BC2E6"/>
              <w:right w:val="nil"/>
            </w:tcBorders>
            <w:shd w:val="clear" w:color="DDEBF7" w:fill="DDEBF7"/>
            <w:noWrap/>
            <w:vAlign w:val="center"/>
            <w:hideMark/>
          </w:tcPr>
          <w:p w14:paraId="73E1B34D"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268" w:type="dxa"/>
            <w:gridSpan w:val="2"/>
            <w:tcBorders>
              <w:top w:val="single" w:sz="4" w:space="0" w:color="9BC2E6"/>
              <w:left w:val="nil"/>
              <w:bottom w:val="single" w:sz="4" w:space="0" w:color="9BC2E6"/>
              <w:right w:val="nil"/>
            </w:tcBorders>
            <w:shd w:val="clear" w:color="DDEBF7" w:fill="DDEBF7"/>
            <w:noWrap/>
            <w:vAlign w:val="bottom"/>
            <w:hideMark/>
          </w:tcPr>
          <w:p w14:paraId="34A8863D" w14:textId="77777777" w:rsidR="00A0244C" w:rsidRPr="00BC1ABD" w:rsidRDefault="00A0244C" w:rsidP="00852C30">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8,295</w:t>
            </w:r>
          </w:p>
        </w:tc>
        <w:tc>
          <w:tcPr>
            <w:tcW w:w="1051" w:type="dxa"/>
            <w:tcBorders>
              <w:top w:val="single" w:sz="4" w:space="0" w:color="9BC2E6"/>
              <w:left w:val="nil"/>
              <w:bottom w:val="single" w:sz="4" w:space="0" w:color="9BC2E6"/>
              <w:right w:val="nil"/>
            </w:tcBorders>
            <w:shd w:val="clear" w:color="DDEBF7" w:fill="DDEBF7"/>
            <w:noWrap/>
            <w:vAlign w:val="bottom"/>
            <w:hideMark/>
          </w:tcPr>
          <w:p w14:paraId="40328FF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2,210</w:t>
            </w:r>
          </w:p>
        </w:tc>
        <w:tc>
          <w:tcPr>
            <w:tcW w:w="1157" w:type="dxa"/>
            <w:tcBorders>
              <w:top w:val="single" w:sz="4" w:space="0" w:color="9BC2E6"/>
              <w:left w:val="nil"/>
              <w:bottom w:val="single" w:sz="4" w:space="0" w:color="9BC2E6"/>
              <w:right w:val="single" w:sz="4" w:space="0" w:color="9BC2E6"/>
            </w:tcBorders>
            <w:shd w:val="clear" w:color="DDEBF7" w:fill="DDEBF7"/>
            <w:noWrap/>
            <w:vAlign w:val="bottom"/>
            <w:hideMark/>
          </w:tcPr>
          <w:p w14:paraId="6ECA3E0A"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2,751</w:t>
            </w:r>
          </w:p>
        </w:tc>
      </w:tr>
      <w:tr w:rsidR="00A0244C" w:rsidRPr="00BC1ABD" w14:paraId="18F45708"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DDEBF7" w:fill="DDEBF7"/>
            <w:noWrap/>
            <w:vAlign w:val="center"/>
            <w:hideMark/>
          </w:tcPr>
          <w:p w14:paraId="200D6BD8"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Kakheti</w:t>
            </w:r>
          </w:p>
        </w:tc>
        <w:tc>
          <w:tcPr>
            <w:tcW w:w="1518" w:type="dxa"/>
            <w:tcBorders>
              <w:top w:val="single" w:sz="4" w:space="0" w:color="9BC2E6"/>
              <w:left w:val="nil"/>
              <w:bottom w:val="single" w:sz="4" w:space="0" w:color="9BC2E6"/>
              <w:right w:val="nil"/>
            </w:tcBorders>
            <w:shd w:val="clear" w:color="DDEBF7" w:fill="DDEBF7"/>
            <w:noWrap/>
            <w:vAlign w:val="center"/>
            <w:hideMark/>
          </w:tcPr>
          <w:p w14:paraId="3DEEF691" w14:textId="3012909A"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Busheti</w:t>
            </w:r>
          </w:p>
        </w:tc>
        <w:tc>
          <w:tcPr>
            <w:tcW w:w="2472" w:type="dxa"/>
            <w:gridSpan w:val="2"/>
            <w:tcBorders>
              <w:top w:val="single" w:sz="4" w:space="0" w:color="9BC2E6"/>
              <w:left w:val="nil"/>
              <w:bottom w:val="single" w:sz="4" w:space="0" w:color="9BC2E6"/>
              <w:right w:val="nil"/>
            </w:tcBorders>
            <w:shd w:val="clear" w:color="DDEBF7" w:fill="DDEBF7"/>
            <w:noWrap/>
            <w:vAlign w:val="center"/>
            <w:hideMark/>
          </w:tcPr>
          <w:p w14:paraId="1375DBE4"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DDEBF7" w:fill="DDEBF7"/>
            <w:noWrap/>
            <w:vAlign w:val="bottom"/>
            <w:hideMark/>
          </w:tcPr>
          <w:p w14:paraId="2B816AAF"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1,090</w:t>
            </w:r>
          </w:p>
        </w:tc>
        <w:tc>
          <w:tcPr>
            <w:tcW w:w="1234" w:type="dxa"/>
            <w:gridSpan w:val="2"/>
            <w:tcBorders>
              <w:top w:val="single" w:sz="4" w:space="0" w:color="9BC2E6"/>
              <w:left w:val="nil"/>
              <w:bottom w:val="single" w:sz="4" w:space="0" w:color="9BC2E6"/>
              <w:right w:val="nil"/>
            </w:tcBorders>
            <w:shd w:val="clear" w:color="DDEBF7" w:fill="DDEBF7"/>
            <w:noWrap/>
            <w:vAlign w:val="bottom"/>
            <w:hideMark/>
          </w:tcPr>
          <w:p w14:paraId="1EE67F8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332</w:t>
            </w:r>
          </w:p>
        </w:tc>
        <w:tc>
          <w:tcPr>
            <w:tcW w:w="1157" w:type="dxa"/>
            <w:tcBorders>
              <w:top w:val="single" w:sz="4" w:space="0" w:color="9BC2E6"/>
              <w:left w:val="nil"/>
              <w:bottom w:val="single" w:sz="4" w:space="0" w:color="9BC2E6"/>
              <w:right w:val="single" w:sz="4" w:space="0" w:color="9BC2E6"/>
            </w:tcBorders>
            <w:shd w:val="clear" w:color="DDEBF7" w:fill="DDEBF7"/>
            <w:noWrap/>
            <w:vAlign w:val="bottom"/>
            <w:hideMark/>
          </w:tcPr>
          <w:p w14:paraId="0BB77AF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235</w:t>
            </w:r>
          </w:p>
        </w:tc>
      </w:tr>
      <w:tr w:rsidR="00A0244C" w:rsidRPr="00BC1ABD" w14:paraId="6265D5FB"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auto" w:fill="auto"/>
            <w:noWrap/>
            <w:vAlign w:val="center"/>
            <w:hideMark/>
          </w:tcPr>
          <w:p w14:paraId="70BB7B76"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Kakheti</w:t>
            </w:r>
          </w:p>
        </w:tc>
        <w:tc>
          <w:tcPr>
            <w:tcW w:w="1518" w:type="dxa"/>
            <w:tcBorders>
              <w:top w:val="single" w:sz="4" w:space="0" w:color="9BC2E6"/>
              <w:left w:val="nil"/>
              <w:bottom w:val="single" w:sz="4" w:space="0" w:color="9BC2E6"/>
              <w:right w:val="nil"/>
            </w:tcBorders>
            <w:shd w:val="clear" w:color="auto" w:fill="auto"/>
            <w:noWrap/>
            <w:vAlign w:val="center"/>
            <w:hideMark/>
          </w:tcPr>
          <w:p w14:paraId="637C487D" w14:textId="53422C53"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Vanta</w:t>
            </w:r>
          </w:p>
        </w:tc>
        <w:tc>
          <w:tcPr>
            <w:tcW w:w="2472" w:type="dxa"/>
            <w:gridSpan w:val="2"/>
            <w:tcBorders>
              <w:top w:val="single" w:sz="4" w:space="0" w:color="9BC2E6"/>
              <w:left w:val="nil"/>
              <w:bottom w:val="single" w:sz="4" w:space="0" w:color="9BC2E6"/>
              <w:right w:val="nil"/>
            </w:tcBorders>
            <w:shd w:val="clear" w:color="auto" w:fill="auto"/>
            <w:noWrap/>
            <w:vAlign w:val="center"/>
            <w:hideMark/>
          </w:tcPr>
          <w:p w14:paraId="31F5CF88"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auto" w:fill="auto"/>
            <w:noWrap/>
            <w:vAlign w:val="bottom"/>
            <w:hideMark/>
          </w:tcPr>
          <w:p w14:paraId="3E27725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937</w:t>
            </w:r>
          </w:p>
        </w:tc>
        <w:tc>
          <w:tcPr>
            <w:tcW w:w="1234" w:type="dxa"/>
            <w:gridSpan w:val="2"/>
            <w:tcBorders>
              <w:top w:val="single" w:sz="4" w:space="0" w:color="9BC2E6"/>
              <w:left w:val="nil"/>
              <w:bottom w:val="single" w:sz="4" w:space="0" w:color="9BC2E6"/>
              <w:right w:val="nil"/>
            </w:tcBorders>
            <w:shd w:val="clear" w:color="auto" w:fill="auto"/>
            <w:noWrap/>
            <w:vAlign w:val="bottom"/>
            <w:hideMark/>
          </w:tcPr>
          <w:p w14:paraId="0A5B517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307</w:t>
            </w:r>
          </w:p>
        </w:tc>
        <w:tc>
          <w:tcPr>
            <w:tcW w:w="1157" w:type="dxa"/>
            <w:tcBorders>
              <w:top w:val="single" w:sz="4" w:space="0" w:color="9BC2E6"/>
              <w:left w:val="nil"/>
              <w:bottom w:val="single" w:sz="4" w:space="0" w:color="9BC2E6"/>
              <w:right w:val="single" w:sz="4" w:space="0" w:color="9BC2E6"/>
            </w:tcBorders>
            <w:shd w:val="clear" w:color="auto" w:fill="auto"/>
            <w:noWrap/>
            <w:vAlign w:val="bottom"/>
            <w:hideMark/>
          </w:tcPr>
          <w:p w14:paraId="6C505F5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183</w:t>
            </w:r>
          </w:p>
        </w:tc>
      </w:tr>
      <w:tr w:rsidR="00A0244C" w:rsidRPr="00BC1ABD" w14:paraId="3B3EBDC7"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DDEBF7" w:fill="DDEBF7"/>
            <w:noWrap/>
            <w:vAlign w:val="center"/>
            <w:hideMark/>
          </w:tcPr>
          <w:p w14:paraId="77CEEE7F"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Kakheti</w:t>
            </w:r>
          </w:p>
        </w:tc>
        <w:tc>
          <w:tcPr>
            <w:tcW w:w="1518" w:type="dxa"/>
            <w:tcBorders>
              <w:top w:val="single" w:sz="4" w:space="0" w:color="9BC2E6"/>
              <w:left w:val="nil"/>
              <w:bottom w:val="single" w:sz="4" w:space="0" w:color="9BC2E6"/>
              <w:right w:val="nil"/>
            </w:tcBorders>
            <w:shd w:val="clear" w:color="DDEBF7" w:fill="DDEBF7"/>
            <w:noWrap/>
            <w:vAlign w:val="center"/>
            <w:hideMark/>
          </w:tcPr>
          <w:p w14:paraId="58A0890D" w14:textId="2CAB57D3"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Vachnadziani</w:t>
            </w:r>
          </w:p>
        </w:tc>
        <w:tc>
          <w:tcPr>
            <w:tcW w:w="2472" w:type="dxa"/>
            <w:gridSpan w:val="2"/>
            <w:tcBorders>
              <w:top w:val="single" w:sz="4" w:space="0" w:color="9BC2E6"/>
              <w:left w:val="nil"/>
              <w:bottom w:val="single" w:sz="4" w:space="0" w:color="9BC2E6"/>
              <w:right w:val="nil"/>
            </w:tcBorders>
            <w:shd w:val="clear" w:color="DDEBF7" w:fill="DDEBF7"/>
            <w:noWrap/>
            <w:vAlign w:val="center"/>
            <w:hideMark/>
          </w:tcPr>
          <w:p w14:paraId="21B6AEF0"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DDEBF7" w:fill="DDEBF7"/>
            <w:noWrap/>
            <w:vAlign w:val="bottom"/>
            <w:hideMark/>
          </w:tcPr>
          <w:p w14:paraId="7861E04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1,529</w:t>
            </w:r>
          </w:p>
        </w:tc>
        <w:tc>
          <w:tcPr>
            <w:tcW w:w="1234" w:type="dxa"/>
            <w:gridSpan w:val="2"/>
            <w:tcBorders>
              <w:top w:val="single" w:sz="4" w:space="0" w:color="9BC2E6"/>
              <w:left w:val="nil"/>
              <w:bottom w:val="single" w:sz="4" w:space="0" w:color="9BC2E6"/>
              <w:right w:val="nil"/>
            </w:tcBorders>
            <w:shd w:val="clear" w:color="DDEBF7" w:fill="DDEBF7"/>
            <w:noWrap/>
            <w:vAlign w:val="bottom"/>
            <w:hideMark/>
          </w:tcPr>
          <w:p w14:paraId="5DE64C1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503</w:t>
            </w:r>
          </w:p>
        </w:tc>
        <w:tc>
          <w:tcPr>
            <w:tcW w:w="1157" w:type="dxa"/>
            <w:tcBorders>
              <w:top w:val="single" w:sz="4" w:space="0" w:color="9BC2E6"/>
              <w:left w:val="nil"/>
              <w:bottom w:val="single" w:sz="4" w:space="0" w:color="9BC2E6"/>
              <w:right w:val="nil"/>
            </w:tcBorders>
            <w:shd w:val="clear" w:color="DDEBF7" w:fill="DDEBF7"/>
            <w:noWrap/>
            <w:vAlign w:val="bottom"/>
            <w:hideMark/>
          </w:tcPr>
          <w:p w14:paraId="670162F8"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325</w:t>
            </w:r>
          </w:p>
        </w:tc>
      </w:tr>
      <w:tr w:rsidR="00A0244C" w:rsidRPr="00BC1ABD" w14:paraId="7197A611"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auto" w:fill="auto"/>
            <w:noWrap/>
            <w:vAlign w:val="center"/>
            <w:hideMark/>
          </w:tcPr>
          <w:p w14:paraId="71035488"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Kakheti</w:t>
            </w:r>
          </w:p>
        </w:tc>
        <w:tc>
          <w:tcPr>
            <w:tcW w:w="1518" w:type="dxa"/>
            <w:tcBorders>
              <w:top w:val="single" w:sz="4" w:space="0" w:color="9BC2E6"/>
              <w:left w:val="nil"/>
              <w:bottom w:val="single" w:sz="4" w:space="0" w:color="9BC2E6"/>
              <w:right w:val="nil"/>
            </w:tcBorders>
            <w:shd w:val="clear" w:color="auto" w:fill="auto"/>
            <w:noWrap/>
            <w:vAlign w:val="center"/>
            <w:hideMark/>
          </w:tcPr>
          <w:p w14:paraId="27CECC0F" w14:textId="4455142A"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Kalauri</w:t>
            </w:r>
          </w:p>
        </w:tc>
        <w:tc>
          <w:tcPr>
            <w:tcW w:w="2472" w:type="dxa"/>
            <w:gridSpan w:val="2"/>
            <w:tcBorders>
              <w:top w:val="single" w:sz="4" w:space="0" w:color="9BC2E6"/>
              <w:left w:val="nil"/>
              <w:bottom w:val="single" w:sz="4" w:space="0" w:color="9BC2E6"/>
              <w:right w:val="nil"/>
            </w:tcBorders>
            <w:shd w:val="clear" w:color="auto" w:fill="auto"/>
            <w:noWrap/>
            <w:vAlign w:val="center"/>
            <w:hideMark/>
          </w:tcPr>
          <w:p w14:paraId="43772F98"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auto" w:fill="auto"/>
            <w:noWrap/>
            <w:vAlign w:val="bottom"/>
            <w:hideMark/>
          </w:tcPr>
          <w:p w14:paraId="4E69B36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1,976</w:t>
            </w:r>
          </w:p>
        </w:tc>
        <w:tc>
          <w:tcPr>
            <w:tcW w:w="1234" w:type="dxa"/>
            <w:gridSpan w:val="2"/>
            <w:tcBorders>
              <w:top w:val="single" w:sz="4" w:space="0" w:color="9BC2E6"/>
              <w:left w:val="nil"/>
              <w:bottom w:val="single" w:sz="4" w:space="0" w:color="9BC2E6"/>
              <w:right w:val="nil"/>
            </w:tcBorders>
            <w:shd w:val="clear" w:color="auto" w:fill="auto"/>
            <w:noWrap/>
            <w:vAlign w:val="bottom"/>
            <w:hideMark/>
          </w:tcPr>
          <w:p w14:paraId="4813964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650</w:t>
            </w:r>
          </w:p>
        </w:tc>
        <w:tc>
          <w:tcPr>
            <w:tcW w:w="1157" w:type="dxa"/>
            <w:tcBorders>
              <w:top w:val="single" w:sz="4" w:space="0" w:color="9BC2E6"/>
              <w:left w:val="nil"/>
              <w:bottom w:val="single" w:sz="4" w:space="0" w:color="9BC2E6"/>
              <w:right w:val="nil"/>
            </w:tcBorders>
            <w:shd w:val="clear" w:color="auto" w:fill="auto"/>
            <w:noWrap/>
            <w:vAlign w:val="bottom"/>
            <w:hideMark/>
          </w:tcPr>
          <w:p w14:paraId="327946A3"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414</w:t>
            </w:r>
          </w:p>
        </w:tc>
      </w:tr>
      <w:tr w:rsidR="00A0244C" w:rsidRPr="00BC1ABD" w14:paraId="2DCEC6BF"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DDEBF7" w:fill="DDEBF7"/>
            <w:noWrap/>
            <w:vAlign w:val="center"/>
            <w:hideMark/>
          </w:tcPr>
          <w:p w14:paraId="61CAC59F"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Kakheti</w:t>
            </w:r>
          </w:p>
        </w:tc>
        <w:tc>
          <w:tcPr>
            <w:tcW w:w="1518" w:type="dxa"/>
            <w:tcBorders>
              <w:top w:val="single" w:sz="4" w:space="0" w:color="9BC2E6"/>
              <w:left w:val="nil"/>
              <w:bottom w:val="single" w:sz="4" w:space="0" w:color="9BC2E6"/>
              <w:right w:val="nil"/>
            </w:tcBorders>
            <w:shd w:val="clear" w:color="DDEBF7" w:fill="DDEBF7"/>
            <w:noWrap/>
            <w:vAlign w:val="center"/>
            <w:hideMark/>
          </w:tcPr>
          <w:p w14:paraId="3B0C50E2" w14:textId="0EF37949"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Kvemo Khodasheni</w:t>
            </w:r>
          </w:p>
        </w:tc>
        <w:tc>
          <w:tcPr>
            <w:tcW w:w="2472" w:type="dxa"/>
            <w:gridSpan w:val="2"/>
            <w:tcBorders>
              <w:top w:val="single" w:sz="4" w:space="0" w:color="9BC2E6"/>
              <w:left w:val="nil"/>
              <w:bottom w:val="single" w:sz="4" w:space="0" w:color="9BC2E6"/>
              <w:right w:val="nil"/>
            </w:tcBorders>
            <w:shd w:val="clear" w:color="DDEBF7" w:fill="DDEBF7"/>
            <w:noWrap/>
            <w:vAlign w:val="center"/>
            <w:hideMark/>
          </w:tcPr>
          <w:p w14:paraId="6287CC0F"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DDEBF7" w:fill="DDEBF7"/>
            <w:noWrap/>
            <w:vAlign w:val="bottom"/>
            <w:hideMark/>
          </w:tcPr>
          <w:p w14:paraId="0EAC531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1,277</w:t>
            </w:r>
          </w:p>
        </w:tc>
        <w:tc>
          <w:tcPr>
            <w:tcW w:w="1234" w:type="dxa"/>
            <w:gridSpan w:val="2"/>
            <w:tcBorders>
              <w:top w:val="single" w:sz="4" w:space="0" w:color="9BC2E6"/>
              <w:left w:val="nil"/>
              <w:bottom w:val="single" w:sz="4" w:space="0" w:color="9BC2E6"/>
              <w:right w:val="nil"/>
            </w:tcBorders>
            <w:shd w:val="clear" w:color="DDEBF7" w:fill="DDEBF7"/>
            <w:noWrap/>
            <w:vAlign w:val="bottom"/>
            <w:hideMark/>
          </w:tcPr>
          <w:p w14:paraId="03FD361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416</w:t>
            </w:r>
          </w:p>
        </w:tc>
        <w:tc>
          <w:tcPr>
            <w:tcW w:w="1157" w:type="dxa"/>
            <w:tcBorders>
              <w:top w:val="single" w:sz="4" w:space="0" w:color="9BC2E6"/>
              <w:left w:val="nil"/>
              <w:bottom w:val="single" w:sz="4" w:space="0" w:color="9BC2E6"/>
              <w:right w:val="nil"/>
            </w:tcBorders>
            <w:shd w:val="clear" w:color="DDEBF7" w:fill="DDEBF7"/>
            <w:noWrap/>
            <w:vAlign w:val="bottom"/>
            <w:hideMark/>
          </w:tcPr>
          <w:p w14:paraId="2410A676"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277</w:t>
            </w:r>
          </w:p>
        </w:tc>
      </w:tr>
      <w:tr w:rsidR="00A0244C" w:rsidRPr="00BC1ABD" w14:paraId="56EB14D6"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auto" w:fill="auto"/>
            <w:noWrap/>
            <w:vAlign w:val="center"/>
            <w:hideMark/>
          </w:tcPr>
          <w:p w14:paraId="70AB6AF8"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Kakheti</w:t>
            </w:r>
          </w:p>
        </w:tc>
        <w:tc>
          <w:tcPr>
            <w:tcW w:w="1518" w:type="dxa"/>
            <w:tcBorders>
              <w:top w:val="single" w:sz="4" w:space="0" w:color="9BC2E6"/>
              <w:left w:val="nil"/>
              <w:bottom w:val="single" w:sz="4" w:space="0" w:color="9BC2E6"/>
              <w:right w:val="nil"/>
            </w:tcBorders>
            <w:shd w:val="clear" w:color="auto" w:fill="auto"/>
            <w:noWrap/>
            <w:vAlign w:val="center"/>
            <w:hideMark/>
          </w:tcPr>
          <w:p w14:paraId="7B33A746" w14:textId="2D8099D2"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Shashiani</w:t>
            </w:r>
          </w:p>
        </w:tc>
        <w:tc>
          <w:tcPr>
            <w:tcW w:w="2472" w:type="dxa"/>
            <w:gridSpan w:val="2"/>
            <w:tcBorders>
              <w:top w:val="single" w:sz="4" w:space="0" w:color="9BC2E6"/>
              <w:left w:val="nil"/>
              <w:bottom w:val="single" w:sz="4" w:space="0" w:color="9BC2E6"/>
              <w:right w:val="nil"/>
            </w:tcBorders>
            <w:shd w:val="clear" w:color="auto" w:fill="auto"/>
            <w:noWrap/>
            <w:vAlign w:val="center"/>
            <w:hideMark/>
          </w:tcPr>
          <w:p w14:paraId="07A519F3"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auto" w:fill="auto"/>
            <w:noWrap/>
            <w:vAlign w:val="bottom"/>
            <w:hideMark/>
          </w:tcPr>
          <w:p w14:paraId="63E139F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2,342</w:t>
            </w:r>
          </w:p>
        </w:tc>
        <w:tc>
          <w:tcPr>
            <w:tcW w:w="1234" w:type="dxa"/>
            <w:gridSpan w:val="2"/>
            <w:tcBorders>
              <w:top w:val="single" w:sz="4" w:space="0" w:color="9BC2E6"/>
              <w:left w:val="nil"/>
              <w:bottom w:val="single" w:sz="4" w:space="0" w:color="9BC2E6"/>
              <w:right w:val="nil"/>
            </w:tcBorders>
            <w:shd w:val="clear" w:color="auto" w:fill="auto"/>
            <w:noWrap/>
            <w:vAlign w:val="bottom"/>
            <w:hideMark/>
          </w:tcPr>
          <w:p w14:paraId="5278DB5E"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752</w:t>
            </w:r>
          </w:p>
        </w:tc>
        <w:tc>
          <w:tcPr>
            <w:tcW w:w="1157" w:type="dxa"/>
            <w:tcBorders>
              <w:top w:val="single" w:sz="4" w:space="0" w:color="9BC2E6"/>
              <w:left w:val="nil"/>
              <w:bottom w:val="single" w:sz="4" w:space="0" w:color="9BC2E6"/>
              <w:right w:val="nil"/>
            </w:tcBorders>
            <w:shd w:val="clear" w:color="auto" w:fill="auto"/>
            <w:noWrap/>
            <w:vAlign w:val="bottom"/>
            <w:hideMark/>
          </w:tcPr>
          <w:p w14:paraId="018498E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512</w:t>
            </w:r>
          </w:p>
        </w:tc>
      </w:tr>
      <w:tr w:rsidR="00A0244C" w:rsidRPr="00BC1ABD" w14:paraId="2925AC46"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DDEBF7" w:fill="DDEBF7"/>
            <w:noWrap/>
            <w:vAlign w:val="center"/>
            <w:hideMark/>
          </w:tcPr>
          <w:p w14:paraId="138B28B1"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Samtskhe-Javakheti</w:t>
            </w:r>
          </w:p>
        </w:tc>
        <w:tc>
          <w:tcPr>
            <w:tcW w:w="1518" w:type="dxa"/>
            <w:tcBorders>
              <w:top w:val="single" w:sz="4" w:space="0" w:color="9BC2E6"/>
              <w:left w:val="nil"/>
              <w:bottom w:val="single" w:sz="4" w:space="0" w:color="9BC2E6"/>
              <w:right w:val="nil"/>
            </w:tcBorders>
            <w:shd w:val="clear" w:color="DDEBF7" w:fill="DDEBF7"/>
            <w:noWrap/>
            <w:vAlign w:val="center"/>
            <w:hideMark/>
          </w:tcPr>
          <w:p w14:paraId="5CA4D029" w14:textId="3999DEE3" w:rsidR="00A0244C" w:rsidRPr="00E82B0B" w:rsidRDefault="00EB2ABF" w:rsidP="007354E3">
            <w:pPr>
              <w:spacing w:after="0" w:line="240" w:lineRule="auto"/>
              <w:jc w:val="center"/>
              <w:rPr>
                <w:rFonts w:eastAsia="Times New Roman" w:cs="Calibri"/>
                <w:color w:val="000000"/>
                <w:lang w:val="en-US" w:eastAsia="sl-SI"/>
              </w:rPr>
            </w:pPr>
            <w:r>
              <w:rPr>
                <w:rFonts w:eastAsia="Times New Roman" w:cs="Calibri"/>
                <w:color w:val="000000"/>
                <w:lang w:val="en-US" w:eastAsia="sl-SI"/>
              </w:rPr>
              <w:t>Diliska</w:t>
            </w:r>
          </w:p>
        </w:tc>
        <w:tc>
          <w:tcPr>
            <w:tcW w:w="2472" w:type="dxa"/>
            <w:gridSpan w:val="2"/>
            <w:tcBorders>
              <w:top w:val="single" w:sz="4" w:space="0" w:color="9BC2E6"/>
              <w:left w:val="nil"/>
              <w:bottom w:val="single" w:sz="4" w:space="0" w:color="9BC2E6"/>
              <w:right w:val="nil"/>
            </w:tcBorders>
            <w:shd w:val="clear" w:color="DDEBF7" w:fill="DDEBF7"/>
            <w:noWrap/>
            <w:vAlign w:val="center"/>
            <w:hideMark/>
          </w:tcPr>
          <w:p w14:paraId="39D2A823"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DDEBF7" w:fill="DDEBF7"/>
            <w:noWrap/>
            <w:vAlign w:val="bottom"/>
            <w:hideMark/>
          </w:tcPr>
          <w:p w14:paraId="6189082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2,374</w:t>
            </w:r>
          </w:p>
        </w:tc>
        <w:tc>
          <w:tcPr>
            <w:tcW w:w="1234" w:type="dxa"/>
            <w:gridSpan w:val="2"/>
            <w:tcBorders>
              <w:top w:val="single" w:sz="4" w:space="0" w:color="9BC2E6"/>
              <w:left w:val="nil"/>
              <w:bottom w:val="single" w:sz="4" w:space="0" w:color="9BC2E6"/>
              <w:right w:val="nil"/>
            </w:tcBorders>
            <w:shd w:val="clear" w:color="DDEBF7" w:fill="DDEBF7"/>
            <w:noWrap/>
            <w:vAlign w:val="bottom"/>
            <w:hideMark/>
          </w:tcPr>
          <w:p w14:paraId="6109A36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556</w:t>
            </w:r>
          </w:p>
        </w:tc>
        <w:tc>
          <w:tcPr>
            <w:tcW w:w="1157" w:type="dxa"/>
            <w:tcBorders>
              <w:top w:val="single" w:sz="4" w:space="0" w:color="9BC2E6"/>
              <w:left w:val="nil"/>
              <w:bottom w:val="single" w:sz="4" w:space="0" w:color="9BC2E6"/>
              <w:right w:val="nil"/>
            </w:tcBorders>
            <w:shd w:val="clear" w:color="DDEBF7" w:fill="DDEBF7"/>
            <w:noWrap/>
            <w:vAlign w:val="bottom"/>
            <w:hideMark/>
          </w:tcPr>
          <w:p w14:paraId="49CF1A0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462</w:t>
            </w:r>
          </w:p>
        </w:tc>
      </w:tr>
      <w:tr w:rsidR="00A0244C" w:rsidRPr="00BC1ABD" w14:paraId="4F41EB02"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auto" w:fill="auto"/>
            <w:noWrap/>
            <w:vAlign w:val="center"/>
            <w:hideMark/>
          </w:tcPr>
          <w:p w14:paraId="254EC256"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Samtskhe-Javakheti</w:t>
            </w:r>
          </w:p>
        </w:tc>
        <w:tc>
          <w:tcPr>
            <w:tcW w:w="1518" w:type="dxa"/>
            <w:tcBorders>
              <w:top w:val="single" w:sz="4" w:space="0" w:color="9BC2E6"/>
              <w:left w:val="nil"/>
              <w:bottom w:val="single" w:sz="4" w:space="0" w:color="9BC2E6"/>
              <w:right w:val="nil"/>
            </w:tcBorders>
            <w:shd w:val="clear" w:color="auto" w:fill="auto"/>
            <w:noWrap/>
            <w:vAlign w:val="center"/>
            <w:hideMark/>
          </w:tcPr>
          <w:p w14:paraId="59822CF7" w14:textId="63ABE2CF" w:rsidR="00A0244C" w:rsidRPr="00BC1ABD" w:rsidRDefault="00EB2ABF" w:rsidP="007354E3">
            <w:pPr>
              <w:spacing w:after="0" w:line="240" w:lineRule="auto"/>
              <w:jc w:val="center"/>
              <w:rPr>
                <w:rFonts w:eastAsia="Times New Roman" w:cs="Calibri"/>
                <w:color w:val="000000"/>
                <w:lang w:val="en-GB" w:eastAsia="sl-SI"/>
              </w:rPr>
            </w:pPr>
            <w:r w:rsidRPr="00EB2ABF">
              <w:rPr>
                <w:rFonts w:eastAsia="Times New Roman" w:cs="Calibri"/>
                <w:color w:val="000000"/>
                <w:lang w:val="en-GB" w:eastAsia="sl-SI"/>
              </w:rPr>
              <w:t>Ninotsminda</w:t>
            </w:r>
          </w:p>
        </w:tc>
        <w:tc>
          <w:tcPr>
            <w:tcW w:w="2472" w:type="dxa"/>
            <w:gridSpan w:val="2"/>
            <w:tcBorders>
              <w:top w:val="single" w:sz="4" w:space="0" w:color="9BC2E6"/>
              <w:left w:val="nil"/>
              <w:bottom w:val="single" w:sz="4" w:space="0" w:color="9BC2E6"/>
              <w:right w:val="nil"/>
            </w:tcBorders>
            <w:shd w:val="clear" w:color="auto" w:fill="auto"/>
            <w:noWrap/>
            <w:vAlign w:val="center"/>
            <w:hideMark/>
          </w:tcPr>
          <w:p w14:paraId="7203E3C2"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CONTESTABLE</w:t>
            </w:r>
          </w:p>
        </w:tc>
        <w:tc>
          <w:tcPr>
            <w:tcW w:w="1085" w:type="dxa"/>
            <w:tcBorders>
              <w:top w:val="single" w:sz="4" w:space="0" w:color="9BC2E6"/>
              <w:left w:val="nil"/>
              <w:bottom w:val="single" w:sz="4" w:space="0" w:color="9BC2E6"/>
              <w:right w:val="nil"/>
            </w:tcBorders>
            <w:shd w:val="clear" w:color="auto" w:fill="auto"/>
            <w:noWrap/>
            <w:vAlign w:val="bottom"/>
            <w:hideMark/>
          </w:tcPr>
          <w:p w14:paraId="1A45762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5,144</w:t>
            </w:r>
          </w:p>
        </w:tc>
        <w:tc>
          <w:tcPr>
            <w:tcW w:w="1234" w:type="dxa"/>
            <w:gridSpan w:val="2"/>
            <w:tcBorders>
              <w:top w:val="single" w:sz="4" w:space="0" w:color="9BC2E6"/>
              <w:left w:val="nil"/>
              <w:bottom w:val="single" w:sz="4" w:space="0" w:color="9BC2E6"/>
              <w:right w:val="nil"/>
            </w:tcBorders>
            <w:shd w:val="clear" w:color="auto" w:fill="auto"/>
            <w:noWrap/>
            <w:vAlign w:val="bottom"/>
            <w:hideMark/>
          </w:tcPr>
          <w:p w14:paraId="75D16BC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1,278</w:t>
            </w:r>
          </w:p>
        </w:tc>
        <w:tc>
          <w:tcPr>
            <w:tcW w:w="1157" w:type="dxa"/>
            <w:tcBorders>
              <w:top w:val="single" w:sz="4" w:space="0" w:color="9BC2E6"/>
              <w:left w:val="nil"/>
              <w:bottom w:val="single" w:sz="4" w:space="0" w:color="9BC2E6"/>
              <w:right w:val="nil"/>
            </w:tcBorders>
            <w:shd w:val="clear" w:color="auto" w:fill="auto"/>
            <w:noWrap/>
            <w:vAlign w:val="bottom"/>
            <w:hideMark/>
          </w:tcPr>
          <w:p w14:paraId="7E20E6C4"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1,122</w:t>
            </w:r>
          </w:p>
        </w:tc>
      </w:tr>
      <w:tr w:rsidR="00A0244C" w:rsidRPr="00BC1ABD" w14:paraId="27BAE18E" w14:textId="77777777" w:rsidTr="007354E3">
        <w:trPr>
          <w:trHeight w:val="288"/>
        </w:trPr>
        <w:tc>
          <w:tcPr>
            <w:tcW w:w="1596" w:type="dxa"/>
            <w:tcBorders>
              <w:top w:val="single" w:sz="4" w:space="0" w:color="9BC2E6"/>
              <w:left w:val="single" w:sz="4" w:space="0" w:color="9BC2E6"/>
              <w:bottom w:val="single" w:sz="4" w:space="0" w:color="9BC2E6"/>
              <w:right w:val="nil"/>
            </w:tcBorders>
            <w:shd w:val="clear" w:color="auto" w:fill="auto"/>
            <w:noWrap/>
            <w:vAlign w:val="center"/>
          </w:tcPr>
          <w:p w14:paraId="2EE184AB" w14:textId="77777777" w:rsidR="00A0244C" w:rsidRPr="00BC1ABD" w:rsidRDefault="00A0244C" w:rsidP="007354E3">
            <w:pPr>
              <w:spacing w:after="0" w:line="240" w:lineRule="auto"/>
              <w:jc w:val="center"/>
              <w:rPr>
                <w:rFonts w:eastAsia="Times New Roman" w:cs="Calibri"/>
                <w:b/>
                <w:color w:val="000000"/>
                <w:lang w:val="en-GB" w:eastAsia="sl-SI"/>
              </w:rPr>
            </w:pPr>
            <w:r w:rsidRPr="00BC1ABD">
              <w:rPr>
                <w:rFonts w:eastAsia="Times New Roman" w:cs="Calibri"/>
                <w:b/>
                <w:color w:val="000000"/>
                <w:lang w:val="en-GB" w:eastAsia="sl-SI"/>
              </w:rPr>
              <w:t>SUM</w:t>
            </w:r>
          </w:p>
        </w:tc>
        <w:tc>
          <w:tcPr>
            <w:tcW w:w="1518" w:type="dxa"/>
            <w:tcBorders>
              <w:top w:val="single" w:sz="4" w:space="0" w:color="9BC2E6"/>
              <w:left w:val="nil"/>
              <w:bottom w:val="single" w:sz="4" w:space="0" w:color="9BC2E6"/>
              <w:right w:val="nil"/>
            </w:tcBorders>
            <w:shd w:val="clear" w:color="auto" w:fill="auto"/>
            <w:noWrap/>
            <w:vAlign w:val="center"/>
          </w:tcPr>
          <w:p w14:paraId="1CAB5EE7" w14:textId="77777777" w:rsidR="00A0244C" w:rsidRPr="00BC1ABD" w:rsidRDefault="00A0244C" w:rsidP="007354E3">
            <w:pPr>
              <w:spacing w:after="0" w:line="240" w:lineRule="auto"/>
              <w:jc w:val="center"/>
              <w:rPr>
                <w:rFonts w:eastAsia="Times New Roman" w:cs="Calibri"/>
                <w:b/>
                <w:color w:val="000000"/>
                <w:lang w:val="en-GB" w:eastAsia="sl-SI"/>
              </w:rPr>
            </w:pPr>
          </w:p>
        </w:tc>
        <w:tc>
          <w:tcPr>
            <w:tcW w:w="2472" w:type="dxa"/>
            <w:gridSpan w:val="2"/>
            <w:tcBorders>
              <w:top w:val="single" w:sz="4" w:space="0" w:color="9BC2E6"/>
              <w:left w:val="nil"/>
              <w:bottom w:val="single" w:sz="4" w:space="0" w:color="9BC2E6"/>
              <w:right w:val="nil"/>
            </w:tcBorders>
            <w:shd w:val="clear" w:color="auto" w:fill="auto"/>
            <w:noWrap/>
            <w:vAlign w:val="center"/>
          </w:tcPr>
          <w:p w14:paraId="75648208" w14:textId="77777777" w:rsidR="00A0244C" w:rsidRPr="00BC1ABD" w:rsidRDefault="00A0244C" w:rsidP="007354E3">
            <w:pPr>
              <w:spacing w:after="0" w:line="240" w:lineRule="auto"/>
              <w:jc w:val="center"/>
              <w:rPr>
                <w:rFonts w:eastAsia="Times New Roman" w:cs="Calibri"/>
                <w:b/>
                <w:color w:val="000000"/>
                <w:lang w:val="en-GB" w:eastAsia="sl-SI"/>
              </w:rPr>
            </w:pPr>
          </w:p>
        </w:tc>
        <w:tc>
          <w:tcPr>
            <w:tcW w:w="1085" w:type="dxa"/>
            <w:tcBorders>
              <w:top w:val="single" w:sz="4" w:space="0" w:color="9BC2E6"/>
              <w:left w:val="nil"/>
              <w:bottom w:val="single" w:sz="4" w:space="0" w:color="9BC2E6"/>
              <w:right w:val="nil"/>
            </w:tcBorders>
            <w:shd w:val="clear" w:color="auto" w:fill="auto"/>
            <w:noWrap/>
            <w:vAlign w:val="bottom"/>
          </w:tcPr>
          <w:p w14:paraId="2BDD5D00" w14:textId="77777777" w:rsidR="00A0244C" w:rsidRPr="00BC1ABD" w:rsidRDefault="00A0244C" w:rsidP="007354E3">
            <w:pPr>
              <w:spacing w:after="0" w:line="240" w:lineRule="auto"/>
              <w:jc w:val="right"/>
              <w:rPr>
                <w:rFonts w:eastAsia="Times New Roman" w:cs="Calibri"/>
                <w:b/>
                <w:color w:val="000000"/>
                <w:lang w:val="en-GB" w:eastAsia="sl-SI"/>
              </w:rPr>
            </w:pPr>
            <w:r w:rsidRPr="00BC1ABD">
              <w:rPr>
                <w:rFonts w:eastAsia="Times New Roman" w:cs="Calibri"/>
                <w:b/>
                <w:color w:val="000000"/>
                <w:lang w:val="en-GB" w:eastAsia="sl-SI"/>
              </w:rPr>
              <w:t>24,964</w:t>
            </w:r>
          </w:p>
        </w:tc>
        <w:tc>
          <w:tcPr>
            <w:tcW w:w="1234" w:type="dxa"/>
            <w:gridSpan w:val="2"/>
            <w:tcBorders>
              <w:top w:val="single" w:sz="4" w:space="0" w:color="9BC2E6"/>
              <w:left w:val="nil"/>
              <w:bottom w:val="single" w:sz="4" w:space="0" w:color="9BC2E6"/>
              <w:right w:val="nil"/>
            </w:tcBorders>
            <w:shd w:val="clear" w:color="auto" w:fill="auto"/>
            <w:noWrap/>
            <w:vAlign w:val="bottom"/>
          </w:tcPr>
          <w:p w14:paraId="664598A6" w14:textId="77777777" w:rsidR="00A0244C" w:rsidRPr="00BC1ABD" w:rsidRDefault="00A0244C" w:rsidP="007354E3">
            <w:pPr>
              <w:spacing w:after="0" w:line="240" w:lineRule="auto"/>
              <w:jc w:val="right"/>
              <w:rPr>
                <w:rFonts w:eastAsia="Times New Roman" w:cs="Calibri"/>
                <w:b/>
                <w:color w:val="000000"/>
                <w:lang w:val="en-GB" w:eastAsia="sl-SI"/>
              </w:rPr>
            </w:pPr>
            <w:r w:rsidRPr="00BC1ABD">
              <w:rPr>
                <w:rFonts w:eastAsia="Times New Roman" w:cs="Calibri"/>
                <w:b/>
                <w:color w:val="000000"/>
                <w:lang w:val="en-GB" w:eastAsia="sl-SI"/>
              </w:rPr>
              <w:t>7,004</w:t>
            </w:r>
          </w:p>
        </w:tc>
        <w:tc>
          <w:tcPr>
            <w:tcW w:w="1157" w:type="dxa"/>
            <w:tcBorders>
              <w:top w:val="single" w:sz="4" w:space="0" w:color="9BC2E6"/>
              <w:left w:val="nil"/>
              <w:bottom w:val="single" w:sz="4" w:space="0" w:color="9BC2E6"/>
              <w:right w:val="nil"/>
            </w:tcBorders>
            <w:shd w:val="clear" w:color="auto" w:fill="auto"/>
            <w:noWrap/>
            <w:vAlign w:val="bottom"/>
          </w:tcPr>
          <w:p w14:paraId="16FDF55E" w14:textId="77777777" w:rsidR="00A0244C" w:rsidRPr="00BC1ABD" w:rsidRDefault="00A0244C" w:rsidP="007354E3">
            <w:pPr>
              <w:spacing w:after="0" w:line="240" w:lineRule="auto"/>
              <w:jc w:val="right"/>
              <w:rPr>
                <w:rFonts w:eastAsia="Times New Roman" w:cs="Calibri"/>
                <w:b/>
                <w:color w:val="000000"/>
                <w:lang w:val="en-GB" w:eastAsia="sl-SI"/>
              </w:rPr>
            </w:pPr>
            <w:r w:rsidRPr="00BC1ABD">
              <w:rPr>
                <w:rFonts w:eastAsia="Times New Roman" w:cs="Calibri"/>
                <w:b/>
                <w:color w:val="000000"/>
                <w:lang w:val="en-GB" w:eastAsia="sl-SI"/>
              </w:rPr>
              <w:t>6,281</w:t>
            </w:r>
          </w:p>
        </w:tc>
      </w:tr>
    </w:tbl>
    <w:p w14:paraId="476BC639" w14:textId="77777777" w:rsidR="00A0244C" w:rsidRPr="00BC1ABD" w:rsidRDefault="00A0244C" w:rsidP="00A0244C">
      <w:pPr>
        <w:jc w:val="center"/>
        <w:rPr>
          <w:rFonts w:cs="Arial"/>
          <w:sz w:val="4"/>
          <w:szCs w:val="4"/>
          <w:lang w:val="en-GB"/>
        </w:rPr>
      </w:pPr>
    </w:p>
    <w:p w14:paraId="0CA0570C"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 and other ComCom data</w:t>
      </w:r>
    </w:p>
    <w:p w14:paraId="7E380EC5" w14:textId="43FBA15F" w:rsidR="00A0244C" w:rsidRPr="00BC1ABD" w:rsidRDefault="00A0244C" w:rsidP="00A0244C">
      <w:pPr>
        <w:jc w:val="both"/>
        <w:rPr>
          <w:rFonts w:cs="Arial"/>
          <w:sz w:val="24"/>
          <w:szCs w:val="24"/>
          <w:lang w:val="en-GB"/>
        </w:rPr>
      </w:pPr>
      <w:r w:rsidRPr="00BC1ABD">
        <w:rPr>
          <w:rFonts w:cs="Arial"/>
          <w:sz w:val="24"/>
          <w:szCs w:val="24"/>
          <w:lang w:val="en-GB"/>
        </w:rPr>
        <w:t>The list of the settlements which are contestable but are too large and therefore considered separately are:</w:t>
      </w:r>
    </w:p>
    <w:p w14:paraId="479B8A3C" w14:textId="7F7C03D7" w:rsidR="00A0244C" w:rsidRPr="00BC1ABD" w:rsidRDefault="00A0244C" w:rsidP="00A0244C">
      <w:pPr>
        <w:pStyle w:val="Caption"/>
        <w:jc w:val="center"/>
        <w:rPr>
          <w:rFonts w:cs="Arial"/>
          <w:b/>
          <w:sz w:val="24"/>
          <w:szCs w:val="24"/>
          <w:lang w:val="en-GB"/>
        </w:rPr>
      </w:pPr>
      <w:bookmarkStart w:id="330" w:name="_Toc152931424"/>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73</w:t>
      </w:r>
      <w:r w:rsidRPr="00BC1ABD">
        <w:rPr>
          <w:lang w:val="en-GB"/>
        </w:rPr>
        <w:fldChar w:fldCharType="end"/>
      </w:r>
      <w:r w:rsidRPr="00BC1ABD">
        <w:rPr>
          <w:lang w:val="en-GB"/>
        </w:rPr>
        <w:t>: List of settlements which are contestable but too large</w:t>
      </w:r>
      <w:bookmarkEnd w:id="330"/>
    </w:p>
    <w:tbl>
      <w:tblPr>
        <w:tblW w:w="9552" w:type="dxa"/>
        <w:jc w:val="center"/>
        <w:tblCellMar>
          <w:left w:w="70" w:type="dxa"/>
          <w:right w:w="70" w:type="dxa"/>
        </w:tblCellMar>
        <w:tblLook w:val="04A0" w:firstRow="1" w:lastRow="0" w:firstColumn="1" w:lastColumn="0" w:noHBand="0" w:noVBand="1"/>
      </w:tblPr>
      <w:tblGrid>
        <w:gridCol w:w="1622"/>
        <w:gridCol w:w="1320"/>
        <w:gridCol w:w="2723"/>
        <w:gridCol w:w="1276"/>
        <w:gridCol w:w="1210"/>
        <w:gridCol w:w="1421"/>
      </w:tblGrid>
      <w:tr w:rsidR="00A0244C" w:rsidRPr="00BC1ABD" w14:paraId="0D094F97" w14:textId="77777777" w:rsidTr="007C4A5D">
        <w:trPr>
          <w:trHeight w:val="564"/>
          <w:jc w:val="center"/>
        </w:trPr>
        <w:tc>
          <w:tcPr>
            <w:tcW w:w="1622" w:type="dxa"/>
            <w:shd w:val="clear" w:color="5B9BD5" w:fill="5B9BD5"/>
            <w:vAlign w:val="bottom"/>
            <w:hideMark/>
          </w:tcPr>
          <w:p w14:paraId="35130494" w14:textId="77777777"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Municipality</w:t>
            </w:r>
          </w:p>
        </w:tc>
        <w:tc>
          <w:tcPr>
            <w:tcW w:w="1320" w:type="dxa"/>
            <w:shd w:val="clear" w:color="5B9BD5" w:fill="5B9BD5"/>
            <w:vAlign w:val="bottom"/>
            <w:hideMark/>
          </w:tcPr>
          <w:p w14:paraId="35A36102" w14:textId="77777777"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Settlement</w:t>
            </w:r>
          </w:p>
        </w:tc>
        <w:tc>
          <w:tcPr>
            <w:tcW w:w="2723" w:type="dxa"/>
            <w:shd w:val="clear" w:color="5B9BD5" w:fill="5B9BD5"/>
            <w:vAlign w:val="bottom"/>
            <w:hideMark/>
          </w:tcPr>
          <w:p w14:paraId="57CD48E4" w14:textId="5DCAF618"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Contestable</w:t>
            </w:r>
          </w:p>
        </w:tc>
        <w:tc>
          <w:tcPr>
            <w:tcW w:w="1276" w:type="dxa"/>
            <w:shd w:val="clear" w:color="5B9BD5" w:fill="5B9BD5"/>
            <w:vAlign w:val="bottom"/>
            <w:hideMark/>
          </w:tcPr>
          <w:p w14:paraId="79723162" w14:textId="77777777"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Population</w:t>
            </w:r>
          </w:p>
        </w:tc>
        <w:tc>
          <w:tcPr>
            <w:tcW w:w="1190" w:type="dxa"/>
            <w:shd w:val="clear" w:color="5B9BD5" w:fill="5B9BD5"/>
            <w:vAlign w:val="bottom"/>
            <w:hideMark/>
          </w:tcPr>
          <w:p w14:paraId="2CDD85A6" w14:textId="2E769B91" w:rsidR="00A0244C" w:rsidRPr="00BC1ABD" w:rsidRDefault="007C4A5D" w:rsidP="007C4A5D">
            <w:pPr>
              <w:spacing w:after="0" w:line="240" w:lineRule="auto"/>
              <w:jc w:val="center"/>
              <w:rPr>
                <w:rFonts w:eastAsia="Times New Roman" w:cs="Calibri"/>
                <w:b/>
                <w:bCs/>
                <w:color w:val="FFFFFF"/>
                <w:lang w:val="en-GB" w:eastAsia="sl-SI"/>
              </w:rPr>
            </w:pPr>
            <w:r>
              <w:rPr>
                <w:rFonts w:eastAsia="Times New Roman" w:cs="Calibri"/>
                <w:b/>
                <w:bCs/>
                <w:color w:val="FFFFFF"/>
                <w:lang w:val="en-GB" w:eastAsia="sl-SI"/>
              </w:rPr>
              <w:t>H</w:t>
            </w:r>
            <w:r w:rsidR="00A0244C" w:rsidRPr="00BC1ABD">
              <w:rPr>
                <w:rFonts w:eastAsia="Times New Roman" w:cs="Calibri"/>
                <w:b/>
                <w:bCs/>
                <w:color w:val="FFFFFF"/>
                <w:lang w:val="en-GB" w:eastAsia="sl-SI"/>
              </w:rPr>
              <w:t>ouseholds</w:t>
            </w:r>
          </w:p>
        </w:tc>
        <w:tc>
          <w:tcPr>
            <w:tcW w:w="1421" w:type="dxa"/>
            <w:shd w:val="clear" w:color="5B9BD5" w:fill="5B9BD5"/>
            <w:vAlign w:val="bottom"/>
            <w:hideMark/>
          </w:tcPr>
          <w:p w14:paraId="495CED52" w14:textId="40FA96F7" w:rsidR="00A0244C" w:rsidRPr="00BC1ABD" w:rsidRDefault="007C4A5D" w:rsidP="007C4A5D">
            <w:pPr>
              <w:spacing w:after="0" w:line="240" w:lineRule="auto"/>
              <w:jc w:val="center"/>
              <w:rPr>
                <w:rFonts w:eastAsia="Times New Roman" w:cs="Calibri"/>
                <w:b/>
                <w:bCs/>
                <w:color w:val="FFFFFF"/>
                <w:lang w:val="en-GB" w:eastAsia="sl-SI"/>
              </w:rPr>
            </w:pPr>
            <w:r>
              <w:rPr>
                <w:rFonts w:eastAsia="Times New Roman" w:cs="Calibri"/>
                <w:b/>
                <w:bCs/>
                <w:color w:val="FFFFFF"/>
                <w:lang w:val="en-GB" w:eastAsia="sl-SI"/>
              </w:rPr>
              <w:t>S</w:t>
            </w:r>
            <w:r w:rsidR="00A0244C" w:rsidRPr="00BC1ABD">
              <w:rPr>
                <w:rFonts w:eastAsia="Times New Roman" w:cs="Calibri"/>
                <w:b/>
                <w:bCs/>
                <w:color w:val="FFFFFF"/>
                <w:lang w:val="en-GB" w:eastAsia="sl-SI"/>
              </w:rPr>
              <w:t>ubscribers total</w:t>
            </w:r>
          </w:p>
        </w:tc>
      </w:tr>
      <w:tr w:rsidR="00A0244C" w:rsidRPr="00BC1ABD" w14:paraId="0D65BB29" w14:textId="77777777" w:rsidTr="007C4A5D">
        <w:trPr>
          <w:trHeight w:val="288"/>
          <w:jc w:val="center"/>
        </w:trPr>
        <w:tc>
          <w:tcPr>
            <w:tcW w:w="1622" w:type="dxa"/>
            <w:shd w:val="clear" w:color="DDEBF7" w:fill="DDEBF7"/>
            <w:noWrap/>
            <w:vAlign w:val="center"/>
            <w:hideMark/>
          </w:tcPr>
          <w:p w14:paraId="393EFD71"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Imereti</w:t>
            </w:r>
          </w:p>
        </w:tc>
        <w:tc>
          <w:tcPr>
            <w:tcW w:w="1320" w:type="dxa"/>
            <w:shd w:val="clear" w:color="DDEBF7" w:fill="DDEBF7"/>
            <w:noWrap/>
            <w:vAlign w:val="center"/>
            <w:hideMark/>
          </w:tcPr>
          <w:p w14:paraId="408DAA9F" w14:textId="542910F1" w:rsidR="00A0244C" w:rsidRPr="00BC1ABD" w:rsidRDefault="00EB2ABF" w:rsidP="007354E3">
            <w:pPr>
              <w:spacing w:after="0" w:line="240" w:lineRule="auto"/>
              <w:jc w:val="center"/>
              <w:rPr>
                <w:rFonts w:eastAsia="Times New Roman" w:cs="Calibri"/>
                <w:color w:val="000000"/>
                <w:lang w:val="en-GB" w:eastAsia="sl-SI"/>
              </w:rPr>
            </w:pPr>
            <w:r>
              <w:rPr>
                <w:rFonts w:eastAsia="Times New Roman" w:cs="Calibri"/>
                <w:color w:val="000000"/>
                <w:lang w:val="en-GB" w:eastAsia="sl-SI"/>
              </w:rPr>
              <w:t>Kutaisi</w:t>
            </w:r>
          </w:p>
        </w:tc>
        <w:tc>
          <w:tcPr>
            <w:tcW w:w="2723" w:type="dxa"/>
            <w:shd w:val="clear" w:color="DDEBF7" w:fill="FFEB9C"/>
            <w:noWrap/>
            <w:vAlign w:val="center"/>
            <w:hideMark/>
          </w:tcPr>
          <w:p w14:paraId="15D7760C" w14:textId="77777777" w:rsidR="00A0244C" w:rsidRPr="00BC1ABD" w:rsidRDefault="00A0244C" w:rsidP="007354E3">
            <w:pPr>
              <w:spacing w:after="0" w:line="240" w:lineRule="auto"/>
              <w:jc w:val="center"/>
              <w:rPr>
                <w:rFonts w:eastAsia="Times New Roman" w:cs="Calibri"/>
                <w:color w:val="9C6500"/>
                <w:lang w:val="en-GB" w:eastAsia="sl-SI"/>
              </w:rPr>
            </w:pPr>
            <w:r w:rsidRPr="00BC1ABD">
              <w:rPr>
                <w:rFonts w:eastAsia="Times New Roman" w:cs="Calibri"/>
                <w:color w:val="9C6500"/>
                <w:lang w:val="en-GB" w:eastAsia="sl-SI"/>
              </w:rPr>
              <w:t>CONTESTABLE BUT TOO BIG</w:t>
            </w:r>
          </w:p>
        </w:tc>
        <w:tc>
          <w:tcPr>
            <w:tcW w:w="1276" w:type="dxa"/>
            <w:shd w:val="clear" w:color="DDEBF7" w:fill="DDEBF7"/>
            <w:noWrap/>
            <w:vAlign w:val="bottom"/>
            <w:hideMark/>
          </w:tcPr>
          <w:p w14:paraId="05D86D80"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147,635</w:t>
            </w:r>
          </w:p>
        </w:tc>
        <w:tc>
          <w:tcPr>
            <w:tcW w:w="1190" w:type="dxa"/>
            <w:shd w:val="clear" w:color="DDEBF7" w:fill="DDEBF7"/>
            <w:noWrap/>
            <w:vAlign w:val="bottom"/>
            <w:hideMark/>
          </w:tcPr>
          <w:p w14:paraId="5AED716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45,249</w:t>
            </w:r>
          </w:p>
        </w:tc>
        <w:tc>
          <w:tcPr>
            <w:tcW w:w="1421" w:type="dxa"/>
            <w:shd w:val="clear" w:color="DDEBF7" w:fill="DDEBF7"/>
            <w:noWrap/>
            <w:vAlign w:val="bottom"/>
            <w:hideMark/>
          </w:tcPr>
          <w:p w14:paraId="6223AB0B"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44,049</w:t>
            </w:r>
          </w:p>
        </w:tc>
      </w:tr>
      <w:tr w:rsidR="00A0244C" w:rsidRPr="00BC1ABD" w14:paraId="556F93E5" w14:textId="77777777" w:rsidTr="007C4A5D">
        <w:trPr>
          <w:trHeight w:val="288"/>
          <w:jc w:val="center"/>
        </w:trPr>
        <w:tc>
          <w:tcPr>
            <w:tcW w:w="1622" w:type="dxa"/>
            <w:tcBorders>
              <w:left w:val="single" w:sz="4" w:space="0" w:color="9BC2E6"/>
              <w:bottom w:val="single" w:sz="4" w:space="0" w:color="9BC2E6"/>
              <w:right w:val="nil"/>
            </w:tcBorders>
            <w:shd w:val="clear" w:color="DDEBF7" w:fill="DDEBF7"/>
            <w:noWrap/>
            <w:vAlign w:val="center"/>
            <w:hideMark/>
          </w:tcPr>
          <w:p w14:paraId="12C9D888"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 xml:space="preserve">Shida Kartli </w:t>
            </w:r>
          </w:p>
        </w:tc>
        <w:tc>
          <w:tcPr>
            <w:tcW w:w="1320" w:type="dxa"/>
            <w:tcBorders>
              <w:left w:val="nil"/>
              <w:bottom w:val="single" w:sz="4" w:space="0" w:color="9BC2E6"/>
              <w:right w:val="nil"/>
            </w:tcBorders>
            <w:shd w:val="clear" w:color="DDEBF7" w:fill="DDEBF7"/>
            <w:noWrap/>
            <w:vAlign w:val="center"/>
            <w:hideMark/>
          </w:tcPr>
          <w:p w14:paraId="64849B91" w14:textId="467BBD0D" w:rsidR="00A0244C" w:rsidRPr="00BC1ABD" w:rsidRDefault="00EB2ABF" w:rsidP="007354E3">
            <w:pPr>
              <w:spacing w:after="0" w:line="240" w:lineRule="auto"/>
              <w:jc w:val="center"/>
              <w:rPr>
                <w:rFonts w:eastAsia="Times New Roman" w:cs="Calibri"/>
                <w:color w:val="000000"/>
                <w:lang w:val="en-GB" w:eastAsia="sl-SI"/>
              </w:rPr>
            </w:pPr>
            <w:r>
              <w:rPr>
                <w:rFonts w:eastAsia="Times New Roman" w:cs="Calibri"/>
                <w:color w:val="000000"/>
                <w:lang w:val="en-GB" w:eastAsia="sl-SI"/>
              </w:rPr>
              <w:t>Rustavi</w:t>
            </w:r>
          </w:p>
        </w:tc>
        <w:tc>
          <w:tcPr>
            <w:tcW w:w="2723" w:type="dxa"/>
            <w:tcBorders>
              <w:left w:val="nil"/>
              <w:bottom w:val="single" w:sz="4" w:space="0" w:color="9BC2E6"/>
              <w:right w:val="nil"/>
            </w:tcBorders>
            <w:shd w:val="clear" w:color="DDEBF7" w:fill="FFEB9C"/>
            <w:noWrap/>
            <w:vAlign w:val="center"/>
            <w:hideMark/>
          </w:tcPr>
          <w:p w14:paraId="4E50F26D" w14:textId="77777777" w:rsidR="00A0244C" w:rsidRPr="00BC1ABD" w:rsidRDefault="00A0244C" w:rsidP="007354E3">
            <w:pPr>
              <w:spacing w:after="0" w:line="240" w:lineRule="auto"/>
              <w:jc w:val="center"/>
              <w:rPr>
                <w:rFonts w:eastAsia="Times New Roman" w:cs="Calibri"/>
                <w:color w:val="9C6500"/>
                <w:lang w:val="en-GB" w:eastAsia="sl-SI"/>
              </w:rPr>
            </w:pPr>
            <w:r w:rsidRPr="00BC1ABD">
              <w:rPr>
                <w:rFonts w:eastAsia="Times New Roman" w:cs="Calibri"/>
                <w:color w:val="9C6500"/>
                <w:lang w:val="en-GB" w:eastAsia="sl-SI"/>
              </w:rPr>
              <w:t>CONTESTABLE BUT TOO BIG</w:t>
            </w:r>
          </w:p>
        </w:tc>
        <w:tc>
          <w:tcPr>
            <w:tcW w:w="1276" w:type="dxa"/>
            <w:tcBorders>
              <w:left w:val="nil"/>
              <w:bottom w:val="single" w:sz="4" w:space="0" w:color="9BC2E6"/>
              <w:right w:val="nil"/>
            </w:tcBorders>
            <w:shd w:val="clear" w:color="DDEBF7" w:fill="DDEBF7"/>
            <w:noWrap/>
            <w:vAlign w:val="bottom"/>
            <w:hideMark/>
          </w:tcPr>
          <w:p w14:paraId="127116E4"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125,103</w:t>
            </w:r>
          </w:p>
        </w:tc>
        <w:tc>
          <w:tcPr>
            <w:tcW w:w="1190" w:type="dxa"/>
            <w:tcBorders>
              <w:left w:val="nil"/>
              <w:bottom w:val="single" w:sz="4" w:space="0" w:color="9BC2E6"/>
              <w:right w:val="nil"/>
            </w:tcBorders>
            <w:shd w:val="clear" w:color="DDEBF7" w:fill="DDEBF7"/>
            <w:noWrap/>
            <w:vAlign w:val="bottom"/>
            <w:hideMark/>
          </w:tcPr>
          <w:p w14:paraId="1787F3C2"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37,488</w:t>
            </w:r>
          </w:p>
        </w:tc>
        <w:tc>
          <w:tcPr>
            <w:tcW w:w="1421" w:type="dxa"/>
            <w:tcBorders>
              <w:left w:val="nil"/>
              <w:bottom w:val="single" w:sz="4" w:space="0" w:color="9BC2E6"/>
              <w:right w:val="single" w:sz="4" w:space="0" w:color="9BC2E6"/>
            </w:tcBorders>
            <w:shd w:val="clear" w:color="DDEBF7" w:fill="DDEBF7"/>
            <w:noWrap/>
            <w:vAlign w:val="bottom"/>
            <w:hideMark/>
          </w:tcPr>
          <w:p w14:paraId="559F2587"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48,545</w:t>
            </w:r>
          </w:p>
        </w:tc>
      </w:tr>
      <w:tr w:rsidR="00A0244C" w:rsidRPr="00BC1ABD" w14:paraId="1A69EB38" w14:textId="77777777" w:rsidTr="007C4A5D">
        <w:trPr>
          <w:trHeight w:val="288"/>
          <w:jc w:val="center"/>
        </w:trPr>
        <w:tc>
          <w:tcPr>
            <w:tcW w:w="1622" w:type="dxa"/>
            <w:tcBorders>
              <w:left w:val="single" w:sz="4" w:space="0" w:color="9BC2E6"/>
              <w:bottom w:val="single" w:sz="4" w:space="0" w:color="9BC2E6"/>
              <w:right w:val="nil"/>
            </w:tcBorders>
            <w:shd w:val="clear" w:color="DDEBF7" w:fill="DDEBF7"/>
            <w:noWrap/>
            <w:vAlign w:val="center"/>
            <w:hideMark/>
          </w:tcPr>
          <w:p w14:paraId="34898897" w14:textId="77777777" w:rsidR="00A0244C" w:rsidRPr="00BC1ABD" w:rsidRDefault="00A0244C" w:rsidP="007354E3">
            <w:pPr>
              <w:spacing w:after="0" w:line="240" w:lineRule="auto"/>
              <w:jc w:val="center"/>
              <w:rPr>
                <w:rFonts w:eastAsia="Times New Roman" w:cs="Calibri"/>
                <w:b/>
                <w:color w:val="000000"/>
                <w:lang w:val="en-GB" w:eastAsia="sl-SI"/>
              </w:rPr>
            </w:pPr>
            <w:r w:rsidRPr="00BC1ABD">
              <w:rPr>
                <w:rFonts w:eastAsia="Times New Roman" w:cs="Calibri"/>
                <w:b/>
                <w:color w:val="000000"/>
                <w:lang w:val="en-GB" w:eastAsia="sl-SI"/>
              </w:rPr>
              <w:t>SUM</w:t>
            </w:r>
          </w:p>
        </w:tc>
        <w:tc>
          <w:tcPr>
            <w:tcW w:w="1320" w:type="dxa"/>
            <w:tcBorders>
              <w:left w:val="nil"/>
              <w:bottom w:val="single" w:sz="4" w:space="0" w:color="9BC2E6"/>
              <w:right w:val="nil"/>
            </w:tcBorders>
            <w:shd w:val="clear" w:color="DDEBF7" w:fill="DDEBF7"/>
            <w:noWrap/>
            <w:vAlign w:val="center"/>
            <w:hideMark/>
          </w:tcPr>
          <w:p w14:paraId="1B49DEE0" w14:textId="77777777" w:rsidR="00A0244C" w:rsidRPr="00BC1ABD" w:rsidRDefault="00A0244C" w:rsidP="007354E3">
            <w:pPr>
              <w:spacing w:after="0" w:line="240" w:lineRule="auto"/>
              <w:jc w:val="center"/>
              <w:rPr>
                <w:rFonts w:eastAsia="Times New Roman" w:cs="Calibri"/>
                <w:b/>
                <w:color w:val="000000"/>
                <w:lang w:val="en-GB" w:eastAsia="sl-SI"/>
              </w:rPr>
            </w:pPr>
          </w:p>
        </w:tc>
        <w:tc>
          <w:tcPr>
            <w:tcW w:w="2723" w:type="dxa"/>
            <w:tcBorders>
              <w:left w:val="nil"/>
              <w:bottom w:val="single" w:sz="4" w:space="0" w:color="9BC2E6"/>
              <w:right w:val="nil"/>
            </w:tcBorders>
            <w:shd w:val="clear" w:color="DDEBF7" w:fill="FFEB9C"/>
            <w:noWrap/>
            <w:vAlign w:val="center"/>
            <w:hideMark/>
          </w:tcPr>
          <w:p w14:paraId="7BF7FEEE" w14:textId="77777777" w:rsidR="00A0244C" w:rsidRPr="00BC1ABD" w:rsidRDefault="00A0244C" w:rsidP="007354E3">
            <w:pPr>
              <w:spacing w:after="0" w:line="240" w:lineRule="auto"/>
              <w:jc w:val="center"/>
              <w:rPr>
                <w:rFonts w:eastAsia="Times New Roman" w:cs="Calibri"/>
                <w:b/>
                <w:color w:val="9C6500"/>
                <w:lang w:val="en-GB" w:eastAsia="sl-SI"/>
              </w:rPr>
            </w:pPr>
          </w:p>
        </w:tc>
        <w:tc>
          <w:tcPr>
            <w:tcW w:w="1276" w:type="dxa"/>
            <w:tcBorders>
              <w:left w:val="nil"/>
              <w:bottom w:val="single" w:sz="4" w:space="0" w:color="9BC2E6"/>
              <w:right w:val="nil"/>
            </w:tcBorders>
            <w:shd w:val="clear" w:color="DDEBF7" w:fill="DDEBF7"/>
            <w:noWrap/>
            <w:vAlign w:val="bottom"/>
            <w:hideMark/>
          </w:tcPr>
          <w:p w14:paraId="73FBDC34" w14:textId="77777777" w:rsidR="00A0244C" w:rsidRPr="00BC1ABD" w:rsidRDefault="00A0244C" w:rsidP="007354E3">
            <w:pPr>
              <w:spacing w:after="0" w:line="240" w:lineRule="auto"/>
              <w:jc w:val="right"/>
              <w:rPr>
                <w:rFonts w:eastAsia="Times New Roman" w:cs="Calibri"/>
                <w:b/>
                <w:color w:val="000000"/>
                <w:lang w:val="en-GB" w:eastAsia="sl-SI"/>
              </w:rPr>
            </w:pPr>
            <w:r w:rsidRPr="00BC1ABD">
              <w:rPr>
                <w:rFonts w:eastAsia="Times New Roman" w:cs="Calibri"/>
                <w:b/>
                <w:color w:val="000000"/>
                <w:lang w:val="en-GB" w:eastAsia="sl-SI"/>
              </w:rPr>
              <w:t>272,738</w:t>
            </w:r>
          </w:p>
        </w:tc>
        <w:tc>
          <w:tcPr>
            <w:tcW w:w="1190" w:type="dxa"/>
            <w:tcBorders>
              <w:left w:val="nil"/>
              <w:bottom w:val="single" w:sz="4" w:space="0" w:color="9BC2E6"/>
              <w:right w:val="nil"/>
            </w:tcBorders>
            <w:shd w:val="clear" w:color="DDEBF7" w:fill="DDEBF7"/>
            <w:noWrap/>
            <w:vAlign w:val="bottom"/>
            <w:hideMark/>
          </w:tcPr>
          <w:p w14:paraId="203BBEE3" w14:textId="77777777" w:rsidR="00A0244C" w:rsidRPr="00BC1ABD" w:rsidRDefault="00A0244C" w:rsidP="007354E3">
            <w:pPr>
              <w:spacing w:after="0" w:line="240" w:lineRule="auto"/>
              <w:jc w:val="right"/>
              <w:rPr>
                <w:rFonts w:eastAsia="Times New Roman" w:cs="Calibri"/>
                <w:b/>
                <w:color w:val="000000"/>
                <w:lang w:val="en-GB" w:eastAsia="sl-SI"/>
              </w:rPr>
            </w:pPr>
            <w:r w:rsidRPr="00BC1ABD">
              <w:rPr>
                <w:rFonts w:eastAsia="Times New Roman" w:cs="Calibri"/>
                <w:b/>
                <w:color w:val="000000"/>
                <w:lang w:val="en-GB" w:eastAsia="sl-SI"/>
              </w:rPr>
              <w:t>82,737</w:t>
            </w:r>
          </w:p>
        </w:tc>
        <w:tc>
          <w:tcPr>
            <w:tcW w:w="1421" w:type="dxa"/>
            <w:tcBorders>
              <w:left w:val="nil"/>
              <w:bottom w:val="single" w:sz="4" w:space="0" w:color="9BC2E6"/>
              <w:right w:val="single" w:sz="4" w:space="0" w:color="9BC2E6"/>
            </w:tcBorders>
            <w:shd w:val="clear" w:color="DDEBF7" w:fill="DDEBF7"/>
            <w:noWrap/>
            <w:vAlign w:val="bottom"/>
            <w:hideMark/>
          </w:tcPr>
          <w:p w14:paraId="2F16D804" w14:textId="77777777" w:rsidR="00A0244C" w:rsidRPr="00BC1ABD" w:rsidRDefault="00A0244C" w:rsidP="007354E3">
            <w:pPr>
              <w:spacing w:after="0" w:line="240" w:lineRule="auto"/>
              <w:jc w:val="right"/>
              <w:rPr>
                <w:rFonts w:eastAsia="Times New Roman" w:cs="Calibri"/>
                <w:b/>
                <w:color w:val="000000"/>
                <w:lang w:val="en-GB" w:eastAsia="sl-SI"/>
              </w:rPr>
            </w:pPr>
            <w:r w:rsidRPr="00BC1ABD">
              <w:rPr>
                <w:rFonts w:eastAsia="Times New Roman" w:cs="Calibri"/>
                <w:b/>
                <w:color w:val="000000"/>
                <w:lang w:val="en-GB" w:eastAsia="sl-SI"/>
              </w:rPr>
              <w:t>92,594</w:t>
            </w:r>
          </w:p>
        </w:tc>
      </w:tr>
    </w:tbl>
    <w:p w14:paraId="6C718E0B" w14:textId="77777777" w:rsidR="00A0244C" w:rsidRPr="00BC1ABD" w:rsidRDefault="00A0244C" w:rsidP="00A0244C">
      <w:pPr>
        <w:jc w:val="center"/>
        <w:rPr>
          <w:rFonts w:cs="Arial"/>
          <w:sz w:val="4"/>
          <w:szCs w:val="4"/>
          <w:lang w:val="en-GB"/>
        </w:rPr>
      </w:pPr>
    </w:p>
    <w:p w14:paraId="5B633FDE"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ComCom questionnaire on coverage and ComCom data</w:t>
      </w:r>
    </w:p>
    <w:p w14:paraId="32E14C0B" w14:textId="3B2C9288" w:rsidR="00793E5F" w:rsidRPr="003336AC" w:rsidRDefault="00A0244C" w:rsidP="003336AC">
      <w:pPr>
        <w:jc w:val="both"/>
        <w:rPr>
          <w:rFonts w:cs="Arial"/>
          <w:sz w:val="24"/>
          <w:szCs w:val="24"/>
          <w:lang w:val="en-GB"/>
        </w:rPr>
      </w:pPr>
      <w:r w:rsidRPr="00BC1ABD">
        <w:rPr>
          <w:rFonts w:cs="Arial"/>
          <w:sz w:val="24"/>
          <w:szCs w:val="24"/>
          <w:lang w:val="en-GB"/>
        </w:rPr>
        <w:t>The list of the settlements which tend towards contestability are:</w:t>
      </w:r>
    </w:p>
    <w:p w14:paraId="5EB7BC8F" w14:textId="0F0AD9D1" w:rsidR="00A0244C" w:rsidRPr="00BC1ABD" w:rsidRDefault="00A0244C" w:rsidP="00A0244C">
      <w:pPr>
        <w:pStyle w:val="Caption"/>
        <w:jc w:val="center"/>
        <w:rPr>
          <w:rFonts w:cs="Arial"/>
          <w:b/>
          <w:sz w:val="24"/>
          <w:szCs w:val="24"/>
          <w:lang w:val="en-GB"/>
        </w:rPr>
      </w:pPr>
      <w:bookmarkStart w:id="331" w:name="_Toc152931425"/>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74</w:t>
      </w:r>
      <w:r w:rsidRPr="00BC1ABD">
        <w:rPr>
          <w:lang w:val="en-GB"/>
        </w:rPr>
        <w:fldChar w:fldCharType="end"/>
      </w:r>
      <w:r w:rsidRPr="00BC1ABD">
        <w:rPr>
          <w:lang w:val="en-GB"/>
        </w:rPr>
        <w:t>: List of settlements which tend towards contestability</w:t>
      </w:r>
      <w:bookmarkEnd w:id="331"/>
      <w:r w:rsidRPr="00BC1ABD">
        <w:rPr>
          <w:lang w:val="en-GB"/>
        </w:rPr>
        <w:t xml:space="preserve"> </w:t>
      </w:r>
    </w:p>
    <w:tbl>
      <w:tblPr>
        <w:tblW w:w="9686" w:type="dxa"/>
        <w:jc w:val="center"/>
        <w:tblCellMar>
          <w:left w:w="70" w:type="dxa"/>
          <w:right w:w="70" w:type="dxa"/>
        </w:tblCellMar>
        <w:tblLook w:val="04A0" w:firstRow="1" w:lastRow="0" w:firstColumn="1" w:lastColumn="0" w:noHBand="0" w:noVBand="1"/>
      </w:tblPr>
      <w:tblGrid>
        <w:gridCol w:w="1767"/>
        <w:gridCol w:w="1831"/>
        <w:gridCol w:w="2467"/>
        <w:gridCol w:w="1155"/>
        <w:gridCol w:w="1210"/>
        <w:gridCol w:w="1286"/>
      </w:tblGrid>
      <w:tr w:rsidR="00A0244C" w:rsidRPr="00BC1ABD" w14:paraId="2DD424E0" w14:textId="77777777" w:rsidTr="007C4A5D">
        <w:trPr>
          <w:trHeight w:val="516"/>
          <w:jc w:val="center"/>
        </w:trPr>
        <w:tc>
          <w:tcPr>
            <w:tcW w:w="1767" w:type="dxa"/>
            <w:shd w:val="clear" w:color="5B9BD5" w:fill="5B9BD5"/>
            <w:vAlign w:val="bottom"/>
            <w:hideMark/>
          </w:tcPr>
          <w:p w14:paraId="49C99A88" w14:textId="77777777"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Municipality</w:t>
            </w:r>
          </w:p>
        </w:tc>
        <w:tc>
          <w:tcPr>
            <w:tcW w:w="1831" w:type="dxa"/>
            <w:shd w:val="clear" w:color="5B9BD5" w:fill="5B9BD5"/>
            <w:vAlign w:val="bottom"/>
            <w:hideMark/>
          </w:tcPr>
          <w:p w14:paraId="563A326A" w14:textId="77777777"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Settlement</w:t>
            </w:r>
          </w:p>
        </w:tc>
        <w:tc>
          <w:tcPr>
            <w:tcW w:w="2467" w:type="dxa"/>
            <w:shd w:val="clear" w:color="5B9BD5" w:fill="5B9BD5"/>
            <w:vAlign w:val="bottom"/>
            <w:hideMark/>
          </w:tcPr>
          <w:p w14:paraId="11ACF2A3" w14:textId="18686749"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Contestable</w:t>
            </w:r>
          </w:p>
        </w:tc>
        <w:tc>
          <w:tcPr>
            <w:tcW w:w="1155" w:type="dxa"/>
            <w:shd w:val="clear" w:color="5B9BD5" w:fill="5B9BD5"/>
            <w:vAlign w:val="bottom"/>
            <w:hideMark/>
          </w:tcPr>
          <w:p w14:paraId="32E520CC" w14:textId="77777777" w:rsidR="00A0244C" w:rsidRPr="00BC1ABD" w:rsidRDefault="00A0244C" w:rsidP="007C4A5D">
            <w:pPr>
              <w:spacing w:after="0" w:line="240" w:lineRule="auto"/>
              <w:jc w:val="center"/>
              <w:rPr>
                <w:rFonts w:eastAsia="Times New Roman" w:cs="Calibri"/>
                <w:b/>
                <w:bCs/>
                <w:color w:val="FFFFFF"/>
                <w:lang w:val="en-GB" w:eastAsia="sl-SI"/>
              </w:rPr>
            </w:pPr>
            <w:r w:rsidRPr="00BC1ABD">
              <w:rPr>
                <w:rFonts w:eastAsia="Times New Roman" w:cs="Calibri"/>
                <w:b/>
                <w:bCs/>
                <w:color w:val="FFFFFF"/>
                <w:lang w:val="en-GB" w:eastAsia="sl-SI"/>
              </w:rPr>
              <w:t>Population</w:t>
            </w:r>
          </w:p>
        </w:tc>
        <w:tc>
          <w:tcPr>
            <w:tcW w:w="1180" w:type="dxa"/>
            <w:shd w:val="clear" w:color="5B9BD5" w:fill="5B9BD5"/>
            <w:vAlign w:val="bottom"/>
            <w:hideMark/>
          </w:tcPr>
          <w:p w14:paraId="1B27F3D3" w14:textId="46AF06D4" w:rsidR="00A0244C" w:rsidRPr="00BC1ABD" w:rsidRDefault="007C4A5D" w:rsidP="007C4A5D">
            <w:pPr>
              <w:spacing w:after="0" w:line="240" w:lineRule="auto"/>
              <w:jc w:val="center"/>
              <w:rPr>
                <w:rFonts w:eastAsia="Times New Roman" w:cs="Calibri"/>
                <w:b/>
                <w:bCs/>
                <w:color w:val="FFFFFF"/>
                <w:lang w:val="en-GB" w:eastAsia="sl-SI"/>
              </w:rPr>
            </w:pPr>
            <w:r>
              <w:rPr>
                <w:rFonts w:eastAsia="Times New Roman" w:cs="Calibri"/>
                <w:b/>
                <w:bCs/>
                <w:color w:val="FFFFFF"/>
                <w:lang w:val="en-GB" w:eastAsia="sl-SI"/>
              </w:rPr>
              <w:t>H</w:t>
            </w:r>
            <w:r w:rsidR="00A0244C" w:rsidRPr="00BC1ABD">
              <w:rPr>
                <w:rFonts w:eastAsia="Times New Roman" w:cs="Calibri"/>
                <w:b/>
                <w:bCs/>
                <w:color w:val="FFFFFF"/>
                <w:lang w:val="en-GB" w:eastAsia="sl-SI"/>
              </w:rPr>
              <w:t>ouseholds</w:t>
            </w:r>
          </w:p>
        </w:tc>
        <w:tc>
          <w:tcPr>
            <w:tcW w:w="1286" w:type="dxa"/>
            <w:shd w:val="clear" w:color="5B9BD5" w:fill="5B9BD5"/>
            <w:vAlign w:val="bottom"/>
            <w:hideMark/>
          </w:tcPr>
          <w:p w14:paraId="66C1A497" w14:textId="5238C104" w:rsidR="00A0244C" w:rsidRPr="00BC1ABD" w:rsidRDefault="007C4A5D" w:rsidP="007C4A5D">
            <w:pPr>
              <w:spacing w:after="0" w:line="240" w:lineRule="auto"/>
              <w:jc w:val="center"/>
              <w:rPr>
                <w:rFonts w:eastAsia="Times New Roman" w:cs="Calibri"/>
                <w:b/>
                <w:bCs/>
                <w:color w:val="FFFFFF"/>
                <w:lang w:val="en-GB" w:eastAsia="sl-SI"/>
              </w:rPr>
            </w:pPr>
            <w:r>
              <w:rPr>
                <w:rFonts w:eastAsia="Times New Roman" w:cs="Calibri"/>
                <w:b/>
                <w:bCs/>
                <w:color w:val="FFFFFF"/>
                <w:lang w:val="en-GB" w:eastAsia="sl-SI"/>
              </w:rPr>
              <w:t>S</w:t>
            </w:r>
            <w:r w:rsidR="00A0244C" w:rsidRPr="00BC1ABD">
              <w:rPr>
                <w:rFonts w:eastAsia="Times New Roman" w:cs="Calibri"/>
                <w:b/>
                <w:bCs/>
                <w:color w:val="FFFFFF"/>
                <w:lang w:val="en-GB" w:eastAsia="sl-SI"/>
              </w:rPr>
              <w:t>ubscribers total</w:t>
            </w:r>
          </w:p>
        </w:tc>
      </w:tr>
      <w:tr w:rsidR="00A0244C" w:rsidRPr="00BC1ABD" w14:paraId="31FE413F" w14:textId="77777777" w:rsidTr="007C4A5D">
        <w:trPr>
          <w:trHeight w:val="263"/>
          <w:jc w:val="center"/>
        </w:trPr>
        <w:tc>
          <w:tcPr>
            <w:tcW w:w="1767" w:type="dxa"/>
            <w:shd w:val="clear" w:color="DDEBF7" w:fill="DDEBF7"/>
            <w:noWrap/>
            <w:vAlign w:val="center"/>
            <w:hideMark/>
          </w:tcPr>
          <w:p w14:paraId="3E976E0E" w14:textId="77777777" w:rsidR="00A0244C" w:rsidRPr="00BC1ABD" w:rsidRDefault="00A0244C"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 xml:space="preserve">Kvemo Kartli </w:t>
            </w:r>
          </w:p>
        </w:tc>
        <w:tc>
          <w:tcPr>
            <w:tcW w:w="1831" w:type="dxa"/>
            <w:shd w:val="clear" w:color="DDEBF7" w:fill="DDEBF7"/>
            <w:noWrap/>
            <w:vAlign w:val="center"/>
            <w:hideMark/>
          </w:tcPr>
          <w:p w14:paraId="5265F044" w14:textId="14106ADA" w:rsidR="00A0244C" w:rsidRPr="00BC1ABD" w:rsidRDefault="00EB2ABF" w:rsidP="007354E3">
            <w:pPr>
              <w:spacing w:after="0" w:line="240" w:lineRule="auto"/>
              <w:jc w:val="center"/>
              <w:rPr>
                <w:rFonts w:eastAsia="Times New Roman" w:cs="Calibri"/>
                <w:color w:val="000000"/>
                <w:lang w:val="en-GB" w:eastAsia="sl-SI"/>
              </w:rPr>
            </w:pPr>
            <w:r>
              <w:rPr>
                <w:rFonts w:eastAsia="Times New Roman" w:cs="Calibri"/>
                <w:color w:val="000000"/>
                <w:lang w:val="en-GB" w:eastAsia="sl-SI"/>
              </w:rPr>
              <w:t>Marneuli</w:t>
            </w:r>
          </w:p>
        </w:tc>
        <w:tc>
          <w:tcPr>
            <w:tcW w:w="2467" w:type="dxa"/>
            <w:shd w:val="clear" w:color="DDEBF7" w:fill="FFEB9C"/>
            <w:noWrap/>
            <w:vAlign w:val="center"/>
            <w:hideMark/>
          </w:tcPr>
          <w:p w14:paraId="2BBF5119" w14:textId="77777777" w:rsidR="00A0244C" w:rsidRPr="00BC1ABD" w:rsidRDefault="00A0244C" w:rsidP="007354E3">
            <w:pPr>
              <w:spacing w:after="0" w:line="240" w:lineRule="auto"/>
              <w:jc w:val="center"/>
              <w:rPr>
                <w:rFonts w:eastAsia="Times New Roman" w:cs="Calibri"/>
                <w:color w:val="9C6500"/>
                <w:lang w:val="en-GB" w:eastAsia="sl-SI"/>
              </w:rPr>
            </w:pPr>
            <w:r w:rsidRPr="00BC1ABD">
              <w:rPr>
                <w:rFonts w:eastAsia="Times New Roman" w:cs="Calibri"/>
                <w:color w:val="9C6500"/>
                <w:lang w:val="en-GB" w:eastAsia="sl-SI"/>
              </w:rPr>
              <w:t>TENDS TO CONTESTABLE</w:t>
            </w:r>
          </w:p>
        </w:tc>
        <w:tc>
          <w:tcPr>
            <w:tcW w:w="1155" w:type="dxa"/>
            <w:shd w:val="clear" w:color="DDEBF7" w:fill="DDEBF7"/>
            <w:noWrap/>
            <w:vAlign w:val="bottom"/>
            <w:hideMark/>
          </w:tcPr>
          <w:p w14:paraId="6596F13D"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20,211</w:t>
            </w:r>
          </w:p>
        </w:tc>
        <w:tc>
          <w:tcPr>
            <w:tcW w:w="1180" w:type="dxa"/>
            <w:shd w:val="clear" w:color="DDEBF7" w:fill="DDEBF7"/>
            <w:noWrap/>
            <w:vAlign w:val="bottom"/>
            <w:hideMark/>
          </w:tcPr>
          <w:p w14:paraId="6AB1A41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6,650</w:t>
            </w:r>
          </w:p>
        </w:tc>
        <w:tc>
          <w:tcPr>
            <w:tcW w:w="1286" w:type="dxa"/>
            <w:shd w:val="clear" w:color="DDEBF7" w:fill="DDEBF7"/>
            <w:noWrap/>
            <w:vAlign w:val="bottom"/>
            <w:hideMark/>
          </w:tcPr>
          <w:p w14:paraId="3BF14559" w14:textId="77777777" w:rsidR="00A0244C" w:rsidRPr="00BC1ABD" w:rsidRDefault="00A0244C" w:rsidP="007354E3">
            <w:pPr>
              <w:spacing w:after="0" w:line="240" w:lineRule="auto"/>
              <w:jc w:val="right"/>
              <w:rPr>
                <w:rFonts w:eastAsia="Times New Roman" w:cs="Calibri"/>
                <w:color w:val="000000"/>
                <w:lang w:val="en-GB" w:eastAsia="sl-SI"/>
              </w:rPr>
            </w:pPr>
            <w:r w:rsidRPr="00BC1ABD">
              <w:rPr>
                <w:rFonts w:eastAsia="Times New Roman" w:cs="Calibri"/>
                <w:color w:val="000000"/>
                <w:lang w:val="en-GB" w:eastAsia="sl-SI"/>
              </w:rPr>
              <w:t>4,264</w:t>
            </w:r>
          </w:p>
        </w:tc>
      </w:tr>
      <w:tr w:rsidR="00A0244C" w:rsidRPr="00BC1ABD" w14:paraId="4B7BF530" w14:textId="77777777" w:rsidTr="007C4A5D">
        <w:trPr>
          <w:trHeight w:val="263"/>
          <w:jc w:val="center"/>
        </w:trPr>
        <w:tc>
          <w:tcPr>
            <w:tcW w:w="1767" w:type="dxa"/>
            <w:tcBorders>
              <w:left w:val="single" w:sz="4" w:space="0" w:color="9BC2E6"/>
              <w:bottom w:val="single" w:sz="4" w:space="0" w:color="9BC2E6"/>
              <w:right w:val="nil"/>
            </w:tcBorders>
            <w:shd w:val="clear" w:color="DDEBF7" w:fill="DDEBF7"/>
            <w:noWrap/>
            <w:vAlign w:val="center"/>
            <w:hideMark/>
          </w:tcPr>
          <w:p w14:paraId="0219E688" w14:textId="77777777" w:rsidR="00A0244C" w:rsidRPr="00BC1ABD" w:rsidRDefault="008E7B02" w:rsidP="007354E3">
            <w:pPr>
              <w:spacing w:after="0" w:line="240" w:lineRule="auto"/>
              <w:jc w:val="center"/>
              <w:rPr>
                <w:rFonts w:eastAsia="Times New Roman" w:cs="Calibri"/>
                <w:color w:val="000000"/>
                <w:lang w:val="en-GB" w:eastAsia="sl-SI"/>
              </w:rPr>
            </w:pPr>
            <w:r w:rsidRPr="00BC1ABD">
              <w:rPr>
                <w:rFonts w:eastAsia="Times New Roman" w:cs="Calibri"/>
                <w:color w:val="000000"/>
                <w:lang w:val="en-GB" w:eastAsia="sl-SI"/>
              </w:rPr>
              <w:t>Imereti</w:t>
            </w:r>
          </w:p>
        </w:tc>
        <w:tc>
          <w:tcPr>
            <w:tcW w:w="1831" w:type="dxa"/>
            <w:tcBorders>
              <w:left w:val="nil"/>
              <w:bottom w:val="single" w:sz="4" w:space="0" w:color="9BC2E6"/>
              <w:right w:val="nil"/>
            </w:tcBorders>
            <w:shd w:val="clear" w:color="DDEBF7" w:fill="DDEBF7"/>
            <w:noWrap/>
            <w:vAlign w:val="center"/>
            <w:hideMark/>
          </w:tcPr>
          <w:p w14:paraId="36AD9E50" w14:textId="54DFD97A" w:rsidR="00A0244C" w:rsidRPr="00BC1ABD" w:rsidRDefault="00EB2ABF" w:rsidP="007354E3">
            <w:pPr>
              <w:spacing w:after="0" w:line="240" w:lineRule="auto"/>
              <w:jc w:val="center"/>
              <w:rPr>
                <w:rFonts w:eastAsia="Times New Roman" w:cs="Calibri"/>
                <w:color w:val="000000"/>
                <w:lang w:val="en-GB" w:eastAsia="sl-SI"/>
              </w:rPr>
            </w:pPr>
            <w:r>
              <w:rPr>
                <w:rFonts w:eastAsia="Times New Roman" w:cs="Calibri"/>
                <w:color w:val="000000"/>
                <w:lang w:val="en-GB" w:eastAsia="sl-SI"/>
              </w:rPr>
              <w:t>Samtredia</w:t>
            </w:r>
          </w:p>
        </w:tc>
        <w:tc>
          <w:tcPr>
            <w:tcW w:w="2467" w:type="dxa"/>
            <w:tcBorders>
              <w:left w:val="nil"/>
              <w:bottom w:val="single" w:sz="4" w:space="0" w:color="9BC2E6"/>
              <w:right w:val="nil"/>
            </w:tcBorders>
            <w:shd w:val="clear" w:color="DDEBF7" w:fill="FFEB9C"/>
            <w:noWrap/>
            <w:vAlign w:val="center"/>
            <w:hideMark/>
          </w:tcPr>
          <w:p w14:paraId="3D9F31AA" w14:textId="77777777" w:rsidR="00A0244C" w:rsidRPr="00BC1ABD" w:rsidRDefault="00A0244C" w:rsidP="007354E3">
            <w:pPr>
              <w:spacing w:after="0" w:line="240" w:lineRule="auto"/>
              <w:jc w:val="center"/>
              <w:rPr>
                <w:rFonts w:eastAsia="Times New Roman" w:cs="Calibri"/>
                <w:color w:val="9C6500"/>
                <w:lang w:val="en-GB" w:eastAsia="sl-SI"/>
              </w:rPr>
            </w:pPr>
            <w:r w:rsidRPr="00BC1ABD">
              <w:rPr>
                <w:rFonts w:eastAsia="Times New Roman" w:cs="Calibri"/>
                <w:color w:val="9C6500"/>
                <w:lang w:val="en-GB" w:eastAsia="sl-SI"/>
              </w:rPr>
              <w:t>TENDS TO CONTESTABLE</w:t>
            </w:r>
          </w:p>
        </w:tc>
        <w:tc>
          <w:tcPr>
            <w:tcW w:w="1155" w:type="dxa"/>
            <w:tcBorders>
              <w:left w:val="nil"/>
              <w:bottom w:val="single" w:sz="4" w:space="0" w:color="9BC2E6"/>
              <w:right w:val="nil"/>
            </w:tcBorders>
            <w:shd w:val="clear" w:color="DDEBF7" w:fill="DDEBF7"/>
            <w:noWrap/>
            <w:vAlign w:val="bottom"/>
            <w:hideMark/>
          </w:tcPr>
          <w:p w14:paraId="1F4125FE" w14:textId="77777777" w:rsidR="00A0244C" w:rsidRPr="00BC1ABD" w:rsidRDefault="00955DCE" w:rsidP="00955DCE">
            <w:pPr>
              <w:spacing w:after="0" w:line="240" w:lineRule="auto"/>
              <w:jc w:val="right"/>
              <w:rPr>
                <w:rFonts w:eastAsia="Times New Roman" w:cs="Calibri"/>
                <w:color w:val="000000"/>
                <w:lang w:val="en-GB"/>
              </w:rPr>
            </w:pPr>
            <w:r w:rsidRPr="00BC1ABD">
              <w:rPr>
                <w:rFonts w:cs="Calibri"/>
                <w:color w:val="000000"/>
                <w:lang w:val="en-GB"/>
              </w:rPr>
              <w:t>25,318</w:t>
            </w:r>
          </w:p>
        </w:tc>
        <w:tc>
          <w:tcPr>
            <w:tcW w:w="1180" w:type="dxa"/>
            <w:tcBorders>
              <w:left w:val="nil"/>
              <w:bottom w:val="single" w:sz="4" w:space="0" w:color="9BC2E6"/>
              <w:right w:val="nil"/>
            </w:tcBorders>
            <w:shd w:val="clear" w:color="DDEBF7" w:fill="DDEBF7"/>
            <w:noWrap/>
            <w:vAlign w:val="bottom"/>
            <w:hideMark/>
          </w:tcPr>
          <w:p w14:paraId="215B55F2" w14:textId="77777777" w:rsidR="00A0244C" w:rsidRPr="00BC1ABD" w:rsidRDefault="00955DCE" w:rsidP="00955DCE">
            <w:pPr>
              <w:spacing w:after="0" w:line="240" w:lineRule="auto"/>
              <w:jc w:val="right"/>
              <w:rPr>
                <w:rFonts w:eastAsia="Times New Roman" w:cs="Calibri"/>
                <w:color w:val="000000"/>
                <w:lang w:val="en-GB"/>
              </w:rPr>
            </w:pPr>
            <w:r w:rsidRPr="00BC1ABD">
              <w:rPr>
                <w:rFonts w:cs="Calibri"/>
                <w:color w:val="000000"/>
                <w:lang w:val="en-GB"/>
              </w:rPr>
              <w:t>7,774</w:t>
            </w:r>
          </w:p>
        </w:tc>
        <w:tc>
          <w:tcPr>
            <w:tcW w:w="1286" w:type="dxa"/>
            <w:tcBorders>
              <w:left w:val="nil"/>
              <w:bottom w:val="single" w:sz="4" w:space="0" w:color="9BC2E6"/>
              <w:right w:val="single" w:sz="4" w:space="0" w:color="9BC2E6"/>
            </w:tcBorders>
            <w:shd w:val="clear" w:color="DDEBF7" w:fill="DDEBF7"/>
            <w:noWrap/>
            <w:vAlign w:val="bottom"/>
            <w:hideMark/>
          </w:tcPr>
          <w:p w14:paraId="47FCE221" w14:textId="77777777" w:rsidR="00A0244C" w:rsidRPr="00BC1ABD" w:rsidRDefault="00955DCE" w:rsidP="00496627">
            <w:pPr>
              <w:spacing w:after="0" w:line="240" w:lineRule="auto"/>
              <w:jc w:val="right"/>
              <w:rPr>
                <w:rFonts w:eastAsia="Times New Roman" w:cs="Calibri"/>
                <w:color w:val="000000"/>
                <w:lang w:val="en-GB"/>
              </w:rPr>
            </w:pPr>
            <w:r w:rsidRPr="00BC1ABD">
              <w:rPr>
                <w:rFonts w:cs="Calibri"/>
                <w:color w:val="000000"/>
                <w:lang w:val="en-GB"/>
              </w:rPr>
              <w:t>6,208</w:t>
            </w:r>
          </w:p>
        </w:tc>
      </w:tr>
      <w:tr w:rsidR="00A0244C" w:rsidRPr="00BC1ABD" w14:paraId="5127ABB7" w14:textId="77777777" w:rsidTr="007C4A5D">
        <w:trPr>
          <w:trHeight w:val="263"/>
          <w:jc w:val="center"/>
        </w:trPr>
        <w:tc>
          <w:tcPr>
            <w:tcW w:w="1767" w:type="dxa"/>
            <w:tcBorders>
              <w:left w:val="single" w:sz="4" w:space="0" w:color="9BC2E6"/>
              <w:bottom w:val="single" w:sz="4" w:space="0" w:color="9BC2E6"/>
              <w:right w:val="nil"/>
            </w:tcBorders>
            <w:shd w:val="clear" w:color="DDEBF7" w:fill="DDEBF7"/>
            <w:noWrap/>
            <w:vAlign w:val="center"/>
            <w:hideMark/>
          </w:tcPr>
          <w:p w14:paraId="6D7A0D2C" w14:textId="77777777" w:rsidR="00A0244C" w:rsidRPr="00BC1ABD" w:rsidRDefault="00A0244C" w:rsidP="007354E3">
            <w:pPr>
              <w:spacing w:after="0" w:line="240" w:lineRule="auto"/>
              <w:jc w:val="center"/>
              <w:rPr>
                <w:rFonts w:eastAsia="Times New Roman" w:cs="Calibri"/>
                <w:b/>
                <w:color w:val="000000"/>
                <w:lang w:val="en-GB" w:eastAsia="sl-SI"/>
              </w:rPr>
            </w:pPr>
            <w:r w:rsidRPr="00BC1ABD">
              <w:rPr>
                <w:rFonts w:eastAsia="Times New Roman" w:cs="Calibri"/>
                <w:b/>
                <w:color w:val="000000"/>
                <w:lang w:val="en-GB" w:eastAsia="sl-SI"/>
              </w:rPr>
              <w:t>SUM</w:t>
            </w:r>
          </w:p>
        </w:tc>
        <w:tc>
          <w:tcPr>
            <w:tcW w:w="1831" w:type="dxa"/>
            <w:tcBorders>
              <w:left w:val="nil"/>
              <w:bottom w:val="single" w:sz="4" w:space="0" w:color="9BC2E6"/>
              <w:right w:val="nil"/>
            </w:tcBorders>
            <w:shd w:val="clear" w:color="DDEBF7" w:fill="DDEBF7"/>
            <w:noWrap/>
            <w:vAlign w:val="center"/>
            <w:hideMark/>
          </w:tcPr>
          <w:p w14:paraId="7E584FE9" w14:textId="77777777" w:rsidR="00A0244C" w:rsidRPr="00BC1ABD" w:rsidRDefault="00A0244C" w:rsidP="007354E3">
            <w:pPr>
              <w:spacing w:after="0" w:line="240" w:lineRule="auto"/>
              <w:jc w:val="center"/>
              <w:rPr>
                <w:rFonts w:eastAsia="Times New Roman" w:cs="Calibri"/>
                <w:b/>
                <w:color w:val="000000"/>
                <w:lang w:val="en-GB" w:eastAsia="sl-SI"/>
              </w:rPr>
            </w:pPr>
          </w:p>
        </w:tc>
        <w:tc>
          <w:tcPr>
            <w:tcW w:w="2467" w:type="dxa"/>
            <w:tcBorders>
              <w:left w:val="nil"/>
              <w:bottom w:val="single" w:sz="4" w:space="0" w:color="9BC2E6"/>
              <w:right w:val="nil"/>
            </w:tcBorders>
            <w:shd w:val="clear" w:color="DDEBF7" w:fill="FFEB9C"/>
            <w:noWrap/>
            <w:vAlign w:val="center"/>
            <w:hideMark/>
          </w:tcPr>
          <w:p w14:paraId="1CFE9276" w14:textId="77777777" w:rsidR="00A0244C" w:rsidRPr="00BC1ABD" w:rsidRDefault="00A0244C" w:rsidP="007354E3">
            <w:pPr>
              <w:spacing w:after="0" w:line="240" w:lineRule="auto"/>
              <w:jc w:val="center"/>
              <w:rPr>
                <w:rFonts w:eastAsia="Times New Roman" w:cs="Calibri"/>
                <w:b/>
                <w:color w:val="9C6500"/>
                <w:lang w:val="en-GB" w:eastAsia="sl-SI"/>
              </w:rPr>
            </w:pPr>
          </w:p>
        </w:tc>
        <w:tc>
          <w:tcPr>
            <w:tcW w:w="1155" w:type="dxa"/>
            <w:tcBorders>
              <w:left w:val="nil"/>
              <w:bottom w:val="single" w:sz="4" w:space="0" w:color="9BC2E6"/>
              <w:right w:val="nil"/>
            </w:tcBorders>
            <w:shd w:val="clear" w:color="DDEBF7" w:fill="DDEBF7"/>
            <w:noWrap/>
            <w:vAlign w:val="bottom"/>
            <w:hideMark/>
          </w:tcPr>
          <w:p w14:paraId="6D45733C" w14:textId="77777777" w:rsidR="00A0244C" w:rsidRPr="00BC1ABD" w:rsidRDefault="00A0244C" w:rsidP="007354E3">
            <w:pPr>
              <w:spacing w:after="0" w:line="240" w:lineRule="auto"/>
              <w:jc w:val="right"/>
              <w:rPr>
                <w:rFonts w:eastAsia="Times New Roman" w:cs="Calibri"/>
                <w:b/>
                <w:color w:val="000000"/>
                <w:lang w:val="en-GB" w:eastAsia="sl-SI"/>
              </w:rPr>
            </w:pPr>
          </w:p>
        </w:tc>
        <w:tc>
          <w:tcPr>
            <w:tcW w:w="1180" w:type="dxa"/>
            <w:tcBorders>
              <w:left w:val="nil"/>
              <w:bottom w:val="single" w:sz="4" w:space="0" w:color="9BC2E6"/>
              <w:right w:val="nil"/>
            </w:tcBorders>
            <w:shd w:val="clear" w:color="DDEBF7" w:fill="DDEBF7"/>
            <w:noWrap/>
            <w:vAlign w:val="bottom"/>
            <w:hideMark/>
          </w:tcPr>
          <w:p w14:paraId="1C62B1BF" w14:textId="77777777" w:rsidR="00A0244C" w:rsidRPr="00BC1ABD" w:rsidRDefault="00A0244C" w:rsidP="007354E3">
            <w:pPr>
              <w:spacing w:after="0" w:line="240" w:lineRule="auto"/>
              <w:jc w:val="right"/>
              <w:rPr>
                <w:rFonts w:eastAsia="Times New Roman" w:cs="Calibri"/>
                <w:b/>
                <w:color w:val="000000"/>
                <w:lang w:val="en-GB" w:eastAsia="sl-SI"/>
              </w:rPr>
            </w:pPr>
          </w:p>
        </w:tc>
        <w:tc>
          <w:tcPr>
            <w:tcW w:w="1286" w:type="dxa"/>
            <w:tcBorders>
              <w:left w:val="nil"/>
              <w:bottom w:val="single" w:sz="4" w:space="0" w:color="9BC2E6"/>
              <w:right w:val="single" w:sz="4" w:space="0" w:color="9BC2E6"/>
            </w:tcBorders>
            <w:shd w:val="clear" w:color="DDEBF7" w:fill="DDEBF7"/>
            <w:noWrap/>
            <w:vAlign w:val="bottom"/>
            <w:hideMark/>
          </w:tcPr>
          <w:p w14:paraId="1149A410" w14:textId="77777777" w:rsidR="00A0244C" w:rsidRPr="00BC1ABD" w:rsidRDefault="00A0244C" w:rsidP="007354E3">
            <w:pPr>
              <w:spacing w:after="0" w:line="240" w:lineRule="auto"/>
              <w:jc w:val="right"/>
              <w:rPr>
                <w:rFonts w:eastAsia="Times New Roman" w:cs="Calibri"/>
                <w:b/>
                <w:color w:val="000000"/>
                <w:lang w:val="en-GB" w:eastAsia="sl-SI"/>
              </w:rPr>
            </w:pPr>
          </w:p>
        </w:tc>
      </w:tr>
    </w:tbl>
    <w:p w14:paraId="79F36444" w14:textId="77777777" w:rsidR="00A0244C" w:rsidRPr="00BC1ABD" w:rsidRDefault="00A0244C" w:rsidP="00A0244C">
      <w:pPr>
        <w:jc w:val="center"/>
        <w:rPr>
          <w:rFonts w:cs="Arial"/>
          <w:sz w:val="4"/>
          <w:szCs w:val="4"/>
          <w:lang w:val="en-GB"/>
        </w:rPr>
      </w:pPr>
    </w:p>
    <w:p w14:paraId="095A8E46" w14:textId="77777777" w:rsidR="00A0244C" w:rsidRPr="00BC1ABD" w:rsidRDefault="00A0244C" w:rsidP="00A0244C">
      <w:pPr>
        <w:jc w:val="center"/>
        <w:rPr>
          <w:rFonts w:cs="Arial"/>
          <w:sz w:val="20"/>
          <w:szCs w:val="20"/>
          <w:lang w:val="en-GB"/>
        </w:rPr>
      </w:pPr>
      <w:r w:rsidRPr="00BC1ABD">
        <w:rPr>
          <w:rFonts w:cs="Arial"/>
          <w:sz w:val="20"/>
          <w:szCs w:val="20"/>
          <w:lang w:val="en-GB"/>
        </w:rPr>
        <w:t>Source: Answers to the Questionnaire on coverage and ComCom data</w:t>
      </w:r>
    </w:p>
    <w:p w14:paraId="7210D9C9" w14:textId="77777777" w:rsidR="00A0244C" w:rsidRPr="00BC1ABD" w:rsidRDefault="00A0244C" w:rsidP="00A0244C">
      <w:pPr>
        <w:rPr>
          <w:rFonts w:cs="Arial"/>
          <w:sz w:val="24"/>
          <w:szCs w:val="24"/>
          <w:lang w:val="en-GB"/>
        </w:rPr>
      </w:pPr>
      <w:r w:rsidRPr="00BC1ABD">
        <w:rPr>
          <w:rFonts w:cs="Arial"/>
          <w:sz w:val="24"/>
          <w:szCs w:val="24"/>
          <w:lang w:val="en-GB"/>
        </w:rPr>
        <w:t>Settlements that have the same level of contestability, based on the above analysis can be grouped together into 3 clusters (groups of settlements), as follows:</w:t>
      </w:r>
    </w:p>
    <w:p w14:paraId="0B7FE35E" w14:textId="30F2F263" w:rsidR="00A0244C" w:rsidRPr="00852C30" w:rsidRDefault="00A0244C" w:rsidP="00722085">
      <w:pPr>
        <w:pStyle w:val="ListParagraph"/>
        <w:numPr>
          <w:ilvl w:val="0"/>
          <w:numId w:val="41"/>
        </w:numPr>
        <w:jc w:val="both"/>
        <w:rPr>
          <w:rFonts w:cs="Arial"/>
          <w:sz w:val="24"/>
          <w:szCs w:val="24"/>
          <w:lang w:val="en-GB"/>
        </w:rPr>
      </w:pPr>
      <w:r w:rsidRPr="00852C30">
        <w:rPr>
          <w:rFonts w:cs="Arial"/>
          <w:b/>
          <w:sz w:val="24"/>
          <w:szCs w:val="24"/>
          <w:lang w:val="en-GB"/>
        </w:rPr>
        <w:t>Cluster I</w:t>
      </w:r>
      <w:r w:rsidRPr="00852C30">
        <w:rPr>
          <w:rFonts w:cs="Arial"/>
          <w:sz w:val="24"/>
          <w:szCs w:val="24"/>
          <w:lang w:val="en-GB"/>
        </w:rPr>
        <w:t xml:space="preserve">: Settlements that are not contestable or do not tend towards contestability. Settlements in </w:t>
      </w:r>
      <w:r w:rsidR="00D25774" w:rsidRPr="00852C30">
        <w:rPr>
          <w:rFonts w:cs="Arial"/>
          <w:sz w:val="24"/>
          <w:szCs w:val="24"/>
          <w:lang w:val="en-GB"/>
        </w:rPr>
        <w:t>"C</w:t>
      </w:r>
      <w:r w:rsidRPr="00852C30">
        <w:rPr>
          <w:rFonts w:cs="Arial"/>
          <w:sz w:val="24"/>
          <w:szCs w:val="24"/>
          <w:lang w:val="en-GB"/>
        </w:rPr>
        <w:t>luster I</w:t>
      </w:r>
      <w:r w:rsidR="00D25774" w:rsidRPr="00852C30">
        <w:rPr>
          <w:rFonts w:cs="Arial"/>
          <w:sz w:val="24"/>
          <w:szCs w:val="24"/>
          <w:lang w:val="en-GB"/>
        </w:rPr>
        <w:t>”</w:t>
      </w:r>
      <w:r w:rsidRPr="00852C30">
        <w:rPr>
          <w:rFonts w:cs="Arial"/>
          <w:sz w:val="24"/>
          <w:szCs w:val="24"/>
          <w:lang w:val="en-GB"/>
        </w:rPr>
        <w:t xml:space="preserve"> need to be regulated with a full set of remedies, as defined in Chapter </w:t>
      </w:r>
      <w:r w:rsidR="00843D2C" w:rsidRPr="00852C30">
        <w:rPr>
          <w:rFonts w:cs="Arial"/>
          <w:sz w:val="24"/>
          <w:szCs w:val="24"/>
          <w:lang w:val="en-GB"/>
        </w:rPr>
        <w:t>8</w:t>
      </w:r>
      <w:r w:rsidRPr="00852C30">
        <w:rPr>
          <w:rFonts w:cs="Arial"/>
          <w:sz w:val="24"/>
          <w:szCs w:val="24"/>
          <w:lang w:val="en-GB"/>
        </w:rPr>
        <w:t xml:space="preserve">. </w:t>
      </w:r>
      <w:r w:rsidR="00D25774" w:rsidRPr="00852C30">
        <w:rPr>
          <w:rFonts w:cs="Arial"/>
          <w:sz w:val="24"/>
          <w:szCs w:val="24"/>
          <w:lang w:val="en-GB"/>
        </w:rPr>
        <w:t>“</w:t>
      </w:r>
      <w:r w:rsidRPr="00852C30">
        <w:rPr>
          <w:rFonts w:cs="Arial"/>
          <w:sz w:val="24"/>
          <w:szCs w:val="24"/>
          <w:lang w:val="en-GB"/>
        </w:rPr>
        <w:t>Cluster I</w:t>
      </w:r>
      <w:r w:rsidR="00D25774" w:rsidRPr="00852C30">
        <w:rPr>
          <w:rFonts w:cs="Arial"/>
          <w:sz w:val="24"/>
          <w:szCs w:val="24"/>
          <w:lang w:val="en-GB"/>
        </w:rPr>
        <w:t>”</w:t>
      </w:r>
      <w:r w:rsidRPr="00852C30">
        <w:rPr>
          <w:rFonts w:cs="Arial"/>
          <w:sz w:val="24"/>
          <w:szCs w:val="24"/>
          <w:lang w:val="en-GB"/>
        </w:rPr>
        <w:t xml:space="preserve"> encompasses all other settlements in Georgia (settlements not listed in </w:t>
      </w:r>
      <w:r w:rsidRPr="00852C30">
        <w:rPr>
          <w:rFonts w:cs="Arial"/>
          <w:sz w:val="24"/>
          <w:szCs w:val="24"/>
          <w:highlight w:val="yellow"/>
          <w:lang w:val="en-GB"/>
        </w:rPr>
        <w:t xml:space="preserve">Figures </w:t>
      </w:r>
      <w:r w:rsidR="00657C6F" w:rsidRPr="00852C30">
        <w:rPr>
          <w:rFonts w:cs="Arial"/>
          <w:sz w:val="24"/>
          <w:szCs w:val="24"/>
          <w:highlight w:val="yellow"/>
          <w:lang w:val="en-GB"/>
        </w:rPr>
        <w:t>7</w:t>
      </w:r>
      <w:r w:rsidR="000E716C" w:rsidRPr="00852C30">
        <w:rPr>
          <w:rFonts w:cs="Arial"/>
          <w:sz w:val="24"/>
          <w:szCs w:val="24"/>
          <w:highlight w:val="yellow"/>
          <w:lang w:val="en-GB"/>
        </w:rPr>
        <w:t>2</w:t>
      </w:r>
      <w:r w:rsidRPr="00852C30">
        <w:rPr>
          <w:rFonts w:cs="Arial"/>
          <w:sz w:val="24"/>
          <w:szCs w:val="24"/>
          <w:highlight w:val="yellow"/>
          <w:lang w:val="en-GB"/>
        </w:rPr>
        <w:t xml:space="preserve">, </w:t>
      </w:r>
      <w:r w:rsidR="00657C6F" w:rsidRPr="00852C30">
        <w:rPr>
          <w:rFonts w:cs="Arial"/>
          <w:sz w:val="24"/>
          <w:szCs w:val="24"/>
          <w:highlight w:val="yellow"/>
          <w:lang w:val="en-GB"/>
        </w:rPr>
        <w:t>7</w:t>
      </w:r>
      <w:r w:rsidR="000E716C" w:rsidRPr="00852C30">
        <w:rPr>
          <w:rFonts w:cs="Arial"/>
          <w:sz w:val="24"/>
          <w:szCs w:val="24"/>
          <w:highlight w:val="yellow"/>
          <w:lang w:val="en-GB"/>
        </w:rPr>
        <w:t>3</w:t>
      </w:r>
      <w:r w:rsidR="00657C6F" w:rsidRPr="00852C30">
        <w:rPr>
          <w:rFonts w:cs="Arial"/>
          <w:sz w:val="24"/>
          <w:szCs w:val="24"/>
          <w:highlight w:val="yellow"/>
          <w:lang w:val="en-GB"/>
        </w:rPr>
        <w:t xml:space="preserve"> </w:t>
      </w:r>
      <w:r w:rsidRPr="00852C30">
        <w:rPr>
          <w:rFonts w:cs="Arial"/>
          <w:sz w:val="24"/>
          <w:szCs w:val="24"/>
          <w:highlight w:val="yellow"/>
          <w:lang w:val="en-GB"/>
        </w:rPr>
        <w:t xml:space="preserve">and </w:t>
      </w:r>
      <w:r w:rsidR="00657C6F" w:rsidRPr="00852C30">
        <w:rPr>
          <w:rFonts w:cs="Arial"/>
          <w:sz w:val="24"/>
          <w:szCs w:val="24"/>
          <w:highlight w:val="yellow"/>
          <w:lang w:val="en-GB"/>
        </w:rPr>
        <w:t>7</w:t>
      </w:r>
      <w:r w:rsidR="000E716C" w:rsidRPr="00852C30">
        <w:rPr>
          <w:rFonts w:cs="Arial"/>
          <w:sz w:val="24"/>
          <w:szCs w:val="24"/>
          <w:highlight w:val="yellow"/>
          <w:lang w:val="en-GB"/>
        </w:rPr>
        <w:t>4</w:t>
      </w:r>
      <w:r w:rsidRPr="00852C30">
        <w:rPr>
          <w:rFonts w:cs="Arial"/>
          <w:sz w:val="24"/>
          <w:szCs w:val="24"/>
          <w:highlight w:val="yellow"/>
          <w:lang w:val="en-GB"/>
        </w:rPr>
        <w:t>).</w:t>
      </w:r>
    </w:p>
    <w:p w14:paraId="44423DA1" w14:textId="73499EBF" w:rsidR="00A0244C" w:rsidRPr="00852C30" w:rsidRDefault="00A0244C" w:rsidP="00722085">
      <w:pPr>
        <w:pStyle w:val="ListParagraph"/>
        <w:numPr>
          <w:ilvl w:val="0"/>
          <w:numId w:val="41"/>
        </w:numPr>
        <w:jc w:val="both"/>
        <w:rPr>
          <w:rFonts w:cs="Arial"/>
          <w:sz w:val="24"/>
          <w:szCs w:val="24"/>
          <w:highlight w:val="yellow"/>
          <w:lang w:val="en-GB"/>
        </w:rPr>
      </w:pPr>
      <w:r w:rsidRPr="00852C30">
        <w:rPr>
          <w:rFonts w:cs="Arial"/>
          <w:b/>
          <w:sz w:val="24"/>
          <w:szCs w:val="24"/>
          <w:lang w:val="en-GB"/>
        </w:rPr>
        <w:t>Cluster II</w:t>
      </w:r>
      <w:r w:rsidRPr="00852C30">
        <w:rPr>
          <w:rFonts w:cs="Arial"/>
          <w:sz w:val="24"/>
          <w:szCs w:val="24"/>
          <w:lang w:val="en-GB"/>
        </w:rPr>
        <w:t xml:space="preserve">: All settlements that tend towards contestability or in the largest cities where there is insufficient data on </w:t>
      </w:r>
      <w:r w:rsidR="00F026B4" w:rsidRPr="00852C30">
        <w:rPr>
          <w:rFonts w:cs="Arial"/>
          <w:sz w:val="24"/>
          <w:szCs w:val="24"/>
          <w:lang w:val="en-GB"/>
        </w:rPr>
        <w:t>FTTx</w:t>
      </w:r>
      <w:r w:rsidRPr="00852C30">
        <w:rPr>
          <w:rFonts w:cs="Arial"/>
          <w:sz w:val="24"/>
          <w:szCs w:val="24"/>
          <w:lang w:val="en-GB"/>
        </w:rPr>
        <w:t xml:space="preserve"> network coverage conditions within the city. Settlements in </w:t>
      </w:r>
      <w:r w:rsidR="00D25774" w:rsidRPr="00852C30">
        <w:rPr>
          <w:rFonts w:cs="Arial"/>
          <w:sz w:val="24"/>
          <w:szCs w:val="24"/>
          <w:lang w:val="en-GB"/>
        </w:rPr>
        <w:t>“C</w:t>
      </w:r>
      <w:r w:rsidRPr="00852C30">
        <w:rPr>
          <w:rFonts w:cs="Arial"/>
          <w:sz w:val="24"/>
          <w:szCs w:val="24"/>
          <w:lang w:val="en-GB"/>
        </w:rPr>
        <w:t>luster II</w:t>
      </w:r>
      <w:r w:rsidR="00D25774" w:rsidRPr="00852C30">
        <w:rPr>
          <w:rFonts w:cs="Arial"/>
          <w:sz w:val="24"/>
          <w:szCs w:val="24"/>
          <w:lang w:val="en-GB"/>
        </w:rPr>
        <w:t>”</w:t>
      </w:r>
      <w:r w:rsidRPr="00852C30">
        <w:rPr>
          <w:rFonts w:cs="Arial"/>
          <w:sz w:val="24"/>
          <w:szCs w:val="24"/>
          <w:lang w:val="en-GB"/>
        </w:rPr>
        <w:t xml:space="preserve"> are considered to be subject to lighter </w:t>
      </w:r>
      <w:r w:rsidRPr="00852C30">
        <w:rPr>
          <w:rFonts w:cs="Arial"/>
          <w:i/>
          <w:iCs/>
          <w:sz w:val="24"/>
          <w:szCs w:val="24"/>
          <w:lang w:val="en-GB"/>
        </w:rPr>
        <w:t>ex-ante</w:t>
      </w:r>
      <w:r w:rsidRPr="00852C30">
        <w:rPr>
          <w:rFonts w:cs="Arial"/>
          <w:sz w:val="24"/>
          <w:szCs w:val="24"/>
          <w:lang w:val="en-GB"/>
        </w:rPr>
        <w:t xml:space="preserve"> regulation, as defined in Chapter </w:t>
      </w:r>
      <w:r w:rsidR="00843D2C" w:rsidRPr="00852C30">
        <w:rPr>
          <w:rFonts w:cs="Arial"/>
          <w:sz w:val="24"/>
          <w:szCs w:val="24"/>
          <w:lang w:val="en-GB"/>
        </w:rPr>
        <w:t>8</w:t>
      </w:r>
      <w:r w:rsidRPr="00852C30">
        <w:rPr>
          <w:rFonts w:cs="Arial"/>
          <w:sz w:val="24"/>
          <w:szCs w:val="24"/>
          <w:lang w:val="en-GB"/>
        </w:rPr>
        <w:t>. The list of settlements where the market tends towards contestability</w:t>
      </w:r>
      <w:r w:rsidRPr="00852C30" w:rsidDel="00A01498">
        <w:rPr>
          <w:rFonts w:cs="Arial"/>
          <w:sz w:val="24"/>
          <w:szCs w:val="24"/>
          <w:lang w:val="en-GB"/>
        </w:rPr>
        <w:t xml:space="preserve"> </w:t>
      </w:r>
      <w:r w:rsidRPr="00852C30">
        <w:rPr>
          <w:rFonts w:cs="Arial"/>
          <w:sz w:val="24"/>
          <w:szCs w:val="24"/>
          <w:lang w:val="en-GB"/>
        </w:rPr>
        <w:t xml:space="preserve">is in Figure </w:t>
      </w:r>
      <w:r w:rsidR="00657C6F" w:rsidRPr="00852C30">
        <w:rPr>
          <w:rFonts w:cs="Arial"/>
          <w:sz w:val="24"/>
          <w:szCs w:val="24"/>
          <w:lang w:val="en-GB"/>
        </w:rPr>
        <w:t>7</w:t>
      </w:r>
      <w:r w:rsidR="000E716C" w:rsidRPr="00852C30">
        <w:rPr>
          <w:rFonts w:cs="Arial"/>
          <w:sz w:val="24"/>
          <w:szCs w:val="24"/>
          <w:lang w:val="en-GB"/>
        </w:rPr>
        <w:t>4</w:t>
      </w:r>
      <w:r w:rsidR="00657C6F" w:rsidRPr="00852C30">
        <w:rPr>
          <w:rFonts w:cs="Arial"/>
          <w:sz w:val="24"/>
          <w:szCs w:val="24"/>
          <w:lang w:val="en-GB"/>
        </w:rPr>
        <w:t xml:space="preserve"> </w:t>
      </w:r>
      <w:r w:rsidRPr="00852C30">
        <w:rPr>
          <w:rFonts w:cs="Arial"/>
          <w:sz w:val="24"/>
          <w:szCs w:val="24"/>
          <w:lang w:val="en-GB"/>
        </w:rPr>
        <w:t xml:space="preserve">and the list of settlements where contestability cannot be estimated as sufficient is </w:t>
      </w:r>
      <w:r w:rsidRPr="00852C30">
        <w:rPr>
          <w:rFonts w:cs="Arial"/>
          <w:sz w:val="24"/>
          <w:szCs w:val="24"/>
          <w:highlight w:val="yellow"/>
          <w:lang w:val="en-GB"/>
        </w:rPr>
        <w:t xml:space="preserve">in Figure </w:t>
      </w:r>
      <w:r w:rsidR="00657C6F" w:rsidRPr="00852C30">
        <w:rPr>
          <w:rFonts w:cs="Arial"/>
          <w:sz w:val="24"/>
          <w:szCs w:val="24"/>
          <w:highlight w:val="yellow"/>
          <w:lang w:val="en-GB"/>
        </w:rPr>
        <w:t>73</w:t>
      </w:r>
      <w:r w:rsidRPr="00852C30">
        <w:rPr>
          <w:rFonts w:cs="Arial"/>
          <w:sz w:val="24"/>
          <w:szCs w:val="24"/>
          <w:highlight w:val="yellow"/>
          <w:lang w:val="en-GB"/>
        </w:rPr>
        <w:t>.</w:t>
      </w:r>
    </w:p>
    <w:p w14:paraId="3C4310F8" w14:textId="6A5BFCF8" w:rsidR="00A0244C" w:rsidRPr="00852C30" w:rsidRDefault="00A0244C" w:rsidP="00722085">
      <w:pPr>
        <w:pStyle w:val="ListParagraph"/>
        <w:numPr>
          <w:ilvl w:val="0"/>
          <w:numId w:val="41"/>
        </w:numPr>
        <w:jc w:val="both"/>
        <w:rPr>
          <w:rFonts w:cs="Arial"/>
          <w:sz w:val="24"/>
          <w:szCs w:val="24"/>
          <w:highlight w:val="yellow"/>
          <w:lang w:val="en-GB"/>
        </w:rPr>
      </w:pPr>
      <w:r w:rsidRPr="00852C30">
        <w:rPr>
          <w:rFonts w:cs="Arial"/>
          <w:b/>
          <w:sz w:val="24"/>
          <w:szCs w:val="24"/>
          <w:lang w:val="en-GB"/>
        </w:rPr>
        <w:t>Cluster III</w:t>
      </w:r>
      <w:r w:rsidRPr="00852C30">
        <w:rPr>
          <w:rFonts w:cs="Arial"/>
          <w:sz w:val="24"/>
          <w:szCs w:val="24"/>
          <w:lang w:val="en-GB"/>
        </w:rPr>
        <w:t xml:space="preserve">: All settlements which appear contestable. Settlements in </w:t>
      </w:r>
      <w:r w:rsidR="001A1816" w:rsidRPr="00852C30">
        <w:rPr>
          <w:rFonts w:cs="Arial"/>
          <w:sz w:val="24"/>
          <w:szCs w:val="24"/>
          <w:lang w:val="en-GB"/>
        </w:rPr>
        <w:t>“C</w:t>
      </w:r>
      <w:r w:rsidRPr="00852C30">
        <w:rPr>
          <w:rFonts w:cs="Arial"/>
          <w:sz w:val="24"/>
          <w:szCs w:val="24"/>
          <w:lang w:val="en-GB"/>
        </w:rPr>
        <w:t>luster III</w:t>
      </w:r>
      <w:r w:rsidR="001A1816" w:rsidRPr="00852C30">
        <w:rPr>
          <w:rFonts w:cs="Arial"/>
          <w:sz w:val="24"/>
          <w:szCs w:val="24"/>
          <w:lang w:val="en-GB"/>
        </w:rPr>
        <w:t>”</w:t>
      </w:r>
      <w:r w:rsidRPr="00852C30">
        <w:rPr>
          <w:rFonts w:cs="Arial"/>
          <w:sz w:val="24"/>
          <w:szCs w:val="24"/>
          <w:lang w:val="en-GB"/>
        </w:rPr>
        <w:t xml:space="preserve"> can be regulated </w:t>
      </w:r>
      <w:r w:rsidR="001A1816" w:rsidRPr="00852C30">
        <w:rPr>
          <w:rFonts w:cs="Arial"/>
          <w:sz w:val="24"/>
          <w:szCs w:val="24"/>
          <w:lang w:val="en-GB"/>
        </w:rPr>
        <w:t xml:space="preserve">with the </w:t>
      </w:r>
      <w:r w:rsidR="00343B09" w:rsidRPr="00852C30">
        <w:rPr>
          <w:rFonts w:cs="Arial"/>
          <w:sz w:val="24"/>
          <w:szCs w:val="24"/>
          <w:lang w:val="en-GB"/>
        </w:rPr>
        <w:t xml:space="preserve">lightest set of remedies </w:t>
      </w:r>
      <w:r w:rsidRPr="00852C30">
        <w:rPr>
          <w:rFonts w:cs="Arial"/>
          <w:sz w:val="24"/>
          <w:szCs w:val="24"/>
          <w:lang w:val="en-GB"/>
        </w:rPr>
        <w:t xml:space="preserve">as defined in Chapter </w:t>
      </w:r>
      <w:r w:rsidR="00843D2C" w:rsidRPr="00852C30">
        <w:rPr>
          <w:rFonts w:cs="Arial"/>
          <w:sz w:val="24"/>
          <w:szCs w:val="24"/>
          <w:lang w:val="en-GB"/>
        </w:rPr>
        <w:t>8</w:t>
      </w:r>
      <w:r w:rsidRPr="00852C30">
        <w:rPr>
          <w:rFonts w:cs="Arial"/>
          <w:sz w:val="24"/>
          <w:szCs w:val="24"/>
          <w:lang w:val="en-GB"/>
        </w:rPr>
        <w:t xml:space="preserve">. The list of settlements is given in </w:t>
      </w:r>
      <w:r w:rsidRPr="00852C30">
        <w:rPr>
          <w:rFonts w:cs="Arial"/>
          <w:sz w:val="24"/>
          <w:szCs w:val="24"/>
          <w:highlight w:val="yellow"/>
          <w:lang w:val="en-GB"/>
        </w:rPr>
        <w:t xml:space="preserve">Figure </w:t>
      </w:r>
      <w:r w:rsidR="00657C6F" w:rsidRPr="00852C30">
        <w:rPr>
          <w:rFonts w:cs="Arial"/>
          <w:sz w:val="24"/>
          <w:szCs w:val="24"/>
          <w:highlight w:val="yellow"/>
          <w:lang w:val="en-GB"/>
        </w:rPr>
        <w:t>7</w:t>
      </w:r>
      <w:r w:rsidR="000E716C" w:rsidRPr="00852C30">
        <w:rPr>
          <w:rFonts w:cs="Arial"/>
          <w:sz w:val="24"/>
          <w:szCs w:val="24"/>
          <w:highlight w:val="yellow"/>
          <w:lang w:val="en-GB"/>
        </w:rPr>
        <w:t>2</w:t>
      </w:r>
      <w:r w:rsidRPr="00852C30">
        <w:rPr>
          <w:rFonts w:cs="Arial"/>
          <w:sz w:val="24"/>
          <w:szCs w:val="24"/>
          <w:highlight w:val="yellow"/>
          <w:lang w:val="en-GB"/>
        </w:rPr>
        <w:t>.</w:t>
      </w:r>
    </w:p>
    <w:p w14:paraId="73EEDEDF" w14:textId="77777777" w:rsidR="00A0244C" w:rsidRPr="00BC1ABD" w:rsidRDefault="00A0244C" w:rsidP="00A0244C">
      <w:pPr>
        <w:pStyle w:val="ListParagraph"/>
        <w:jc w:val="both"/>
        <w:rPr>
          <w:rFonts w:cs="Arial"/>
          <w:sz w:val="24"/>
          <w:szCs w:val="24"/>
          <w:lang w:val="en-GB"/>
        </w:rPr>
      </w:pPr>
    </w:p>
    <w:p w14:paraId="2DE8F69E" w14:textId="77777777" w:rsidR="00A0244C" w:rsidRPr="006343FD" w:rsidRDefault="00A0244C" w:rsidP="00033EBE">
      <w:pPr>
        <w:pStyle w:val="Heading2"/>
        <w:numPr>
          <w:ilvl w:val="1"/>
          <w:numId w:val="88"/>
        </w:numPr>
        <w:spacing w:after="240"/>
        <w:rPr>
          <w:lang w:val="en-GB"/>
        </w:rPr>
      </w:pPr>
      <w:bookmarkStart w:id="332" w:name="_Toc131088635"/>
      <w:bookmarkStart w:id="333" w:name="_Toc131088636"/>
      <w:bookmarkStart w:id="334" w:name="_Toc169258986"/>
      <w:bookmarkEnd w:id="332"/>
      <w:r w:rsidRPr="006343FD">
        <w:rPr>
          <w:lang w:val="en-GB"/>
        </w:rPr>
        <w:t>Updating the list of contestable settlements</w:t>
      </w:r>
      <w:bookmarkEnd w:id="333"/>
      <w:bookmarkEnd w:id="334"/>
    </w:p>
    <w:p w14:paraId="5D49CA90" w14:textId="77777777" w:rsidR="00A0244C" w:rsidRPr="00BC1ABD" w:rsidRDefault="00A0244C" w:rsidP="00A0244C">
      <w:pPr>
        <w:jc w:val="both"/>
        <w:rPr>
          <w:rFonts w:cs="Arial"/>
          <w:sz w:val="24"/>
          <w:szCs w:val="24"/>
          <w:lang w:val="en-GB"/>
        </w:rPr>
      </w:pPr>
      <w:r w:rsidRPr="00BC1ABD">
        <w:rPr>
          <w:rFonts w:cs="Arial"/>
          <w:sz w:val="24"/>
          <w:szCs w:val="24"/>
          <w:lang w:val="en-GB"/>
        </w:rPr>
        <w:t>Competition on the wholesale market for local and central access at a national level is affected by the pace of deployment of fibre infrastructure by entrants in each settlement which evolves from year to year.</w:t>
      </w:r>
    </w:p>
    <w:p w14:paraId="72ECD4DF" w14:textId="0A57C2C1" w:rsidR="00A0244C" w:rsidRPr="00BC1ABD" w:rsidRDefault="00A0244C" w:rsidP="00A0244C">
      <w:pPr>
        <w:jc w:val="both"/>
        <w:rPr>
          <w:rFonts w:cs="Arial"/>
          <w:sz w:val="24"/>
          <w:szCs w:val="24"/>
          <w:lang w:val="en-GB"/>
        </w:rPr>
      </w:pPr>
      <w:r w:rsidRPr="00BC1ABD">
        <w:rPr>
          <w:rFonts w:cs="Arial"/>
          <w:sz w:val="24"/>
          <w:szCs w:val="24"/>
          <w:lang w:val="en-GB"/>
        </w:rPr>
        <w:t xml:space="preserve">It is common practice that regulators include in their decisions an intention to update their analysis and conclusions regularly, generally once a year. It is important that in carrying out a review, the analysis methodology remains substantially the same, together with a common procedure for collecting and analysing data. Following the decision to set different </w:t>
      </w:r>
      <w:r w:rsidRPr="00BC1ABD">
        <w:rPr>
          <w:rFonts w:cs="Arial"/>
          <w:i/>
          <w:iCs/>
          <w:sz w:val="24"/>
          <w:szCs w:val="24"/>
          <w:lang w:val="en-GB"/>
        </w:rPr>
        <w:t>ex-ante</w:t>
      </w:r>
      <w:r w:rsidRPr="00BC1ABD">
        <w:rPr>
          <w:rFonts w:cs="Arial"/>
          <w:sz w:val="24"/>
          <w:szCs w:val="24"/>
          <w:lang w:val="en-GB"/>
        </w:rPr>
        <w:t xml:space="preserve"> regulation measures in each Cluster of settlements (see Chapter </w:t>
      </w:r>
      <w:r w:rsidR="00391365">
        <w:rPr>
          <w:rFonts w:cs="Arial"/>
          <w:sz w:val="24"/>
          <w:szCs w:val="24"/>
          <w:lang w:val="en-GB"/>
        </w:rPr>
        <w:t>6</w:t>
      </w:r>
      <w:r w:rsidRPr="00BC1ABD">
        <w:rPr>
          <w:rFonts w:cs="Arial"/>
          <w:sz w:val="24"/>
          <w:szCs w:val="24"/>
          <w:lang w:val="en-GB"/>
        </w:rPr>
        <w:t xml:space="preserve">.6 above), it will be necessary in any review, to collect additional data on whether a wholesale local and central access service provided by an operator using regulated access conditions or as using a non-regulated commercial wholesale agreement. With this additional data, a modified greenfield approach is possible for the review because </w:t>
      </w:r>
      <w:r w:rsidRPr="00BC1ABD">
        <w:rPr>
          <w:rFonts w:cs="Arial"/>
          <w:i/>
          <w:iCs/>
          <w:sz w:val="24"/>
          <w:szCs w:val="24"/>
          <w:lang w:val="en-GB"/>
        </w:rPr>
        <w:t>ex-ante</w:t>
      </w:r>
      <w:r w:rsidRPr="00BC1ABD">
        <w:rPr>
          <w:rFonts w:cs="Arial"/>
          <w:sz w:val="24"/>
          <w:szCs w:val="24"/>
          <w:lang w:val="en-GB"/>
        </w:rPr>
        <w:t xml:space="preserve"> regulatory conditions will apply at the time of the review.</w:t>
      </w:r>
    </w:p>
    <w:p w14:paraId="02AF51B2" w14:textId="5167909A" w:rsidR="00A0244C" w:rsidRPr="00BC1ABD" w:rsidRDefault="00A0244C" w:rsidP="00A0244C">
      <w:pPr>
        <w:jc w:val="both"/>
        <w:rPr>
          <w:rFonts w:cs="Arial"/>
          <w:sz w:val="24"/>
          <w:szCs w:val="24"/>
          <w:lang w:val="en-GB"/>
        </w:rPr>
      </w:pPr>
      <w:r w:rsidRPr="00BC1ABD">
        <w:rPr>
          <w:rFonts w:cs="Arial"/>
          <w:sz w:val="24"/>
          <w:szCs w:val="24"/>
          <w:lang w:val="en-GB"/>
        </w:rPr>
        <w:t>It is also necessary for the regulator to decide if the review is carried out only for the currently regulated settlements or in all settlements. If the review is carried out for all settlements, then it is possible that some de-regulated or lighter-regulated settlements could join the group of regulated settlements. Generally</w:t>
      </w:r>
      <w:r w:rsidR="00D0061E" w:rsidRPr="00BC1ABD">
        <w:rPr>
          <w:rFonts w:cs="Arial"/>
          <w:sz w:val="24"/>
          <w:szCs w:val="24"/>
          <w:lang w:val="en-GB"/>
        </w:rPr>
        <w:t>,</w:t>
      </w:r>
      <w:r w:rsidRPr="00BC1ABD">
        <w:rPr>
          <w:rFonts w:cs="Arial"/>
          <w:sz w:val="24"/>
          <w:szCs w:val="24"/>
          <w:lang w:val="en-GB"/>
        </w:rPr>
        <w:t xml:space="preserve"> it is expected that competition conditions should improve and therefore following a review, regulated settlements should be lighter-regulated or de-regulated.</w:t>
      </w:r>
    </w:p>
    <w:p w14:paraId="1ADDD5AF" w14:textId="77777777" w:rsidR="00A0244C" w:rsidRPr="00275D46" w:rsidRDefault="00A0244C" w:rsidP="00275D46">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35" w:name="_Toc169258987"/>
      <w:r w:rsidRPr="00275D46">
        <w:rPr>
          <w:rFonts w:asciiTheme="minorHAnsi" w:hAnsiTheme="minorHAnsi" w:cstheme="minorHAnsi"/>
          <w:b w:val="0"/>
          <w:bCs w:val="0"/>
          <w:sz w:val="24"/>
          <w:szCs w:val="24"/>
          <w:lang w:val="en-GB"/>
        </w:rPr>
        <w:t>Risk analysis of the frequency of updating the analysis</w:t>
      </w:r>
      <w:bookmarkEnd w:id="335"/>
      <w:r w:rsidRPr="00275D46">
        <w:rPr>
          <w:rFonts w:asciiTheme="minorHAnsi" w:hAnsiTheme="minorHAnsi" w:cstheme="minorHAnsi"/>
          <w:b w:val="0"/>
          <w:bCs w:val="0"/>
          <w:sz w:val="24"/>
          <w:szCs w:val="24"/>
          <w:lang w:val="en-GB"/>
        </w:rPr>
        <w:t xml:space="preserve"> </w:t>
      </w:r>
    </w:p>
    <w:p w14:paraId="4B5B6102" w14:textId="77777777" w:rsidR="00A0244C" w:rsidRPr="00BC1ABD" w:rsidRDefault="00A0244C" w:rsidP="00A0244C">
      <w:pPr>
        <w:jc w:val="both"/>
        <w:rPr>
          <w:rFonts w:cs="Arial"/>
          <w:sz w:val="24"/>
          <w:szCs w:val="24"/>
          <w:lang w:val="en-GB"/>
        </w:rPr>
      </w:pPr>
      <w:r w:rsidRPr="00BC1ABD">
        <w:rPr>
          <w:rFonts w:cs="Arial"/>
          <w:sz w:val="24"/>
          <w:szCs w:val="24"/>
          <w:lang w:val="en-GB"/>
        </w:rPr>
        <w:t>A yearly review leading to an update of the Cluster I, Cluster II and Cluster III settlement lists has the following advantages:</w:t>
      </w:r>
    </w:p>
    <w:p w14:paraId="0BA570AE" w14:textId="77777777" w:rsidR="00A0244C" w:rsidRPr="00BC1ABD" w:rsidRDefault="00A0244C" w:rsidP="00A0244C">
      <w:pPr>
        <w:pStyle w:val="ListParagraph"/>
        <w:numPr>
          <w:ilvl w:val="0"/>
          <w:numId w:val="29"/>
        </w:numPr>
        <w:jc w:val="both"/>
        <w:rPr>
          <w:rFonts w:cs="Arial"/>
          <w:sz w:val="24"/>
          <w:szCs w:val="24"/>
          <w:lang w:val="en-GB"/>
        </w:rPr>
      </w:pPr>
      <w:r w:rsidRPr="00BC1ABD">
        <w:rPr>
          <w:rFonts w:cs="Arial"/>
          <w:sz w:val="24"/>
          <w:szCs w:val="24"/>
          <w:lang w:val="en-GB"/>
        </w:rPr>
        <w:t>A smooth and on-time adjustment to take account of changes in the market</w:t>
      </w:r>
    </w:p>
    <w:p w14:paraId="64E08CB7" w14:textId="77777777" w:rsidR="00A0244C" w:rsidRPr="00BC1ABD" w:rsidRDefault="00A0244C" w:rsidP="00A0244C">
      <w:pPr>
        <w:pStyle w:val="ListParagraph"/>
        <w:numPr>
          <w:ilvl w:val="0"/>
          <w:numId w:val="29"/>
        </w:numPr>
        <w:jc w:val="both"/>
        <w:rPr>
          <w:rFonts w:cs="Arial"/>
          <w:sz w:val="24"/>
          <w:szCs w:val="24"/>
          <w:lang w:val="en-GB"/>
        </w:rPr>
      </w:pPr>
      <w:r w:rsidRPr="00BC1ABD">
        <w:rPr>
          <w:rFonts w:cs="Arial"/>
          <w:sz w:val="24"/>
          <w:szCs w:val="24"/>
          <w:lang w:val="en-GB"/>
        </w:rPr>
        <w:t>The regulator can identify potential new problems on the market and react sooner and in a proportional way without larger step-changes</w:t>
      </w:r>
    </w:p>
    <w:p w14:paraId="15832997" w14:textId="77777777" w:rsidR="00A0244C" w:rsidRPr="00BC1ABD" w:rsidRDefault="00A0244C" w:rsidP="00A0244C">
      <w:pPr>
        <w:pStyle w:val="ListParagraph"/>
        <w:numPr>
          <w:ilvl w:val="0"/>
          <w:numId w:val="29"/>
        </w:numPr>
        <w:ind w:left="714" w:hanging="357"/>
        <w:jc w:val="both"/>
        <w:rPr>
          <w:rFonts w:cs="Arial"/>
          <w:sz w:val="24"/>
          <w:szCs w:val="24"/>
          <w:lang w:val="en-GB"/>
        </w:rPr>
      </w:pPr>
      <w:r w:rsidRPr="00BC1ABD">
        <w:rPr>
          <w:rFonts w:cs="Arial"/>
          <w:sz w:val="24"/>
          <w:szCs w:val="24"/>
          <w:lang w:val="en-GB"/>
        </w:rPr>
        <w:t>Existing operators and potential new entrants can have more timely transparency of investment opportunities in the market</w:t>
      </w:r>
    </w:p>
    <w:p w14:paraId="63DF48EA" w14:textId="77777777" w:rsidR="00A0244C" w:rsidRPr="00BC1ABD" w:rsidRDefault="00A0244C" w:rsidP="00A0244C">
      <w:pPr>
        <w:spacing w:before="240" w:after="120"/>
        <w:jc w:val="both"/>
        <w:rPr>
          <w:rFonts w:cs="Arial"/>
          <w:sz w:val="24"/>
          <w:szCs w:val="24"/>
          <w:lang w:val="en-GB"/>
        </w:rPr>
      </w:pPr>
      <w:r w:rsidRPr="00BC1ABD">
        <w:rPr>
          <w:rFonts w:cs="Arial"/>
          <w:sz w:val="24"/>
          <w:szCs w:val="24"/>
          <w:lang w:val="en-GB"/>
        </w:rPr>
        <w:t>There are some disadvantages to yearly reviews:</w:t>
      </w:r>
    </w:p>
    <w:p w14:paraId="07FD28A8" w14:textId="2E610939" w:rsidR="00A0244C" w:rsidRPr="00BC1ABD" w:rsidRDefault="00A0244C" w:rsidP="00A0244C">
      <w:pPr>
        <w:pStyle w:val="ListParagraph"/>
        <w:numPr>
          <w:ilvl w:val="0"/>
          <w:numId w:val="27"/>
        </w:numPr>
        <w:jc w:val="both"/>
        <w:rPr>
          <w:rFonts w:cs="Arial"/>
          <w:sz w:val="24"/>
          <w:szCs w:val="24"/>
          <w:lang w:val="en-GB"/>
        </w:rPr>
      </w:pPr>
      <w:r w:rsidRPr="00BC1ABD">
        <w:rPr>
          <w:rFonts w:cs="Arial"/>
          <w:sz w:val="24"/>
          <w:szCs w:val="24"/>
          <w:lang w:val="en-GB"/>
        </w:rPr>
        <w:t>Settlements which are close to the contestability thresholds may oscillate between lighter and heavier regulation year-on-year. Such oscillations decrease regulatory predictability and therefore operators and potential new market entrants cannot plan their investments with sufficient confidence. This disadvantage can be minimised by using an additional criterion, by using higher thresholds when re-considering previously deregulated settlements. For example</w:t>
      </w:r>
      <w:r w:rsidR="0099232A" w:rsidRPr="00BC1ABD">
        <w:rPr>
          <w:rFonts w:cs="Arial"/>
          <w:sz w:val="24"/>
          <w:szCs w:val="24"/>
          <w:lang w:val="en-GB"/>
        </w:rPr>
        <w:t>,</w:t>
      </w:r>
      <w:r w:rsidRPr="00BC1ABD">
        <w:rPr>
          <w:rFonts w:cs="Arial"/>
          <w:sz w:val="24"/>
          <w:szCs w:val="24"/>
          <w:lang w:val="en-GB"/>
        </w:rPr>
        <w:t xml:space="preserve"> the present threshold of Magticom’s market share of 40% could be increased to 42% in previously contestable areas and the criterion of 10% for the next largest two operators could be reduced to 8%. Similarly, using the </w:t>
      </w:r>
      <w:r w:rsidR="00F026B4">
        <w:rPr>
          <w:rFonts w:cs="Arial"/>
          <w:sz w:val="24"/>
          <w:szCs w:val="24"/>
          <w:lang w:val="en-GB"/>
        </w:rPr>
        <w:t>FTTx</w:t>
      </w:r>
      <w:r w:rsidRPr="00BC1ABD">
        <w:rPr>
          <w:rFonts w:cs="Arial"/>
          <w:sz w:val="24"/>
          <w:szCs w:val="24"/>
          <w:lang w:val="en-GB"/>
        </w:rPr>
        <w:t xml:space="preserve"> coverage criterion, the second largest operator could be assessed at 78% coverage and the 3</w:t>
      </w:r>
      <w:r w:rsidRPr="00BC1ABD">
        <w:rPr>
          <w:rFonts w:cs="Arial"/>
          <w:sz w:val="24"/>
          <w:szCs w:val="24"/>
          <w:vertAlign w:val="superscript"/>
          <w:lang w:val="en-GB"/>
        </w:rPr>
        <w:t>rd</w:t>
      </w:r>
      <w:r w:rsidRPr="00BC1ABD">
        <w:rPr>
          <w:rFonts w:cs="Arial"/>
          <w:sz w:val="24"/>
          <w:szCs w:val="24"/>
          <w:lang w:val="en-GB"/>
        </w:rPr>
        <w:t xml:space="preserve"> </w:t>
      </w:r>
      <w:r w:rsidR="00F026B4">
        <w:rPr>
          <w:rFonts w:cs="Arial"/>
          <w:sz w:val="24"/>
          <w:szCs w:val="24"/>
          <w:lang w:val="en-GB"/>
        </w:rPr>
        <w:t>FTTx</w:t>
      </w:r>
      <w:r w:rsidRPr="00BC1ABD">
        <w:rPr>
          <w:rFonts w:cs="Arial"/>
          <w:sz w:val="24"/>
          <w:szCs w:val="24"/>
          <w:lang w:val="en-GB"/>
        </w:rPr>
        <w:t xml:space="preserve"> operator assessed at 18% coverage.</w:t>
      </w:r>
    </w:p>
    <w:p w14:paraId="160D5ADF" w14:textId="77777777" w:rsidR="00A0244C" w:rsidRPr="00BC1ABD" w:rsidRDefault="00A0244C" w:rsidP="00A0244C">
      <w:pPr>
        <w:pStyle w:val="ListParagraph"/>
        <w:numPr>
          <w:ilvl w:val="0"/>
          <w:numId w:val="27"/>
        </w:numPr>
        <w:ind w:left="714" w:hanging="357"/>
        <w:jc w:val="both"/>
        <w:rPr>
          <w:rFonts w:cs="Arial"/>
          <w:sz w:val="24"/>
          <w:szCs w:val="24"/>
          <w:lang w:val="en-GB"/>
        </w:rPr>
      </w:pPr>
      <w:r w:rsidRPr="00BC1ABD">
        <w:rPr>
          <w:rFonts w:cs="Arial"/>
          <w:sz w:val="24"/>
          <w:szCs w:val="24"/>
          <w:lang w:val="en-GB"/>
        </w:rPr>
        <w:t>An additional burden for operators in supplying data to ComCom</w:t>
      </w:r>
    </w:p>
    <w:p w14:paraId="1963EC70" w14:textId="37BB430E" w:rsidR="00A0244C" w:rsidRPr="00BC1ABD" w:rsidRDefault="00A0244C" w:rsidP="00A0244C">
      <w:pPr>
        <w:pStyle w:val="ListParagraph"/>
        <w:numPr>
          <w:ilvl w:val="0"/>
          <w:numId w:val="27"/>
        </w:numPr>
        <w:ind w:left="714" w:hanging="357"/>
        <w:jc w:val="both"/>
        <w:rPr>
          <w:rFonts w:cs="Arial"/>
          <w:sz w:val="24"/>
          <w:szCs w:val="24"/>
          <w:lang w:val="en-GB"/>
        </w:rPr>
      </w:pPr>
      <w:r w:rsidRPr="00BC1ABD">
        <w:rPr>
          <w:rFonts w:cs="Arial"/>
          <w:sz w:val="24"/>
          <w:szCs w:val="24"/>
          <w:lang w:val="en-GB"/>
        </w:rPr>
        <w:t xml:space="preserve">Significant changes in the </w:t>
      </w:r>
      <w:r w:rsidR="00F026B4">
        <w:rPr>
          <w:rFonts w:cs="Arial"/>
          <w:sz w:val="24"/>
          <w:szCs w:val="24"/>
          <w:lang w:val="en-GB"/>
        </w:rPr>
        <w:t>FTTx</w:t>
      </w:r>
      <w:r w:rsidRPr="00BC1ABD">
        <w:rPr>
          <w:rFonts w:cs="Arial"/>
          <w:sz w:val="24"/>
          <w:szCs w:val="24"/>
          <w:lang w:val="en-GB"/>
        </w:rPr>
        <w:t xml:space="preserve"> coverage (premised passed) data received from operators could occur at the first </w:t>
      </w:r>
      <w:r w:rsidR="00536E97">
        <w:rPr>
          <w:rFonts w:cs="Arial"/>
          <w:sz w:val="24"/>
          <w:szCs w:val="24"/>
          <w:lang w:val="en-GB"/>
        </w:rPr>
        <w:t xml:space="preserve">future </w:t>
      </w:r>
      <w:r w:rsidRPr="00BC1ABD">
        <w:rPr>
          <w:rFonts w:cs="Arial"/>
          <w:sz w:val="24"/>
          <w:szCs w:val="24"/>
          <w:lang w:val="en-GB"/>
        </w:rPr>
        <w:t xml:space="preserve">review because the coverage data received in the current analysis </w:t>
      </w:r>
      <w:r w:rsidR="00536E97">
        <w:rPr>
          <w:rFonts w:cs="Arial"/>
          <w:sz w:val="24"/>
          <w:szCs w:val="24"/>
          <w:lang w:val="en-GB"/>
        </w:rPr>
        <w:t>w</w:t>
      </w:r>
      <w:r w:rsidR="00391365">
        <w:rPr>
          <w:rFonts w:cs="Arial"/>
          <w:sz w:val="24"/>
          <w:szCs w:val="24"/>
          <w:lang w:val="en-GB"/>
        </w:rPr>
        <w:t>as n</w:t>
      </w:r>
      <w:r w:rsidR="00536E97">
        <w:rPr>
          <w:rFonts w:cs="Arial"/>
          <w:sz w:val="24"/>
          <w:szCs w:val="24"/>
          <w:lang w:val="en-GB"/>
        </w:rPr>
        <w:t xml:space="preserve">ot </w:t>
      </w:r>
      <w:r w:rsidR="00391365">
        <w:rPr>
          <w:rFonts w:cs="Arial"/>
          <w:sz w:val="24"/>
          <w:szCs w:val="24"/>
          <w:lang w:val="en-GB"/>
        </w:rPr>
        <w:t xml:space="preserve">collected before and cannot be cross checked </w:t>
      </w:r>
      <w:r w:rsidR="00536E97">
        <w:rPr>
          <w:rFonts w:cs="Arial"/>
          <w:sz w:val="24"/>
          <w:szCs w:val="24"/>
          <w:lang w:val="en-GB"/>
        </w:rPr>
        <w:t xml:space="preserve">on their consistency with previously </w:t>
      </w:r>
      <w:r w:rsidR="00391365">
        <w:rPr>
          <w:rFonts w:cs="Arial"/>
          <w:sz w:val="24"/>
          <w:szCs w:val="24"/>
          <w:lang w:val="en-GB"/>
        </w:rPr>
        <w:t xml:space="preserve">collected </w:t>
      </w:r>
      <w:r w:rsidR="00536E97">
        <w:rPr>
          <w:rFonts w:cs="Arial"/>
          <w:sz w:val="24"/>
          <w:szCs w:val="24"/>
          <w:lang w:val="en-GB"/>
        </w:rPr>
        <w:t xml:space="preserve">data </w:t>
      </w:r>
      <w:r w:rsidRPr="00BC1ABD">
        <w:rPr>
          <w:rFonts w:cs="Arial"/>
          <w:sz w:val="24"/>
          <w:szCs w:val="24"/>
          <w:lang w:val="en-GB"/>
        </w:rPr>
        <w:t xml:space="preserve">(see Chapter </w:t>
      </w:r>
      <w:r w:rsidR="00391365">
        <w:rPr>
          <w:rFonts w:cs="Arial"/>
          <w:sz w:val="24"/>
          <w:szCs w:val="24"/>
          <w:lang w:val="en-GB"/>
        </w:rPr>
        <w:t>6</w:t>
      </w:r>
      <w:r w:rsidRPr="00BC1ABD">
        <w:rPr>
          <w:rFonts w:cs="Arial"/>
          <w:sz w:val="24"/>
          <w:szCs w:val="24"/>
          <w:lang w:val="en-GB"/>
        </w:rPr>
        <w:t>.5.4).</w:t>
      </w:r>
    </w:p>
    <w:p w14:paraId="29724CD8" w14:textId="77777777" w:rsidR="00A0244C" w:rsidRPr="00BC1ABD" w:rsidRDefault="00A0244C" w:rsidP="00A0244C">
      <w:pPr>
        <w:spacing w:before="240" w:after="120"/>
        <w:jc w:val="both"/>
        <w:rPr>
          <w:rFonts w:cs="Arial"/>
          <w:sz w:val="24"/>
          <w:szCs w:val="24"/>
          <w:lang w:val="en-GB"/>
        </w:rPr>
      </w:pPr>
      <w:r w:rsidRPr="00BC1ABD">
        <w:rPr>
          <w:rFonts w:cs="Arial"/>
          <w:sz w:val="24"/>
          <w:szCs w:val="24"/>
          <w:lang w:val="en-GB"/>
        </w:rPr>
        <w:t>If a yearly review is not carried out, but instead the normal full market review is carried out in three years from this current market analysis, then there are some advantages:</w:t>
      </w:r>
    </w:p>
    <w:p w14:paraId="20FAD13D" w14:textId="77777777" w:rsidR="00A0244C" w:rsidRPr="00BC1ABD" w:rsidRDefault="00A0244C" w:rsidP="00A0244C">
      <w:pPr>
        <w:pStyle w:val="ListParagraph"/>
        <w:numPr>
          <w:ilvl w:val="0"/>
          <w:numId w:val="30"/>
        </w:numPr>
        <w:spacing w:before="240" w:after="120"/>
        <w:jc w:val="both"/>
        <w:rPr>
          <w:rFonts w:cs="Arial"/>
          <w:sz w:val="24"/>
          <w:szCs w:val="24"/>
          <w:lang w:val="en-GB"/>
        </w:rPr>
      </w:pPr>
      <w:r w:rsidRPr="00BC1ABD">
        <w:rPr>
          <w:rFonts w:cs="Arial"/>
          <w:sz w:val="24"/>
          <w:szCs w:val="24"/>
          <w:lang w:val="en-GB"/>
        </w:rPr>
        <w:t>A relatively stable and predictable regulatory environment over a 3-year period</w:t>
      </w:r>
    </w:p>
    <w:p w14:paraId="5139D1AC" w14:textId="77777777" w:rsidR="00A0244C" w:rsidRPr="00BC1ABD" w:rsidRDefault="00A0244C" w:rsidP="00A0244C">
      <w:pPr>
        <w:pStyle w:val="ListParagraph"/>
        <w:numPr>
          <w:ilvl w:val="0"/>
          <w:numId w:val="30"/>
        </w:numPr>
        <w:spacing w:before="240" w:after="120"/>
        <w:jc w:val="both"/>
        <w:rPr>
          <w:rFonts w:cs="Arial"/>
          <w:sz w:val="24"/>
          <w:szCs w:val="24"/>
          <w:lang w:val="en-GB"/>
        </w:rPr>
      </w:pPr>
      <w:r w:rsidRPr="00BC1ABD">
        <w:rPr>
          <w:rFonts w:cs="Arial"/>
          <w:sz w:val="24"/>
          <w:szCs w:val="24"/>
          <w:lang w:val="en-GB"/>
        </w:rPr>
        <w:t>There is no need to collect and analyse data each year.</w:t>
      </w:r>
    </w:p>
    <w:p w14:paraId="322D9C63" w14:textId="77777777" w:rsidR="00A0244C" w:rsidRPr="00BC1ABD" w:rsidRDefault="00A0244C" w:rsidP="00A0244C">
      <w:pPr>
        <w:spacing w:before="240" w:after="120"/>
        <w:jc w:val="both"/>
        <w:rPr>
          <w:rFonts w:cs="Arial"/>
          <w:sz w:val="24"/>
          <w:szCs w:val="24"/>
          <w:lang w:val="en-GB"/>
        </w:rPr>
      </w:pPr>
      <w:r w:rsidRPr="00BC1ABD">
        <w:rPr>
          <w:rFonts w:cs="Arial"/>
          <w:sz w:val="24"/>
          <w:szCs w:val="24"/>
          <w:lang w:val="en-GB"/>
        </w:rPr>
        <w:t>This can also be a disadvantage:</w:t>
      </w:r>
    </w:p>
    <w:p w14:paraId="0224EE12" w14:textId="09FB9284" w:rsidR="00A0244C" w:rsidRPr="003336AC" w:rsidRDefault="00A0244C" w:rsidP="00A0244C">
      <w:pPr>
        <w:pStyle w:val="ListParagraph"/>
        <w:numPr>
          <w:ilvl w:val="0"/>
          <w:numId w:val="28"/>
        </w:numPr>
        <w:spacing w:before="240" w:after="120"/>
        <w:jc w:val="both"/>
        <w:rPr>
          <w:rFonts w:cs="Arial"/>
          <w:sz w:val="24"/>
          <w:szCs w:val="24"/>
          <w:lang w:val="en-GB"/>
        </w:rPr>
      </w:pPr>
      <w:r w:rsidRPr="00BC1ABD">
        <w:rPr>
          <w:rFonts w:cs="Arial"/>
          <w:sz w:val="24"/>
          <w:szCs w:val="24"/>
          <w:lang w:val="en-GB"/>
        </w:rPr>
        <w:t>When the regulatory measure has to be changed, the change may be greater, leading to greater regulatory uncertainty.</w:t>
      </w:r>
    </w:p>
    <w:p w14:paraId="5DCDCEFA" w14:textId="77777777" w:rsidR="00A0244C" w:rsidRPr="00B825BC" w:rsidRDefault="00A0244C" w:rsidP="00B825BC">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36" w:name="_Toc169258988"/>
      <w:r w:rsidRPr="00B825BC">
        <w:rPr>
          <w:rFonts w:asciiTheme="minorHAnsi" w:hAnsiTheme="minorHAnsi" w:cstheme="minorHAnsi"/>
          <w:b w:val="0"/>
          <w:bCs w:val="0"/>
          <w:sz w:val="24"/>
          <w:szCs w:val="24"/>
          <w:lang w:val="en-GB"/>
        </w:rPr>
        <w:t>Conclusion on updating list</w:t>
      </w:r>
      <w:bookmarkEnd w:id="336"/>
      <w:r w:rsidRPr="00B825BC">
        <w:rPr>
          <w:rFonts w:asciiTheme="minorHAnsi" w:hAnsiTheme="minorHAnsi" w:cstheme="minorHAnsi"/>
          <w:b w:val="0"/>
          <w:bCs w:val="0"/>
          <w:sz w:val="24"/>
          <w:szCs w:val="24"/>
          <w:lang w:val="en-GB"/>
        </w:rPr>
        <w:t xml:space="preserve"> </w:t>
      </w:r>
    </w:p>
    <w:p w14:paraId="51103D18" w14:textId="77777777" w:rsidR="00D8698F" w:rsidRPr="00384D6A" w:rsidRDefault="00D8698F" w:rsidP="00D8698F">
      <w:pPr>
        <w:contextualSpacing/>
        <w:jc w:val="both"/>
        <w:rPr>
          <w:rFonts w:cs="Arial"/>
          <w:sz w:val="24"/>
          <w:szCs w:val="24"/>
          <w:lang w:val="en-GB"/>
        </w:rPr>
      </w:pPr>
      <w:r w:rsidRPr="00384D6A">
        <w:rPr>
          <w:rFonts w:cs="Arial"/>
          <w:sz w:val="24"/>
          <w:szCs w:val="24"/>
          <w:lang w:val="en-GB"/>
        </w:rPr>
        <w:t>Since ex-ante regulation of the wholesale market for local and central access is being considered for the first time in Georgia and there are not a significant number of settlements falling into Clusters II and III, it is assumed that the most efficient way would be to have the first update of the list of contestable settlements not before 24 months from the date of ComCom’s Decision on this market review. The procedure should be as follows:</w:t>
      </w:r>
    </w:p>
    <w:p w14:paraId="7704A5D2" w14:textId="3B7122ED" w:rsidR="00D8698F" w:rsidRPr="00384D6A" w:rsidRDefault="00D8698F" w:rsidP="00D8698F">
      <w:pPr>
        <w:pStyle w:val="ListParagraph"/>
        <w:numPr>
          <w:ilvl w:val="0"/>
          <w:numId w:val="107"/>
        </w:numPr>
        <w:jc w:val="both"/>
        <w:rPr>
          <w:rFonts w:cs="Arial"/>
          <w:sz w:val="24"/>
          <w:szCs w:val="24"/>
          <w:lang w:val="en-GB"/>
        </w:rPr>
      </w:pPr>
      <w:r w:rsidRPr="00384D6A">
        <w:rPr>
          <w:rFonts w:cs="Arial"/>
          <w:sz w:val="24"/>
          <w:szCs w:val="24"/>
          <w:lang w:val="en-GB"/>
        </w:rPr>
        <w:t>After 24 months, Magticom (or other operators) could request that ComCom updates specific settlements where they see a different competition situation from the one that existed when the Decision was made.</w:t>
      </w:r>
    </w:p>
    <w:p w14:paraId="51B52346" w14:textId="35E94D1E" w:rsidR="00186FE8" w:rsidRPr="00384D6A" w:rsidRDefault="00D8698F" w:rsidP="00D8698F">
      <w:pPr>
        <w:pStyle w:val="ListParagraph"/>
        <w:numPr>
          <w:ilvl w:val="0"/>
          <w:numId w:val="107"/>
        </w:numPr>
        <w:jc w:val="both"/>
        <w:rPr>
          <w:rFonts w:cs="Arial"/>
          <w:sz w:val="24"/>
          <w:szCs w:val="24"/>
          <w:lang w:val="en-GB"/>
        </w:rPr>
      </w:pPr>
      <w:r w:rsidRPr="00384D6A">
        <w:rPr>
          <w:rFonts w:cs="Arial"/>
          <w:sz w:val="24"/>
          <w:szCs w:val="24"/>
          <w:lang w:val="en-GB"/>
        </w:rPr>
        <w:t>ComCom should consider the request and if it agrees, then asks all operators to update their database information. The data request may refer to all settlements in Georgia or only for a defined number or type of settlements, depending on the nature of the request from the operator(s).</w:t>
      </w:r>
    </w:p>
    <w:p w14:paraId="67757B05" w14:textId="6CF7C028" w:rsidR="003B6BA2" w:rsidRPr="00E517D9" w:rsidRDefault="003B6BA2" w:rsidP="00E517D9">
      <w:pPr>
        <w:jc w:val="both"/>
        <w:rPr>
          <w:rFonts w:cs="Arial"/>
          <w:sz w:val="24"/>
          <w:szCs w:val="24"/>
          <w:lang w:val="en-GB"/>
        </w:rPr>
      </w:pPr>
      <w:r w:rsidRPr="00384D6A">
        <w:rPr>
          <w:rFonts w:cs="Arial"/>
          <w:sz w:val="24"/>
          <w:szCs w:val="24"/>
          <w:lang w:val="en-GB"/>
        </w:rPr>
        <w:t>In any case, the</w:t>
      </w:r>
      <w:r w:rsidR="00262F40" w:rsidRPr="00384D6A">
        <w:rPr>
          <w:rFonts w:cs="Arial"/>
          <w:sz w:val="24"/>
          <w:szCs w:val="24"/>
          <w:lang w:val="en-GB"/>
        </w:rPr>
        <w:t xml:space="preserve"> geographic analysis </w:t>
      </w:r>
      <w:r w:rsidR="00344B37" w:rsidRPr="00384D6A">
        <w:rPr>
          <w:rFonts w:cs="Arial"/>
          <w:sz w:val="24"/>
          <w:szCs w:val="24"/>
          <w:lang w:val="en-GB"/>
        </w:rPr>
        <w:t>will have to be reviewed in next market analysis.</w:t>
      </w:r>
    </w:p>
    <w:p w14:paraId="0B26A72B" w14:textId="77777777" w:rsidR="00186FE8" w:rsidRDefault="00186FE8" w:rsidP="001644C2">
      <w:pPr>
        <w:contextualSpacing/>
        <w:rPr>
          <w:rFonts w:cs="Arial"/>
          <w:sz w:val="24"/>
          <w:szCs w:val="24"/>
          <w:lang w:val="en-GB"/>
        </w:rPr>
      </w:pPr>
    </w:p>
    <w:p w14:paraId="2398B46D" w14:textId="77777777" w:rsidR="00D8698F" w:rsidRDefault="00D8698F" w:rsidP="001644C2">
      <w:pPr>
        <w:contextualSpacing/>
        <w:rPr>
          <w:rFonts w:cs="Arial"/>
          <w:sz w:val="24"/>
          <w:szCs w:val="24"/>
          <w:lang w:val="en-GB"/>
        </w:rPr>
      </w:pPr>
    </w:p>
    <w:p w14:paraId="3F4024B9" w14:textId="77777777" w:rsidR="00186FE8" w:rsidRDefault="00186FE8" w:rsidP="001644C2">
      <w:pPr>
        <w:contextualSpacing/>
        <w:rPr>
          <w:rFonts w:cs="Arial"/>
          <w:sz w:val="24"/>
          <w:szCs w:val="24"/>
          <w:lang w:val="en-GB"/>
        </w:rPr>
      </w:pPr>
    </w:p>
    <w:p w14:paraId="219A140F" w14:textId="77777777" w:rsidR="00186FE8" w:rsidRDefault="00186FE8" w:rsidP="001644C2">
      <w:pPr>
        <w:contextualSpacing/>
        <w:rPr>
          <w:rFonts w:cs="Arial"/>
          <w:sz w:val="24"/>
          <w:szCs w:val="24"/>
          <w:lang w:val="en-GB"/>
        </w:rPr>
      </w:pPr>
    </w:p>
    <w:p w14:paraId="6F6D4ABD" w14:textId="77777777" w:rsidR="00186FE8" w:rsidRDefault="00186FE8" w:rsidP="001644C2">
      <w:pPr>
        <w:contextualSpacing/>
        <w:rPr>
          <w:lang w:val="en-GB"/>
        </w:rPr>
      </w:pPr>
    </w:p>
    <w:p w14:paraId="5DABBED5" w14:textId="77777777" w:rsidR="00384D6A" w:rsidRDefault="00384D6A" w:rsidP="001644C2">
      <w:pPr>
        <w:contextualSpacing/>
        <w:rPr>
          <w:lang w:val="en-GB"/>
        </w:rPr>
      </w:pPr>
    </w:p>
    <w:p w14:paraId="6196C9C9" w14:textId="77777777" w:rsidR="00384D6A" w:rsidRDefault="00384D6A" w:rsidP="001644C2">
      <w:pPr>
        <w:contextualSpacing/>
        <w:rPr>
          <w:lang w:val="en-GB"/>
        </w:rPr>
      </w:pPr>
    </w:p>
    <w:p w14:paraId="03A8B20C" w14:textId="77777777" w:rsidR="00384D6A" w:rsidRDefault="00384D6A" w:rsidP="001644C2">
      <w:pPr>
        <w:contextualSpacing/>
        <w:rPr>
          <w:lang w:val="en-GB"/>
        </w:rPr>
      </w:pPr>
    </w:p>
    <w:p w14:paraId="746728CC" w14:textId="77777777" w:rsidR="00384D6A" w:rsidRDefault="00384D6A" w:rsidP="001644C2">
      <w:pPr>
        <w:contextualSpacing/>
        <w:rPr>
          <w:lang w:val="en-GB"/>
        </w:rPr>
      </w:pPr>
    </w:p>
    <w:p w14:paraId="665E7D37" w14:textId="77777777" w:rsidR="00384D6A" w:rsidRDefault="00384D6A" w:rsidP="001644C2">
      <w:pPr>
        <w:contextualSpacing/>
        <w:rPr>
          <w:lang w:val="en-GB"/>
        </w:rPr>
      </w:pPr>
    </w:p>
    <w:p w14:paraId="3CD806FB" w14:textId="77777777" w:rsidR="00384D6A" w:rsidRDefault="00384D6A" w:rsidP="001644C2">
      <w:pPr>
        <w:contextualSpacing/>
        <w:rPr>
          <w:lang w:val="en-GB"/>
        </w:rPr>
      </w:pPr>
    </w:p>
    <w:p w14:paraId="0DFD9441" w14:textId="77777777" w:rsidR="00384D6A" w:rsidRDefault="00384D6A" w:rsidP="001644C2">
      <w:pPr>
        <w:contextualSpacing/>
        <w:rPr>
          <w:lang w:val="en-GB"/>
        </w:rPr>
      </w:pPr>
    </w:p>
    <w:p w14:paraId="63CED25E" w14:textId="77777777" w:rsidR="00384D6A" w:rsidRDefault="00384D6A" w:rsidP="001644C2">
      <w:pPr>
        <w:contextualSpacing/>
        <w:rPr>
          <w:lang w:val="en-GB"/>
        </w:rPr>
      </w:pPr>
    </w:p>
    <w:p w14:paraId="1BD2D520" w14:textId="77777777" w:rsidR="00384D6A" w:rsidRDefault="00384D6A" w:rsidP="001644C2">
      <w:pPr>
        <w:contextualSpacing/>
        <w:rPr>
          <w:lang w:val="en-GB"/>
        </w:rPr>
      </w:pPr>
    </w:p>
    <w:p w14:paraId="7F5D569D" w14:textId="77777777" w:rsidR="00384D6A" w:rsidRDefault="00384D6A" w:rsidP="001644C2">
      <w:pPr>
        <w:contextualSpacing/>
        <w:rPr>
          <w:lang w:val="en-GB"/>
        </w:rPr>
      </w:pPr>
    </w:p>
    <w:p w14:paraId="21813B53" w14:textId="77777777" w:rsidR="00384D6A" w:rsidRDefault="00384D6A" w:rsidP="001644C2">
      <w:pPr>
        <w:contextualSpacing/>
        <w:rPr>
          <w:lang w:val="en-GB"/>
        </w:rPr>
      </w:pPr>
    </w:p>
    <w:p w14:paraId="1B4D06A1" w14:textId="77777777" w:rsidR="00384D6A" w:rsidRDefault="00384D6A" w:rsidP="001644C2">
      <w:pPr>
        <w:contextualSpacing/>
        <w:rPr>
          <w:lang w:val="en-GB"/>
        </w:rPr>
      </w:pPr>
    </w:p>
    <w:p w14:paraId="70B32520" w14:textId="77777777" w:rsidR="00384D6A" w:rsidRDefault="00384D6A" w:rsidP="001644C2">
      <w:pPr>
        <w:contextualSpacing/>
        <w:rPr>
          <w:lang w:val="en-GB"/>
        </w:rPr>
      </w:pPr>
    </w:p>
    <w:p w14:paraId="5EFD20FF" w14:textId="77777777" w:rsidR="00384D6A" w:rsidRDefault="00384D6A" w:rsidP="001644C2">
      <w:pPr>
        <w:contextualSpacing/>
        <w:rPr>
          <w:lang w:val="en-GB"/>
        </w:rPr>
      </w:pPr>
    </w:p>
    <w:p w14:paraId="411BD12C" w14:textId="77777777" w:rsidR="00384D6A" w:rsidRDefault="00384D6A" w:rsidP="001644C2">
      <w:pPr>
        <w:contextualSpacing/>
        <w:rPr>
          <w:lang w:val="en-GB"/>
        </w:rPr>
      </w:pPr>
    </w:p>
    <w:p w14:paraId="4BC839CD" w14:textId="03667543" w:rsidR="00B271E6" w:rsidRPr="00BC1ABD" w:rsidRDefault="00B271E6" w:rsidP="00EB11F7">
      <w:pPr>
        <w:pStyle w:val="Heading1"/>
        <w:numPr>
          <w:ilvl w:val="0"/>
          <w:numId w:val="88"/>
        </w:numPr>
        <w:rPr>
          <w:lang w:val="en-GB"/>
        </w:rPr>
      </w:pPr>
      <w:bookmarkStart w:id="337" w:name="_Toc169258989"/>
      <w:r w:rsidRPr="00BC1ABD">
        <w:rPr>
          <w:lang w:val="en-GB"/>
        </w:rPr>
        <w:t>Analysis</w:t>
      </w:r>
      <w:r w:rsidR="005226C1" w:rsidRPr="00BC1ABD">
        <w:rPr>
          <w:lang w:val="en-GB"/>
        </w:rPr>
        <w:t xml:space="preserve"> </w:t>
      </w:r>
      <w:r w:rsidRPr="00BC1ABD">
        <w:rPr>
          <w:lang w:val="en-GB"/>
        </w:rPr>
        <w:t xml:space="preserve">of the </w:t>
      </w:r>
      <w:r w:rsidR="00E97488" w:rsidRPr="00BC1ABD">
        <w:rPr>
          <w:lang w:val="en-GB"/>
        </w:rPr>
        <w:t xml:space="preserve">possible </w:t>
      </w:r>
      <w:r w:rsidRPr="00BC1ABD">
        <w:rPr>
          <w:lang w:val="en-GB"/>
        </w:rPr>
        <w:t xml:space="preserve">competition </w:t>
      </w:r>
      <w:r w:rsidR="00C4169B" w:rsidRPr="00BC1ABD">
        <w:rPr>
          <w:lang w:val="en-GB"/>
        </w:rPr>
        <w:t xml:space="preserve">problems </w:t>
      </w:r>
      <w:r w:rsidRPr="00BC1ABD">
        <w:rPr>
          <w:lang w:val="en-GB"/>
        </w:rPr>
        <w:t>on the relevant wholesale market</w:t>
      </w:r>
      <w:r w:rsidR="00E97488" w:rsidRPr="00BC1ABD">
        <w:rPr>
          <w:lang w:val="en-GB"/>
        </w:rPr>
        <w:t xml:space="preserve"> in </w:t>
      </w:r>
      <w:r w:rsidR="00592449">
        <w:rPr>
          <w:lang w:val="en-GB"/>
        </w:rPr>
        <w:t xml:space="preserve">the </w:t>
      </w:r>
      <w:r w:rsidR="00E97488" w:rsidRPr="00BC1ABD">
        <w:rPr>
          <w:lang w:val="en-GB"/>
        </w:rPr>
        <w:t>absence of regulation</w:t>
      </w:r>
      <w:bookmarkEnd w:id="337"/>
    </w:p>
    <w:p w14:paraId="5B5E3F71" w14:textId="7558D1DA" w:rsidR="00E67DE2" w:rsidRPr="006067AA" w:rsidRDefault="00E67DE2" w:rsidP="006067AA">
      <w:pPr>
        <w:spacing w:before="100" w:beforeAutospacing="1" w:after="100" w:afterAutospacing="1" w:line="240" w:lineRule="auto"/>
        <w:rPr>
          <w:rFonts w:cs="Arial"/>
          <w:i/>
          <w:iCs/>
          <w:sz w:val="24"/>
          <w:szCs w:val="24"/>
          <w:lang w:val="en-GB"/>
        </w:rPr>
      </w:pPr>
      <w:r w:rsidRPr="00BC1ABD">
        <w:rPr>
          <w:rFonts w:cs="Arial"/>
          <w:sz w:val="24"/>
          <w:szCs w:val="24"/>
          <w:lang w:val="en-GB"/>
        </w:rPr>
        <w:t xml:space="preserve">According to Art. </w:t>
      </w:r>
      <w:r w:rsidR="00E46B8B">
        <w:rPr>
          <w:rFonts w:cs="Arial"/>
          <w:sz w:val="24"/>
          <w:szCs w:val="24"/>
          <w:lang w:val="en-GB"/>
        </w:rPr>
        <w:t>1</w:t>
      </w:r>
      <w:r w:rsidR="00F313F7">
        <w:rPr>
          <w:rFonts w:cs="Arial"/>
          <w:sz w:val="24"/>
          <w:szCs w:val="24"/>
          <w:lang w:val="en-GB"/>
        </w:rPr>
        <w:t>7</w:t>
      </w:r>
      <w:r w:rsidR="00E46B8B">
        <w:rPr>
          <w:rFonts w:cs="Arial"/>
          <w:sz w:val="24"/>
          <w:szCs w:val="24"/>
          <w:lang w:val="en-GB"/>
        </w:rPr>
        <w:t>(</w:t>
      </w:r>
      <w:r w:rsidR="00F313F7">
        <w:rPr>
          <w:rFonts w:cs="Arial"/>
          <w:sz w:val="24"/>
          <w:szCs w:val="24"/>
          <w:lang w:val="en-GB"/>
        </w:rPr>
        <w:t>1</w:t>
      </w:r>
      <w:r w:rsidR="00E46B8B">
        <w:rPr>
          <w:rFonts w:cs="Arial"/>
          <w:sz w:val="24"/>
          <w:szCs w:val="24"/>
          <w:lang w:val="en-GB"/>
        </w:rPr>
        <w:t>)</w:t>
      </w:r>
      <w:r w:rsidRPr="00BC1ABD">
        <w:rPr>
          <w:rFonts w:cs="Arial"/>
          <w:sz w:val="24"/>
          <w:szCs w:val="24"/>
          <w:lang w:val="en-GB"/>
        </w:rPr>
        <w:t xml:space="preserve"> </w:t>
      </w:r>
      <w:r w:rsidR="00FA093F">
        <w:rPr>
          <w:rFonts w:cs="Arial"/>
          <w:sz w:val="24"/>
          <w:szCs w:val="24"/>
          <w:lang w:val="en-GB"/>
        </w:rPr>
        <w:t>(</w:t>
      </w:r>
      <w:r w:rsidR="00F313F7">
        <w:rPr>
          <w:rFonts w:cs="Arial"/>
          <w:sz w:val="24"/>
          <w:szCs w:val="24"/>
          <w:lang w:val="en-GB"/>
        </w:rPr>
        <w:t>c</w:t>
      </w:r>
      <w:r w:rsidRPr="00BC1ABD">
        <w:rPr>
          <w:rFonts w:cs="Arial"/>
          <w:sz w:val="24"/>
          <w:szCs w:val="24"/>
          <w:lang w:val="en-GB"/>
        </w:rPr>
        <w:t xml:space="preserve">) of the </w:t>
      </w:r>
      <w:r w:rsidR="00E46B8B">
        <w:rPr>
          <w:rFonts w:cs="Arial"/>
          <w:sz w:val="24"/>
          <w:szCs w:val="24"/>
          <w:lang w:val="en-GB"/>
        </w:rPr>
        <w:t xml:space="preserve">draft revised </w:t>
      </w:r>
      <w:r w:rsidRPr="00BC1ABD">
        <w:rPr>
          <w:rFonts w:cs="Arial"/>
          <w:sz w:val="24"/>
          <w:szCs w:val="24"/>
          <w:lang w:val="en-GB"/>
        </w:rPr>
        <w:t xml:space="preserve">Methodological rules, </w:t>
      </w:r>
      <w:r w:rsidR="00F313F7">
        <w:rPr>
          <w:rFonts w:cs="Arial"/>
          <w:sz w:val="24"/>
          <w:szCs w:val="24"/>
          <w:lang w:val="en-GB"/>
        </w:rPr>
        <w:t>“</w:t>
      </w:r>
      <w:r w:rsidR="00F313F7" w:rsidRPr="006067AA">
        <w:rPr>
          <w:rFonts w:cs="Arial"/>
          <w:i/>
          <w:iCs/>
          <w:sz w:val="24"/>
          <w:szCs w:val="24"/>
          <w:lang w:val="en-GB"/>
        </w:rPr>
        <w:t>Specific obligations must be proportiona</w:t>
      </w:r>
      <w:r w:rsidR="00FA093F">
        <w:rPr>
          <w:rFonts w:cs="Arial"/>
          <w:i/>
          <w:iCs/>
          <w:sz w:val="24"/>
          <w:szCs w:val="24"/>
          <w:lang w:val="en-GB"/>
        </w:rPr>
        <w:t>te</w:t>
      </w:r>
      <w:r w:rsidR="00F313F7" w:rsidRPr="006067AA">
        <w:rPr>
          <w:rFonts w:cs="Arial"/>
          <w:i/>
          <w:iCs/>
          <w:sz w:val="24"/>
          <w:szCs w:val="24"/>
          <w:lang w:val="en-GB"/>
        </w:rPr>
        <w:t xml:space="preserve"> </w:t>
      </w:r>
      <w:r w:rsidR="00FA093F">
        <w:rPr>
          <w:rFonts w:cs="Arial"/>
          <w:i/>
          <w:iCs/>
          <w:sz w:val="24"/>
          <w:szCs w:val="24"/>
          <w:lang w:val="en-GB"/>
        </w:rPr>
        <w:t xml:space="preserve">in relation </w:t>
      </w:r>
      <w:r w:rsidR="00F313F7" w:rsidRPr="006067AA">
        <w:rPr>
          <w:rFonts w:cs="Arial"/>
          <w:i/>
          <w:iCs/>
          <w:sz w:val="24"/>
          <w:szCs w:val="24"/>
          <w:lang w:val="en-GB"/>
        </w:rPr>
        <w:t xml:space="preserve">to the identified, </w:t>
      </w:r>
      <w:r w:rsidR="00FA093F">
        <w:rPr>
          <w:rFonts w:cs="Arial"/>
          <w:i/>
          <w:iCs/>
          <w:sz w:val="24"/>
          <w:szCs w:val="24"/>
          <w:lang w:val="en-GB"/>
        </w:rPr>
        <w:t>established competition</w:t>
      </w:r>
      <w:r w:rsidR="00F313F7" w:rsidRPr="006067AA">
        <w:rPr>
          <w:rFonts w:cs="Arial"/>
          <w:i/>
          <w:iCs/>
          <w:sz w:val="24"/>
          <w:szCs w:val="24"/>
          <w:lang w:val="en-GB"/>
        </w:rPr>
        <w:t xml:space="preserve"> problem and technically feasible to implement</w:t>
      </w:r>
      <w:r w:rsidR="00947858" w:rsidRPr="006067AA">
        <w:rPr>
          <w:rFonts w:cs="Arial"/>
          <w:i/>
          <w:iCs/>
          <w:sz w:val="24"/>
          <w:szCs w:val="24"/>
          <w:lang w:val="en-GB"/>
        </w:rPr>
        <w:t>.</w:t>
      </w:r>
      <w:r w:rsidRPr="006067AA">
        <w:rPr>
          <w:rFonts w:cs="Arial"/>
          <w:i/>
          <w:iCs/>
          <w:sz w:val="24"/>
          <w:szCs w:val="24"/>
          <w:lang w:val="en-GB"/>
        </w:rPr>
        <w:t>”</w:t>
      </w:r>
    </w:p>
    <w:p w14:paraId="49B4C750" w14:textId="6C5A5974" w:rsidR="00C027BB" w:rsidRPr="00BC1ABD" w:rsidRDefault="00C16E02" w:rsidP="0049361E">
      <w:pPr>
        <w:spacing w:line="259" w:lineRule="auto"/>
        <w:jc w:val="both"/>
        <w:rPr>
          <w:rFonts w:cs="Arial"/>
          <w:sz w:val="24"/>
          <w:szCs w:val="24"/>
          <w:lang w:val="en-GB"/>
        </w:rPr>
      </w:pPr>
      <w:r w:rsidRPr="00BC1ABD">
        <w:rPr>
          <w:rFonts w:cs="Arial"/>
          <w:sz w:val="24"/>
          <w:szCs w:val="24"/>
          <w:lang w:val="en-GB"/>
        </w:rPr>
        <w:t>In this chapter all possible competition problems that could happen on the relevant wholesale market</w:t>
      </w:r>
      <w:r w:rsidRPr="00BC1ABD">
        <w:rPr>
          <w:rStyle w:val="FootnoteReference"/>
          <w:rFonts w:cs="Arial"/>
          <w:sz w:val="24"/>
          <w:szCs w:val="24"/>
          <w:lang w:val="en-GB"/>
        </w:rPr>
        <w:footnoteReference w:id="103"/>
      </w:r>
      <w:r w:rsidRPr="00BC1ABD">
        <w:rPr>
          <w:rFonts w:cs="Arial"/>
          <w:sz w:val="24"/>
          <w:szCs w:val="24"/>
          <w:lang w:val="en-GB"/>
        </w:rPr>
        <w:t xml:space="preserve"> in </w:t>
      </w:r>
      <w:r w:rsidR="00551721">
        <w:rPr>
          <w:rFonts w:cs="Arial"/>
          <w:sz w:val="24"/>
          <w:szCs w:val="24"/>
          <w:lang w:val="en-GB"/>
        </w:rPr>
        <w:t xml:space="preserve">the </w:t>
      </w:r>
      <w:r w:rsidRPr="00BC1ABD">
        <w:rPr>
          <w:rFonts w:cs="Arial"/>
          <w:sz w:val="24"/>
          <w:szCs w:val="24"/>
          <w:lang w:val="en-GB"/>
        </w:rPr>
        <w:t xml:space="preserve">absence of regulation will for this purpose be analysed and presented with clear examples. This chapter makes the link between the designation of the SMP operator (in chapter </w:t>
      </w:r>
      <w:r w:rsidR="00843D2C">
        <w:rPr>
          <w:rFonts w:cs="Arial"/>
          <w:sz w:val="24"/>
          <w:szCs w:val="24"/>
          <w:lang w:val="en-GB"/>
        </w:rPr>
        <w:t>5</w:t>
      </w:r>
      <w:r w:rsidRPr="00BC1ABD">
        <w:rPr>
          <w:rFonts w:cs="Arial"/>
          <w:sz w:val="24"/>
          <w:szCs w:val="24"/>
          <w:lang w:val="en-GB"/>
        </w:rPr>
        <w:t xml:space="preserve">) and </w:t>
      </w:r>
      <w:r w:rsidR="00947858">
        <w:rPr>
          <w:rFonts w:cs="Arial"/>
          <w:sz w:val="24"/>
          <w:szCs w:val="24"/>
          <w:lang w:val="en-GB"/>
        </w:rPr>
        <w:t xml:space="preserve">the </w:t>
      </w:r>
      <w:r w:rsidRPr="00BC1ABD">
        <w:rPr>
          <w:rFonts w:cs="Arial"/>
          <w:sz w:val="24"/>
          <w:szCs w:val="24"/>
          <w:lang w:val="en-GB"/>
        </w:rPr>
        <w:t xml:space="preserve">definition of regulatory obligations as each regulatory obligation will need to remedy in a proportionate manner one or more competition problems, identified in this </w:t>
      </w:r>
      <w:r w:rsidR="00551721">
        <w:rPr>
          <w:rFonts w:cs="Arial"/>
          <w:sz w:val="24"/>
          <w:szCs w:val="24"/>
          <w:lang w:val="en-GB"/>
        </w:rPr>
        <w:t>C</w:t>
      </w:r>
      <w:r w:rsidRPr="00BC1ABD">
        <w:rPr>
          <w:rFonts w:cs="Arial"/>
          <w:sz w:val="24"/>
          <w:szCs w:val="24"/>
          <w:lang w:val="en-GB"/>
        </w:rPr>
        <w:t>hapter</w:t>
      </w:r>
      <w:r w:rsidR="00C4169B" w:rsidRPr="00BC1ABD">
        <w:rPr>
          <w:rFonts w:cs="Arial"/>
          <w:sz w:val="24"/>
          <w:szCs w:val="24"/>
          <w:lang w:val="en-GB"/>
        </w:rPr>
        <w:t>.</w:t>
      </w:r>
    </w:p>
    <w:p w14:paraId="374F2C2B" w14:textId="217DBF58" w:rsidR="00C72198" w:rsidRPr="00BC1ABD" w:rsidRDefault="00C4169B" w:rsidP="0049361E">
      <w:pPr>
        <w:spacing w:line="259" w:lineRule="auto"/>
        <w:jc w:val="both"/>
        <w:rPr>
          <w:rFonts w:cs="Arial"/>
          <w:sz w:val="24"/>
          <w:szCs w:val="24"/>
          <w:lang w:val="en-GB"/>
        </w:rPr>
      </w:pPr>
      <w:r w:rsidRPr="00BC1ABD">
        <w:rPr>
          <w:rFonts w:cs="Arial"/>
          <w:sz w:val="24"/>
          <w:szCs w:val="24"/>
          <w:lang w:val="en-GB"/>
        </w:rPr>
        <w:t>C</w:t>
      </w:r>
      <w:r w:rsidR="0049361E" w:rsidRPr="00BC1ABD">
        <w:rPr>
          <w:rFonts w:cs="Arial"/>
          <w:sz w:val="24"/>
          <w:szCs w:val="24"/>
          <w:lang w:val="en-GB"/>
        </w:rPr>
        <w:t xml:space="preserve">ompetition </w:t>
      </w:r>
      <w:r w:rsidRPr="00BC1ABD">
        <w:rPr>
          <w:rFonts w:cs="Arial"/>
          <w:sz w:val="24"/>
          <w:szCs w:val="24"/>
          <w:lang w:val="en-GB"/>
        </w:rPr>
        <w:t xml:space="preserve">problems </w:t>
      </w:r>
      <w:r w:rsidR="0049361E" w:rsidRPr="00BC1ABD">
        <w:rPr>
          <w:rFonts w:cs="Arial"/>
          <w:sz w:val="24"/>
          <w:szCs w:val="24"/>
          <w:lang w:val="en-GB"/>
        </w:rPr>
        <w:t xml:space="preserve">may arise from </w:t>
      </w:r>
      <w:r w:rsidR="00551721">
        <w:rPr>
          <w:rFonts w:cs="Arial"/>
          <w:sz w:val="24"/>
          <w:szCs w:val="24"/>
          <w:lang w:val="en-GB"/>
        </w:rPr>
        <w:t>an</w:t>
      </w:r>
      <w:r w:rsidR="0049361E" w:rsidRPr="00BC1ABD">
        <w:rPr>
          <w:rFonts w:cs="Arial"/>
          <w:sz w:val="24"/>
          <w:szCs w:val="24"/>
          <w:lang w:val="en-GB"/>
        </w:rPr>
        <w:t xml:space="preserve"> operator's ability or intention to use its high market share, or dominant position, on the market.</w:t>
      </w:r>
      <w:r w:rsidRPr="00BC1ABD">
        <w:rPr>
          <w:rFonts w:cs="Arial"/>
          <w:sz w:val="24"/>
          <w:szCs w:val="24"/>
          <w:lang w:val="en-GB"/>
        </w:rPr>
        <w:t xml:space="preserve"> </w:t>
      </w:r>
      <w:r w:rsidR="0049361E" w:rsidRPr="00BC1ABD">
        <w:rPr>
          <w:rFonts w:cs="Arial"/>
          <w:sz w:val="24"/>
          <w:szCs w:val="24"/>
          <w:lang w:val="en-GB"/>
        </w:rPr>
        <w:t xml:space="preserve">According to the Revised ERG </w:t>
      </w:r>
      <w:r w:rsidR="0049361E" w:rsidRPr="00E517D9">
        <w:rPr>
          <w:lang w:val="en-US"/>
        </w:rPr>
        <w:t xml:space="preserve">Common Position on the </w:t>
      </w:r>
      <w:r w:rsidR="00947858" w:rsidRPr="00E517D9">
        <w:rPr>
          <w:lang w:val="en-US"/>
        </w:rPr>
        <w:t>A</w:t>
      </w:r>
      <w:r w:rsidR="0049361E" w:rsidRPr="00E517D9">
        <w:rPr>
          <w:lang w:val="en-US"/>
        </w:rPr>
        <w:t xml:space="preserve">pproach to Appropriate </w:t>
      </w:r>
      <w:r w:rsidR="00947858" w:rsidRPr="00E517D9">
        <w:rPr>
          <w:lang w:val="en-US"/>
        </w:rPr>
        <w:t>R</w:t>
      </w:r>
      <w:r w:rsidR="0049361E" w:rsidRPr="00E517D9">
        <w:rPr>
          <w:lang w:val="en-US"/>
        </w:rPr>
        <w:t xml:space="preserve">emedies in the ECNS </w:t>
      </w:r>
      <w:r w:rsidR="00947858" w:rsidRPr="00E517D9">
        <w:rPr>
          <w:lang w:val="en-US"/>
        </w:rPr>
        <w:t>R</w:t>
      </w:r>
      <w:r w:rsidR="0049361E" w:rsidRPr="00E517D9">
        <w:rPr>
          <w:lang w:val="en-US"/>
        </w:rPr>
        <w:t xml:space="preserve">egulatory </w:t>
      </w:r>
      <w:r w:rsidR="00947858" w:rsidRPr="00E517D9">
        <w:rPr>
          <w:lang w:val="en-US"/>
        </w:rPr>
        <w:t>F</w:t>
      </w:r>
      <w:r w:rsidR="0049361E" w:rsidRPr="00E517D9">
        <w:rPr>
          <w:lang w:val="en-US"/>
        </w:rPr>
        <w:t>ramework</w:t>
      </w:r>
      <w:r w:rsidR="0049361E" w:rsidRPr="00BC1ABD">
        <w:rPr>
          <w:rStyle w:val="FootnoteReference"/>
          <w:rFonts w:cs="Arial"/>
          <w:sz w:val="24"/>
          <w:szCs w:val="24"/>
          <w:lang w:val="en-GB"/>
        </w:rPr>
        <w:footnoteReference w:id="104"/>
      </w:r>
      <w:r w:rsidR="0049361E" w:rsidRPr="00BC1ABD">
        <w:rPr>
          <w:rFonts w:cs="Arial"/>
          <w:sz w:val="24"/>
          <w:szCs w:val="24"/>
          <w:lang w:val="en-GB"/>
        </w:rPr>
        <w:t xml:space="preserve"> there are </w:t>
      </w:r>
      <w:r w:rsidR="00C72198" w:rsidRPr="00BC1ABD">
        <w:rPr>
          <w:rFonts w:cs="Arial"/>
          <w:sz w:val="24"/>
          <w:szCs w:val="24"/>
          <w:lang w:val="en-GB"/>
        </w:rPr>
        <w:t xml:space="preserve">four </w:t>
      </w:r>
      <w:r w:rsidR="00E60A56" w:rsidRPr="00BC1ABD">
        <w:rPr>
          <w:rFonts w:cs="Arial"/>
          <w:sz w:val="24"/>
          <w:szCs w:val="24"/>
          <w:lang w:val="en-GB"/>
        </w:rPr>
        <w:t xml:space="preserve">groups of standard </w:t>
      </w:r>
      <w:r w:rsidR="00C72198" w:rsidRPr="00BC1ABD">
        <w:rPr>
          <w:rFonts w:cs="Arial"/>
          <w:sz w:val="24"/>
          <w:szCs w:val="24"/>
          <w:lang w:val="en-GB"/>
        </w:rPr>
        <w:t xml:space="preserve">competition problems on the market </w:t>
      </w:r>
      <w:r w:rsidR="00E60A56" w:rsidRPr="00BC1ABD">
        <w:rPr>
          <w:rFonts w:cs="Arial"/>
          <w:sz w:val="24"/>
          <w:szCs w:val="24"/>
          <w:lang w:val="en-GB"/>
        </w:rPr>
        <w:t>that have been identified based o</w:t>
      </w:r>
      <w:r w:rsidR="00947858">
        <w:rPr>
          <w:rFonts w:cs="Arial"/>
          <w:sz w:val="24"/>
          <w:szCs w:val="24"/>
          <w:lang w:val="en-GB"/>
        </w:rPr>
        <w:t>n</w:t>
      </w:r>
      <w:r w:rsidR="00E60A56" w:rsidRPr="00BC1ABD">
        <w:rPr>
          <w:rFonts w:cs="Arial"/>
          <w:sz w:val="24"/>
          <w:szCs w:val="24"/>
          <w:lang w:val="en-GB"/>
        </w:rPr>
        <w:t xml:space="preserve"> </w:t>
      </w:r>
      <w:r w:rsidR="00947858">
        <w:rPr>
          <w:rFonts w:cs="Arial"/>
          <w:sz w:val="24"/>
          <w:szCs w:val="24"/>
          <w:lang w:val="en-GB"/>
        </w:rPr>
        <w:t xml:space="preserve">the </w:t>
      </w:r>
      <w:r w:rsidR="00E60A56" w:rsidRPr="00BC1ABD">
        <w:rPr>
          <w:rFonts w:cs="Arial"/>
          <w:sz w:val="24"/>
          <w:szCs w:val="24"/>
          <w:lang w:val="en-GB"/>
        </w:rPr>
        <w:t>experiences of regulators</w:t>
      </w:r>
      <w:r w:rsidR="00C72198" w:rsidRPr="00BC1ABD">
        <w:rPr>
          <w:rFonts w:cs="Arial"/>
          <w:sz w:val="24"/>
          <w:szCs w:val="24"/>
          <w:lang w:val="en-GB"/>
        </w:rPr>
        <w:t>:</w:t>
      </w:r>
    </w:p>
    <w:p w14:paraId="735E3ADF" w14:textId="62048FE8" w:rsidR="00C72198"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V</w:t>
      </w:r>
      <w:r w:rsidR="00C72198" w:rsidRPr="00BC1ABD">
        <w:rPr>
          <w:rFonts w:cs="Arial"/>
          <w:sz w:val="24"/>
          <w:szCs w:val="24"/>
          <w:lang w:val="en-GB"/>
        </w:rPr>
        <w:t>ertical leveraging</w:t>
      </w:r>
      <w:r>
        <w:rPr>
          <w:rFonts w:cs="Arial"/>
          <w:sz w:val="24"/>
          <w:szCs w:val="24"/>
          <w:lang w:val="en-GB"/>
        </w:rPr>
        <w:t>;</w:t>
      </w:r>
    </w:p>
    <w:p w14:paraId="01056145" w14:textId="6411A007" w:rsidR="00C72198"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H</w:t>
      </w:r>
      <w:r w:rsidR="00C72198" w:rsidRPr="00BC1ABD">
        <w:rPr>
          <w:rFonts w:cs="Arial"/>
          <w:sz w:val="24"/>
          <w:szCs w:val="24"/>
          <w:lang w:val="en-GB"/>
        </w:rPr>
        <w:t>orizontal leveraging</w:t>
      </w:r>
      <w:r>
        <w:rPr>
          <w:rFonts w:cs="Arial"/>
          <w:sz w:val="24"/>
          <w:szCs w:val="24"/>
          <w:lang w:val="en-GB"/>
        </w:rPr>
        <w:t>;</w:t>
      </w:r>
    </w:p>
    <w:p w14:paraId="4671490A" w14:textId="13352A33" w:rsidR="00C72198"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S</w:t>
      </w:r>
      <w:r w:rsidR="00C72198" w:rsidRPr="00BC1ABD">
        <w:rPr>
          <w:rFonts w:cs="Arial"/>
          <w:sz w:val="24"/>
          <w:szCs w:val="24"/>
          <w:lang w:val="en-GB"/>
        </w:rPr>
        <w:t>ingle market dominance</w:t>
      </w:r>
      <w:r>
        <w:rPr>
          <w:rFonts w:cs="Arial"/>
          <w:sz w:val="24"/>
          <w:szCs w:val="24"/>
          <w:lang w:val="en-GB"/>
        </w:rPr>
        <w:t>;</w:t>
      </w:r>
    </w:p>
    <w:p w14:paraId="030BEE96" w14:textId="79A0B174" w:rsidR="00C72198"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T</w:t>
      </w:r>
      <w:r w:rsidR="00C72198" w:rsidRPr="00BC1ABD">
        <w:rPr>
          <w:rFonts w:cs="Arial"/>
          <w:sz w:val="24"/>
          <w:szCs w:val="24"/>
          <w:lang w:val="en-GB"/>
        </w:rPr>
        <w:t>ermination</w:t>
      </w:r>
      <w:r>
        <w:rPr>
          <w:rFonts w:cs="Arial"/>
          <w:sz w:val="24"/>
          <w:szCs w:val="24"/>
          <w:lang w:val="en-GB"/>
        </w:rPr>
        <w:t>.</w:t>
      </w:r>
    </w:p>
    <w:p w14:paraId="7BCCA949" w14:textId="4E0A807F" w:rsidR="00C72198" w:rsidRPr="00BC1ABD" w:rsidRDefault="00C72198" w:rsidP="0049361E">
      <w:pPr>
        <w:spacing w:line="259" w:lineRule="auto"/>
        <w:jc w:val="both"/>
        <w:rPr>
          <w:rFonts w:cs="Arial"/>
          <w:sz w:val="24"/>
          <w:szCs w:val="24"/>
          <w:lang w:val="en-GB"/>
        </w:rPr>
      </w:pPr>
      <w:r w:rsidRPr="00960461">
        <w:rPr>
          <w:rFonts w:cs="Arial"/>
          <w:sz w:val="24"/>
          <w:szCs w:val="24"/>
          <w:highlight w:val="yellow"/>
          <w:lang w:val="en-GB"/>
        </w:rPr>
        <w:t xml:space="preserve">In the context of this analysis the emphasis will be put on the issue of vertical </w:t>
      </w:r>
      <w:r w:rsidR="0078624A" w:rsidRPr="00960461">
        <w:rPr>
          <w:rFonts w:cs="Arial"/>
          <w:sz w:val="24"/>
          <w:szCs w:val="24"/>
          <w:highlight w:val="yellow"/>
          <w:lang w:val="en-GB"/>
        </w:rPr>
        <w:t>leveraging</w:t>
      </w:r>
      <w:r w:rsidRPr="00960461">
        <w:rPr>
          <w:rFonts w:cs="Arial"/>
          <w:sz w:val="24"/>
          <w:szCs w:val="24"/>
          <w:highlight w:val="yellow"/>
          <w:lang w:val="en-GB"/>
        </w:rPr>
        <w:t xml:space="preserve">, </w:t>
      </w:r>
      <w:r w:rsidR="00947858" w:rsidRPr="00960461">
        <w:rPr>
          <w:rFonts w:cs="Arial"/>
          <w:sz w:val="24"/>
          <w:szCs w:val="24"/>
          <w:highlight w:val="yellow"/>
          <w:lang w:val="en-GB"/>
        </w:rPr>
        <w:t>“</w:t>
      </w:r>
      <w:r w:rsidRPr="00960461">
        <w:rPr>
          <w:rFonts w:cs="Arial"/>
          <w:sz w:val="24"/>
          <w:szCs w:val="24"/>
          <w:highlight w:val="yellow"/>
          <w:lang w:val="en-GB"/>
        </w:rPr>
        <w:t>...</w:t>
      </w:r>
      <w:r w:rsidRPr="00BC1ABD">
        <w:rPr>
          <w:rFonts w:cs="Arial"/>
          <w:sz w:val="24"/>
          <w:szCs w:val="24"/>
          <w:lang w:val="en-GB"/>
        </w:rPr>
        <w:t xml:space="preserve"> </w:t>
      </w:r>
      <w:r w:rsidRPr="00BC1ABD">
        <w:rPr>
          <w:rFonts w:cs="Arial"/>
          <w:i/>
          <w:iCs/>
          <w:sz w:val="24"/>
          <w:szCs w:val="24"/>
          <w:lang w:val="en-GB"/>
        </w:rPr>
        <w:t>any dominant firm’s practice that denies proper access to an essential input it produces to some users of this input, with the intent of extending monopoly power from one segment of the market (the bottleneck segment) to the other (the potentially competitive segment)</w:t>
      </w:r>
      <w:r w:rsidR="007926D1" w:rsidRPr="00BC1ABD">
        <w:rPr>
          <w:rFonts w:cs="Arial"/>
          <w:sz w:val="24"/>
          <w:szCs w:val="24"/>
          <w:lang w:val="en-GB"/>
        </w:rPr>
        <w:t>.</w:t>
      </w:r>
      <w:r w:rsidRPr="00BC1ABD">
        <w:rPr>
          <w:rFonts w:cs="Arial"/>
          <w:sz w:val="24"/>
          <w:szCs w:val="24"/>
          <w:lang w:val="en-GB"/>
        </w:rPr>
        <w:t>“</w:t>
      </w:r>
      <w:r w:rsidRPr="00BC1ABD">
        <w:rPr>
          <w:vertAlign w:val="superscript"/>
          <w:lang w:val="en-GB"/>
        </w:rPr>
        <w:footnoteReference w:id="105"/>
      </w:r>
    </w:p>
    <w:p w14:paraId="75874995" w14:textId="77777777" w:rsidR="00C027BB" w:rsidRPr="00BC1ABD" w:rsidRDefault="007926D1" w:rsidP="0049361E">
      <w:pPr>
        <w:spacing w:line="259" w:lineRule="auto"/>
        <w:jc w:val="both"/>
        <w:rPr>
          <w:rFonts w:cs="Arial"/>
          <w:sz w:val="24"/>
          <w:szCs w:val="24"/>
          <w:lang w:val="en-GB"/>
        </w:rPr>
      </w:pPr>
      <w:r w:rsidRPr="00BC1ABD">
        <w:rPr>
          <w:rFonts w:cs="Arial"/>
          <w:sz w:val="24"/>
          <w:szCs w:val="24"/>
          <w:lang w:val="en-GB"/>
        </w:rPr>
        <w:t xml:space="preserve">There are three usual strategies of </w:t>
      </w:r>
      <w:r w:rsidR="00C72198" w:rsidRPr="00BC1ABD">
        <w:rPr>
          <w:rFonts w:cs="Arial"/>
          <w:sz w:val="24"/>
          <w:szCs w:val="24"/>
          <w:lang w:val="en-GB"/>
        </w:rPr>
        <w:t>vertical leveraging of dominant position on the market:</w:t>
      </w:r>
    </w:p>
    <w:p w14:paraId="621ED7D5" w14:textId="7D45E9C5" w:rsidR="00C027BB"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R</w:t>
      </w:r>
      <w:r w:rsidR="00C72198" w:rsidRPr="00BC1ABD">
        <w:rPr>
          <w:rFonts w:cs="Arial"/>
          <w:sz w:val="24"/>
          <w:szCs w:val="24"/>
          <w:lang w:val="en-GB"/>
        </w:rPr>
        <w:t>efusal to deal</w:t>
      </w:r>
      <w:r w:rsidR="00C027BB" w:rsidRPr="00BC1ABD">
        <w:rPr>
          <w:rFonts w:cs="Arial"/>
          <w:sz w:val="24"/>
          <w:szCs w:val="24"/>
          <w:lang w:val="en-GB"/>
        </w:rPr>
        <w:t>/</w:t>
      </w:r>
      <w:r w:rsidR="00551721">
        <w:rPr>
          <w:rFonts w:cs="Arial"/>
          <w:sz w:val="24"/>
          <w:szCs w:val="24"/>
          <w:lang w:val="en-GB"/>
        </w:rPr>
        <w:t xml:space="preserve"> </w:t>
      </w:r>
      <w:r w:rsidR="00C72198" w:rsidRPr="00BC1ABD">
        <w:rPr>
          <w:rFonts w:cs="Arial"/>
          <w:sz w:val="24"/>
          <w:szCs w:val="24"/>
          <w:lang w:val="en-GB"/>
        </w:rPr>
        <w:t>denial of access</w:t>
      </w:r>
      <w:r>
        <w:rPr>
          <w:rFonts w:cs="Arial"/>
          <w:sz w:val="24"/>
          <w:szCs w:val="24"/>
          <w:lang w:val="en-GB"/>
        </w:rPr>
        <w:t>;</w:t>
      </w:r>
    </w:p>
    <w:p w14:paraId="544AE636" w14:textId="6BF62CE6" w:rsidR="00C027BB"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L</w:t>
      </w:r>
      <w:r w:rsidR="00C72198" w:rsidRPr="00BC1ABD">
        <w:rPr>
          <w:rFonts w:cs="Arial"/>
          <w:sz w:val="24"/>
          <w:szCs w:val="24"/>
          <w:lang w:val="en-GB"/>
        </w:rPr>
        <w:t>everaging by means of non-price variables</w:t>
      </w:r>
      <w:r>
        <w:rPr>
          <w:rFonts w:cs="Arial"/>
          <w:sz w:val="24"/>
          <w:szCs w:val="24"/>
          <w:lang w:val="en-GB"/>
        </w:rPr>
        <w:t>;</w:t>
      </w:r>
    </w:p>
    <w:p w14:paraId="586E8BAB" w14:textId="5E2561D9" w:rsidR="00C027BB" w:rsidRPr="00BC1ABD" w:rsidRDefault="00947858">
      <w:pPr>
        <w:pStyle w:val="ListParagraph"/>
        <w:numPr>
          <w:ilvl w:val="0"/>
          <w:numId w:val="2"/>
        </w:numPr>
        <w:spacing w:line="259" w:lineRule="auto"/>
        <w:jc w:val="both"/>
        <w:rPr>
          <w:rFonts w:cs="Arial"/>
          <w:sz w:val="24"/>
          <w:szCs w:val="24"/>
          <w:lang w:val="en-GB"/>
        </w:rPr>
      </w:pPr>
      <w:r>
        <w:rPr>
          <w:rFonts w:cs="Arial"/>
          <w:sz w:val="24"/>
          <w:szCs w:val="24"/>
          <w:lang w:val="en-GB"/>
        </w:rPr>
        <w:t>L</w:t>
      </w:r>
      <w:r w:rsidR="00C72198" w:rsidRPr="00BC1ABD">
        <w:rPr>
          <w:rFonts w:cs="Arial"/>
          <w:sz w:val="24"/>
          <w:szCs w:val="24"/>
          <w:lang w:val="en-GB"/>
        </w:rPr>
        <w:t>everaging by means of pricing</w:t>
      </w:r>
      <w:r>
        <w:rPr>
          <w:rFonts w:cs="Arial"/>
          <w:sz w:val="24"/>
          <w:szCs w:val="24"/>
          <w:lang w:val="en-GB"/>
        </w:rPr>
        <w:t>.</w:t>
      </w:r>
    </w:p>
    <w:p w14:paraId="23F10819" w14:textId="4160BAC8" w:rsidR="00C4169B" w:rsidRPr="00BC1ABD" w:rsidRDefault="00C4169B" w:rsidP="00E553BF">
      <w:pPr>
        <w:spacing w:line="259" w:lineRule="auto"/>
        <w:jc w:val="both"/>
        <w:rPr>
          <w:rFonts w:cs="Arial"/>
          <w:sz w:val="24"/>
          <w:szCs w:val="24"/>
          <w:lang w:val="en-GB"/>
        </w:rPr>
      </w:pPr>
      <w:r w:rsidRPr="00BC1ABD">
        <w:rPr>
          <w:rFonts w:cs="Arial"/>
          <w:sz w:val="24"/>
          <w:szCs w:val="24"/>
          <w:lang w:val="en-GB"/>
        </w:rPr>
        <w:t>In the ERG document it is stated: “</w:t>
      </w:r>
      <w:r w:rsidRPr="00BC1ABD">
        <w:rPr>
          <w:rFonts w:cs="Arial"/>
          <w:i/>
          <w:iCs/>
          <w:sz w:val="24"/>
          <w:szCs w:val="24"/>
          <w:lang w:val="en-GB"/>
        </w:rPr>
        <w:t>When imposing ex</w:t>
      </w:r>
      <w:r w:rsidR="00947858">
        <w:rPr>
          <w:rFonts w:cs="Arial"/>
          <w:i/>
          <w:iCs/>
          <w:sz w:val="24"/>
          <w:szCs w:val="24"/>
          <w:lang w:val="en-GB"/>
        </w:rPr>
        <w:t>-</w:t>
      </w:r>
      <w:r w:rsidRPr="00BC1ABD">
        <w:rPr>
          <w:rFonts w:cs="Arial"/>
          <w:i/>
          <w:iCs/>
          <w:sz w:val="24"/>
          <w:szCs w:val="24"/>
          <w:lang w:val="en-GB"/>
        </w:rPr>
        <w:t xml:space="preserve">ante remedies NRAs frequently cannot actually observe a certain type of anti-competitive behaviour but </w:t>
      </w:r>
      <w:r w:rsidRPr="00BC1ABD">
        <w:rPr>
          <w:rFonts w:cs="Arial"/>
          <w:i/>
          <w:iCs/>
          <w:sz w:val="24"/>
          <w:szCs w:val="24"/>
          <w:u w:val="single"/>
          <w:lang w:val="en-GB"/>
        </w:rPr>
        <w:t>will have to anticipate the appearance of a particular competition problem based on the incentives of an SMP undertaking to engage in such behaviour</w:t>
      </w:r>
      <w:r w:rsidRPr="00BC1ABD">
        <w:rPr>
          <w:rFonts w:cs="Arial"/>
          <w:i/>
          <w:iCs/>
          <w:sz w:val="24"/>
          <w:szCs w:val="24"/>
          <w:lang w:val="en-GB"/>
        </w:rPr>
        <w:t xml:space="preserve"> which in turn will be investigated in the market analysis. </w:t>
      </w:r>
      <w:r w:rsidR="00816DAE" w:rsidRPr="00BC1ABD">
        <w:rPr>
          <w:rFonts w:cs="Arial"/>
          <w:i/>
          <w:iCs/>
          <w:sz w:val="24"/>
          <w:szCs w:val="24"/>
          <w:lang w:val="en-GB"/>
        </w:rPr>
        <w:t>However,</w:t>
      </w:r>
      <w:r w:rsidRPr="00BC1ABD">
        <w:rPr>
          <w:rFonts w:cs="Arial"/>
          <w:i/>
          <w:iCs/>
          <w:sz w:val="24"/>
          <w:szCs w:val="24"/>
          <w:lang w:val="en-GB"/>
        </w:rPr>
        <w:t xml:space="preserve"> as the imposition of remedies will follow the market definition and market analysis stage, regulators will have detailed market knowledge, and, where a market is not effectively competitive, will have determined SMP and identified the source of market power as well as actual and potential competition problems.” </w:t>
      </w:r>
      <w:r w:rsidRPr="00BC1ABD">
        <w:rPr>
          <w:rFonts w:cs="Arial"/>
          <w:sz w:val="24"/>
          <w:szCs w:val="24"/>
          <w:lang w:val="en-GB"/>
        </w:rPr>
        <w:t xml:space="preserve">This clearly </w:t>
      </w:r>
      <w:r w:rsidR="00947858">
        <w:rPr>
          <w:rFonts w:cs="Arial"/>
          <w:sz w:val="24"/>
          <w:szCs w:val="24"/>
          <w:lang w:val="en-GB"/>
        </w:rPr>
        <w:t>indicates</w:t>
      </w:r>
      <w:r w:rsidRPr="00BC1ABD">
        <w:rPr>
          <w:rFonts w:cs="Arial"/>
          <w:sz w:val="24"/>
          <w:szCs w:val="24"/>
          <w:lang w:val="en-GB"/>
        </w:rPr>
        <w:t xml:space="preserve"> that the analysis in the following chapters </w:t>
      </w:r>
      <w:r w:rsidR="00947858">
        <w:rPr>
          <w:rFonts w:cs="Arial"/>
          <w:sz w:val="24"/>
          <w:szCs w:val="24"/>
          <w:lang w:val="en-GB"/>
        </w:rPr>
        <w:t>should</w:t>
      </w:r>
      <w:r w:rsidRPr="00BC1ABD">
        <w:rPr>
          <w:rFonts w:cs="Arial"/>
          <w:sz w:val="24"/>
          <w:szCs w:val="24"/>
          <w:lang w:val="en-GB"/>
        </w:rPr>
        <w:t xml:space="preserve"> be based on </w:t>
      </w:r>
      <w:r w:rsidR="00947858">
        <w:rPr>
          <w:rFonts w:cs="Arial"/>
          <w:sz w:val="24"/>
          <w:szCs w:val="24"/>
          <w:lang w:val="en-GB"/>
        </w:rPr>
        <w:t xml:space="preserve">the </w:t>
      </w:r>
      <w:r w:rsidRPr="00BC1ABD">
        <w:rPr>
          <w:rFonts w:cs="Arial"/>
          <w:sz w:val="24"/>
          <w:szCs w:val="24"/>
          <w:lang w:val="en-GB"/>
        </w:rPr>
        <w:t xml:space="preserve">most expected behaviour of </w:t>
      </w:r>
      <w:r w:rsidR="00947858">
        <w:rPr>
          <w:rFonts w:cs="Arial"/>
          <w:sz w:val="24"/>
          <w:szCs w:val="24"/>
          <w:lang w:val="en-GB"/>
        </w:rPr>
        <w:t xml:space="preserve">a </w:t>
      </w:r>
      <w:r w:rsidRPr="00BC1ABD">
        <w:rPr>
          <w:rFonts w:cs="Arial"/>
          <w:sz w:val="24"/>
          <w:szCs w:val="24"/>
          <w:lang w:val="en-GB"/>
        </w:rPr>
        <w:t xml:space="preserve">dominant operator, which does not mean that all that behaviour already </w:t>
      </w:r>
      <w:r w:rsidR="00947858">
        <w:rPr>
          <w:rFonts w:cs="Arial"/>
          <w:sz w:val="24"/>
          <w:szCs w:val="24"/>
          <w:lang w:val="en-GB"/>
        </w:rPr>
        <w:t>exists</w:t>
      </w:r>
      <w:r w:rsidRPr="00BC1ABD">
        <w:rPr>
          <w:rFonts w:cs="Arial"/>
          <w:sz w:val="24"/>
          <w:szCs w:val="24"/>
          <w:lang w:val="en-GB"/>
        </w:rPr>
        <w:t xml:space="preserve">, but the logic is that it is very likely to happen in absence of </w:t>
      </w:r>
      <w:r w:rsidRPr="004676CF">
        <w:rPr>
          <w:rFonts w:cs="Arial"/>
          <w:i/>
          <w:iCs/>
          <w:sz w:val="24"/>
          <w:szCs w:val="24"/>
          <w:lang w:val="en-GB"/>
        </w:rPr>
        <w:t>ex-ante</w:t>
      </w:r>
      <w:r w:rsidRPr="00BC1ABD">
        <w:rPr>
          <w:rFonts w:cs="Arial"/>
          <w:sz w:val="24"/>
          <w:szCs w:val="24"/>
          <w:lang w:val="en-GB"/>
        </w:rPr>
        <w:t xml:space="preserve"> regulation</w:t>
      </w:r>
      <w:r w:rsidR="00AB3F45" w:rsidRPr="00BC1ABD">
        <w:rPr>
          <w:rFonts w:cs="Arial"/>
          <w:sz w:val="24"/>
          <w:szCs w:val="24"/>
          <w:lang w:val="en-GB"/>
        </w:rPr>
        <w:t xml:space="preserve"> on the relevant market</w:t>
      </w:r>
      <w:r w:rsidRPr="00BC1ABD">
        <w:rPr>
          <w:rFonts w:cs="Arial"/>
          <w:sz w:val="24"/>
          <w:szCs w:val="24"/>
          <w:lang w:val="en-GB"/>
        </w:rPr>
        <w:t>.</w:t>
      </w:r>
    </w:p>
    <w:p w14:paraId="70D06CEA" w14:textId="52A648A7" w:rsidR="00220F68" w:rsidRPr="00BC1ABD" w:rsidRDefault="00220F68" w:rsidP="00E553BF">
      <w:pPr>
        <w:spacing w:line="259" w:lineRule="auto"/>
        <w:jc w:val="both"/>
        <w:rPr>
          <w:rFonts w:cs="Arial"/>
          <w:sz w:val="24"/>
          <w:szCs w:val="24"/>
          <w:lang w:val="en-GB"/>
        </w:rPr>
      </w:pPr>
      <w:r w:rsidRPr="00BC1ABD">
        <w:rPr>
          <w:rFonts w:cs="Arial"/>
          <w:sz w:val="24"/>
          <w:szCs w:val="24"/>
          <w:lang w:val="en-GB"/>
        </w:rPr>
        <w:t>In this document all kinds of competition problems will be analysed, but it should be highlighted that all those competition problems</w:t>
      </w:r>
      <w:r w:rsidR="00551721">
        <w:rPr>
          <w:rFonts w:cs="Arial"/>
          <w:sz w:val="24"/>
          <w:szCs w:val="24"/>
          <w:lang w:val="en-GB"/>
        </w:rPr>
        <w:t xml:space="preserve"> (</w:t>
      </w:r>
      <w:r w:rsidRPr="00BC1ABD">
        <w:rPr>
          <w:rFonts w:cs="Arial"/>
          <w:sz w:val="24"/>
          <w:szCs w:val="24"/>
          <w:lang w:val="en-GB"/>
        </w:rPr>
        <w:t xml:space="preserve">if not remedied) </w:t>
      </w:r>
      <w:r w:rsidR="00947858">
        <w:rPr>
          <w:rFonts w:cs="Arial"/>
          <w:sz w:val="24"/>
          <w:szCs w:val="24"/>
          <w:lang w:val="en-GB"/>
        </w:rPr>
        <w:t xml:space="preserve">and </w:t>
      </w:r>
      <w:r w:rsidRPr="00BC1ABD">
        <w:rPr>
          <w:rFonts w:cs="Arial"/>
          <w:sz w:val="24"/>
          <w:szCs w:val="24"/>
          <w:lang w:val="en-GB"/>
        </w:rPr>
        <w:t xml:space="preserve">if they are related to </w:t>
      </w:r>
      <w:r w:rsidR="00947858">
        <w:rPr>
          <w:rFonts w:cs="Arial"/>
          <w:sz w:val="24"/>
          <w:szCs w:val="24"/>
          <w:lang w:val="en-GB"/>
        </w:rPr>
        <w:t xml:space="preserve">a </w:t>
      </w:r>
      <w:r w:rsidRPr="00BC1ABD">
        <w:rPr>
          <w:rFonts w:cs="Arial"/>
          <w:sz w:val="24"/>
          <w:szCs w:val="24"/>
          <w:lang w:val="en-GB"/>
        </w:rPr>
        <w:t xml:space="preserve">wholesale service which is </w:t>
      </w:r>
      <w:r w:rsidR="00947858">
        <w:rPr>
          <w:rFonts w:cs="Arial"/>
          <w:sz w:val="24"/>
          <w:szCs w:val="24"/>
          <w:lang w:val="en-GB"/>
        </w:rPr>
        <w:t>a ‘</w:t>
      </w:r>
      <w:r w:rsidRPr="00BC1ABD">
        <w:rPr>
          <w:rFonts w:cs="Arial"/>
          <w:sz w:val="24"/>
          <w:szCs w:val="24"/>
          <w:lang w:val="en-GB"/>
        </w:rPr>
        <w:t>necessary input</w:t>
      </w:r>
      <w:r w:rsidR="00947858">
        <w:rPr>
          <w:rFonts w:cs="Arial"/>
          <w:sz w:val="24"/>
          <w:szCs w:val="24"/>
          <w:lang w:val="en-GB"/>
        </w:rPr>
        <w:t>’</w:t>
      </w:r>
      <w:r w:rsidRPr="00BC1ABD">
        <w:rPr>
          <w:rFonts w:cs="Arial"/>
          <w:sz w:val="24"/>
          <w:szCs w:val="24"/>
          <w:lang w:val="en-GB"/>
        </w:rPr>
        <w:t xml:space="preserve">, could harm </w:t>
      </w:r>
      <w:r w:rsidR="00947858">
        <w:rPr>
          <w:rFonts w:cs="Arial"/>
          <w:sz w:val="24"/>
          <w:szCs w:val="24"/>
          <w:lang w:val="en-GB"/>
        </w:rPr>
        <w:t xml:space="preserve">a </w:t>
      </w:r>
      <w:r w:rsidRPr="00BC1ABD">
        <w:rPr>
          <w:rFonts w:cs="Arial"/>
          <w:sz w:val="24"/>
          <w:szCs w:val="24"/>
          <w:lang w:val="en-GB"/>
        </w:rPr>
        <w:t>possible access</w:t>
      </w:r>
      <w:r w:rsidR="00551721">
        <w:rPr>
          <w:rFonts w:cs="Arial"/>
          <w:sz w:val="24"/>
          <w:szCs w:val="24"/>
          <w:lang w:val="en-GB"/>
        </w:rPr>
        <w:t>-</w:t>
      </w:r>
      <w:r w:rsidRPr="00BC1ABD">
        <w:rPr>
          <w:rFonts w:cs="Arial"/>
          <w:sz w:val="24"/>
          <w:szCs w:val="24"/>
          <w:lang w:val="en-GB"/>
        </w:rPr>
        <w:t xml:space="preserve"> seeker</w:t>
      </w:r>
      <w:r w:rsidR="00947858">
        <w:rPr>
          <w:rFonts w:cs="Arial"/>
          <w:sz w:val="24"/>
          <w:szCs w:val="24"/>
          <w:lang w:val="en-GB"/>
        </w:rPr>
        <w:t xml:space="preserve">. This in turn would harm potential end-users in the market </w:t>
      </w:r>
      <w:r w:rsidRPr="00BC1ABD">
        <w:rPr>
          <w:rFonts w:cs="Arial"/>
          <w:sz w:val="24"/>
          <w:szCs w:val="24"/>
          <w:lang w:val="en-GB"/>
        </w:rPr>
        <w:t xml:space="preserve">and </w:t>
      </w:r>
      <w:r w:rsidR="00947858">
        <w:rPr>
          <w:rFonts w:cs="Arial"/>
          <w:sz w:val="24"/>
          <w:szCs w:val="24"/>
          <w:lang w:val="en-GB"/>
        </w:rPr>
        <w:t>therefore</w:t>
      </w:r>
      <w:r w:rsidRPr="00BC1ABD">
        <w:rPr>
          <w:rFonts w:cs="Arial"/>
          <w:sz w:val="24"/>
          <w:szCs w:val="24"/>
          <w:lang w:val="en-GB"/>
        </w:rPr>
        <w:t xml:space="preserve"> substantially weaken competition in the relevant downstream market.</w:t>
      </w:r>
    </w:p>
    <w:p w14:paraId="06EF31F1" w14:textId="77777777" w:rsidR="00FC57FD" w:rsidRPr="00BC1ABD" w:rsidRDefault="00D744E7" w:rsidP="00B22D08">
      <w:pPr>
        <w:pStyle w:val="Heading2"/>
        <w:numPr>
          <w:ilvl w:val="1"/>
          <w:numId w:val="88"/>
        </w:numPr>
        <w:spacing w:after="240"/>
        <w:rPr>
          <w:lang w:val="en-GB"/>
        </w:rPr>
      </w:pPr>
      <w:bookmarkStart w:id="338" w:name="_Toc169258990"/>
      <w:r w:rsidRPr="00BC1ABD">
        <w:rPr>
          <w:lang w:val="en-GB"/>
        </w:rPr>
        <w:t>Segmentation</w:t>
      </w:r>
      <w:r w:rsidR="00FC57FD" w:rsidRPr="00BC1ABD">
        <w:rPr>
          <w:lang w:val="en-GB"/>
        </w:rPr>
        <w:t xml:space="preserve"> </w:t>
      </w:r>
      <w:r w:rsidRPr="00BC1ABD">
        <w:rPr>
          <w:lang w:val="en-GB"/>
        </w:rPr>
        <w:t xml:space="preserve">of impacts of competition problems in </w:t>
      </w:r>
      <w:r w:rsidR="00163441" w:rsidRPr="00BC1ABD">
        <w:rPr>
          <w:lang w:val="en-GB"/>
        </w:rPr>
        <w:t>Clusters</w:t>
      </w:r>
      <w:r w:rsidR="002A5EF2" w:rsidRPr="00BC1ABD">
        <w:rPr>
          <w:lang w:val="en-GB"/>
        </w:rPr>
        <w:t xml:space="preserve"> I, II and III</w:t>
      </w:r>
      <w:bookmarkEnd w:id="338"/>
    </w:p>
    <w:p w14:paraId="215B9171" w14:textId="5BB55E40" w:rsidR="008B00E5" w:rsidRPr="00BC1ABD" w:rsidRDefault="008B00E5" w:rsidP="008B00E5">
      <w:pPr>
        <w:jc w:val="both"/>
        <w:rPr>
          <w:sz w:val="24"/>
          <w:szCs w:val="24"/>
          <w:lang w:val="en-GB"/>
        </w:rPr>
      </w:pPr>
      <w:r w:rsidRPr="00BC1ABD">
        <w:rPr>
          <w:sz w:val="24"/>
          <w:szCs w:val="24"/>
          <w:lang w:val="en-GB"/>
        </w:rPr>
        <w:t xml:space="preserve">Based on </w:t>
      </w:r>
      <w:r w:rsidR="00947858">
        <w:rPr>
          <w:sz w:val="24"/>
          <w:szCs w:val="24"/>
          <w:lang w:val="en-GB"/>
        </w:rPr>
        <w:t xml:space="preserve">the </w:t>
      </w:r>
      <w:r w:rsidRPr="00BC1ABD">
        <w:rPr>
          <w:sz w:val="24"/>
          <w:szCs w:val="24"/>
          <w:lang w:val="en-GB"/>
        </w:rPr>
        <w:t xml:space="preserve">three usual strategies of vertical leveraging of </w:t>
      </w:r>
      <w:r w:rsidR="00947858">
        <w:rPr>
          <w:sz w:val="24"/>
          <w:szCs w:val="24"/>
          <w:lang w:val="en-GB"/>
        </w:rPr>
        <w:t xml:space="preserve">a </w:t>
      </w:r>
      <w:r w:rsidRPr="00BC1ABD">
        <w:rPr>
          <w:sz w:val="24"/>
          <w:szCs w:val="24"/>
          <w:lang w:val="en-GB"/>
        </w:rPr>
        <w:t>dominant position on the market</w:t>
      </w:r>
      <w:r w:rsidR="00947858">
        <w:rPr>
          <w:sz w:val="24"/>
          <w:szCs w:val="24"/>
          <w:lang w:val="en-GB"/>
        </w:rPr>
        <w:t>, as described above</w:t>
      </w:r>
      <w:r w:rsidRPr="00BC1ABD">
        <w:rPr>
          <w:sz w:val="24"/>
          <w:szCs w:val="24"/>
          <w:lang w:val="en-GB"/>
        </w:rPr>
        <w:t xml:space="preserve">, ComCom has made </w:t>
      </w:r>
      <w:r w:rsidR="00947858">
        <w:rPr>
          <w:sz w:val="24"/>
          <w:szCs w:val="24"/>
          <w:lang w:val="en-GB"/>
        </w:rPr>
        <w:t xml:space="preserve">an </w:t>
      </w:r>
      <w:r w:rsidRPr="00BC1ABD">
        <w:rPr>
          <w:sz w:val="24"/>
          <w:szCs w:val="24"/>
          <w:lang w:val="en-GB"/>
        </w:rPr>
        <w:t xml:space="preserve">analysis of possible developments on the market and </w:t>
      </w:r>
      <w:r w:rsidR="00947858">
        <w:rPr>
          <w:sz w:val="24"/>
          <w:szCs w:val="24"/>
          <w:lang w:val="en-GB"/>
        </w:rPr>
        <w:t xml:space="preserve">the </w:t>
      </w:r>
      <w:r w:rsidRPr="00BC1ABD">
        <w:rPr>
          <w:sz w:val="24"/>
          <w:szCs w:val="24"/>
          <w:lang w:val="en-GB"/>
        </w:rPr>
        <w:t xml:space="preserve">possible behaviour of </w:t>
      </w:r>
      <w:r w:rsidR="00947858">
        <w:rPr>
          <w:sz w:val="24"/>
          <w:szCs w:val="24"/>
          <w:lang w:val="en-GB"/>
        </w:rPr>
        <w:t xml:space="preserve">an </w:t>
      </w:r>
      <w:r w:rsidRPr="00BC1ABD">
        <w:rPr>
          <w:sz w:val="24"/>
          <w:szCs w:val="24"/>
          <w:lang w:val="en-GB"/>
        </w:rPr>
        <w:t xml:space="preserve">SMP operator (in terms of possible competition problems) that could happen in </w:t>
      </w:r>
      <w:r w:rsidR="00947858">
        <w:rPr>
          <w:sz w:val="24"/>
          <w:szCs w:val="24"/>
          <w:lang w:val="en-GB"/>
        </w:rPr>
        <w:t xml:space="preserve">the </w:t>
      </w:r>
      <w:r w:rsidRPr="00BC1ABD">
        <w:rPr>
          <w:sz w:val="24"/>
          <w:szCs w:val="24"/>
          <w:lang w:val="en-GB"/>
        </w:rPr>
        <w:t>absence of regulation.</w:t>
      </w:r>
    </w:p>
    <w:p w14:paraId="50E759F1" w14:textId="2AC45271" w:rsidR="008B00E5" w:rsidRPr="00BC1ABD" w:rsidRDefault="002A5EF2" w:rsidP="008B00E5">
      <w:pPr>
        <w:jc w:val="both"/>
        <w:rPr>
          <w:sz w:val="24"/>
          <w:szCs w:val="24"/>
          <w:lang w:val="en-GB"/>
        </w:rPr>
      </w:pPr>
      <w:r w:rsidRPr="00BC1ABD">
        <w:rPr>
          <w:sz w:val="24"/>
          <w:szCs w:val="24"/>
          <w:lang w:val="en-GB"/>
        </w:rPr>
        <w:t>ComCom found</w:t>
      </w:r>
      <w:r w:rsidR="008B00E5" w:rsidRPr="00BC1ABD">
        <w:rPr>
          <w:sz w:val="24"/>
          <w:szCs w:val="24"/>
          <w:lang w:val="en-GB"/>
        </w:rPr>
        <w:t xml:space="preserve"> that the</w:t>
      </w:r>
      <w:r w:rsidR="00947858">
        <w:rPr>
          <w:sz w:val="24"/>
          <w:szCs w:val="24"/>
          <w:lang w:val="en-GB"/>
        </w:rPr>
        <w:t xml:space="preserve"> </w:t>
      </w:r>
      <w:r w:rsidR="008B00E5" w:rsidRPr="00BC1ABD">
        <w:rPr>
          <w:sz w:val="24"/>
          <w:szCs w:val="24"/>
          <w:lang w:val="en-GB"/>
        </w:rPr>
        <w:t xml:space="preserve">likelihood that competition problems </w:t>
      </w:r>
      <w:r w:rsidR="00947858">
        <w:rPr>
          <w:sz w:val="24"/>
          <w:szCs w:val="24"/>
          <w:lang w:val="en-GB"/>
        </w:rPr>
        <w:t>will occur</w:t>
      </w:r>
      <w:r w:rsidR="00947858" w:rsidRPr="00BC1ABD">
        <w:rPr>
          <w:sz w:val="24"/>
          <w:szCs w:val="24"/>
          <w:lang w:val="en-GB"/>
        </w:rPr>
        <w:t xml:space="preserve"> </w:t>
      </w:r>
      <w:r w:rsidR="008B00E5" w:rsidRPr="00BC1ABD">
        <w:rPr>
          <w:sz w:val="24"/>
          <w:szCs w:val="24"/>
          <w:lang w:val="en-GB"/>
        </w:rPr>
        <w:t>and their possible impact on the interests of end</w:t>
      </w:r>
      <w:r w:rsidR="00947858">
        <w:rPr>
          <w:sz w:val="24"/>
          <w:szCs w:val="24"/>
          <w:lang w:val="en-GB"/>
        </w:rPr>
        <w:t>-</w:t>
      </w:r>
      <w:r w:rsidR="008B00E5" w:rsidRPr="00BC1ABD">
        <w:rPr>
          <w:sz w:val="24"/>
          <w:szCs w:val="24"/>
          <w:lang w:val="en-GB"/>
        </w:rPr>
        <w:t xml:space="preserve">users will likely differ in the settlements belonging to </w:t>
      </w:r>
      <w:r w:rsidR="00163441" w:rsidRPr="00BC1ABD">
        <w:rPr>
          <w:sz w:val="24"/>
          <w:szCs w:val="24"/>
          <w:lang w:val="en-GB"/>
        </w:rPr>
        <w:t>Clusters</w:t>
      </w:r>
      <w:r w:rsidR="008B00E5" w:rsidRPr="00BC1ABD">
        <w:rPr>
          <w:sz w:val="24"/>
          <w:szCs w:val="24"/>
          <w:lang w:val="en-GB"/>
        </w:rPr>
        <w:t xml:space="preserve"> I, II and III, due to </w:t>
      </w:r>
      <w:r w:rsidR="00947858">
        <w:rPr>
          <w:sz w:val="24"/>
          <w:szCs w:val="24"/>
          <w:lang w:val="en-GB"/>
        </w:rPr>
        <w:t xml:space="preserve">the </w:t>
      </w:r>
      <w:r w:rsidR="008B00E5" w:rsidRPr="00BC1ABD">
        <w:rPr>
          <w:sz w:val="24"/>
          <w:szCs w:val="24"/>
          <w:lang w:val="en-GB"/>
        </w:rPr>
        <w:t xml:space="preserve">different conditions of infrastructure competition and </w:t>
      </w:r>
      <w:r w:rsidR="00947858">
        <w:rPr>
          <w:sz w:val="24"/>
          <w:szCs w:val="24"/>
          <w:lang w:val="en-GB"/>
        </w:rPr>
        <w:t xml:space="preserve">the </w:t>
      </w:r>
      <w:r w:rsidR="008B00E5" w:rsidRPr="00BC1ABD">
        <w:rPr>
          <w:sz w:val="24"/>
          <w:szCs w:val="24"/>
          <w:lang w:val="en-GB"/>
        </w:rPr>
        <w:t xml:space="preserve">retail take-up </w:t>
      </w:r>
      <w:r w:rsidR="00947858">
        <w:rPr>
          <w:sz w:val="24"/>
          <w:szCs w:val="24"/>
          <w:lang w:val="en-GB"/>
        </w:rPr>
        <w:t>achieved</w:t>
      </w:r>
      <w:r w:rsidR="008B00E5" w:rsidRPr="00BC1ABD">
        <w:rPr>
          <w:sz w:val="24"/>
          <w:szCs w:val="24"/>
          <w:lang w:val="en-GB"/>
        </w:rPr>
        <w:t xml:space="preserve"> in each of those areas.</w:t>
      </w:r>
    </w:p>
    <w:p w14:paraId="56724DBD" w14:textId="77777777" w:rsidR="008B00E5" w:rsidRPr="00BC1ABD" w:rsidRDefault="00163441" w:rsidP="00722085">
      <w:pPr>
        <w:pStyle w:val="ListParagraph"/>
        <w:numPr>
          <w:ilvl w:val="0"/>
          <w:numId w:val="35"/>
        </w:numPr>
        <w:jc w:val="both"/>
        <w:rPr>
          <w:sz w:val="24"/>
          <w:szCs w:val="24"/>
          <w:lang w:val="en-GB"/>
        </w:rPr>
      </w:pPr>
      <w:r w:rsidRPr="00BC1ABD">
        <w:rPr>
          <w:sz w:val="24"/>
          <w:szCs w:val="24"/>
          <w:lang w:val="en-GB"/>
        </w:rPr>
        <w:t>Cluster</w:t>
      </w:r>
      <w:r w:rsidR="008B00E5" w:rsidRPr="00BC1ABD">
        <w:rPr>
          <w:sz w:val="24"/>
          <w:szCs w:val="24"/>
          <w:lang w:val="en-GB"/>
        </w:rPr>
        <w:t xml:space="preserve"> I</w:t>
      </w:r>
    </w:p>
    <w:p w14:paraId="76A6A359" w14:textId="6511F891" w:rsidR="00947858" w:rsidRDefault="008B00E5" w:rsidP="00947858">
      <w:pPr>
        <w:jc w:val="both"/>
        <w:rPr>
          <w:sz w:val="24"/>
          <w:szCs w:val="24"/>
          <w:lang w:val="en-GB"/>
        </w:rPr>
      </w:pPr>
      <w:r w:rsidRPr="00BC1ABD">
        <w:rPr>
          <w:sz w:val="24"/>
          <w:szCs w:val="24"/>
          <w:lang w:val="en-GB"/>
        </w:rPr>
        <w:t>Because of the lack of infrastructure competition and/</w:t>
      </w:r>
      <w:r w:rsidR="00947858">
        <w:rPr>
          <w:sz w:val="24"/>
          <w:szCs w:val="24"/>
          <w:lang w:val="en-GB"/>
        </w:rPr>
        <w:t xml:space="preserve"> </w:t>
      </w:r>
      <w:r w:rsidRPr="00BC1ABD">
        <w:rPr>
          <w:sz w:val="24"/>
          <w:szCs w:val="24"/>
          <w:lang w:val="en-GB"/>
        </w:rPr>
        <w:t xml:space="preserve">or take-up of the services from competitors in the settlements belonging to </w:t>
      </w:r>
      <w:r w:rsidR="002F05D0" w:rsidRPr="00BC1ABD">
        <w:rPr>
          <w:sz w:val="24"/>
          <w:szCs w:val="24"/>
          <w:lang w:val="en-GB"/>
        </w:rPr>
        <w:t>Cluster</w:t>
      </w:r>
      <w:r w:rsidRPr="00BC1ABD">
        <w:rPr>
          <w:sz w:val="24"/>
          <w:szCs w:val="24"/>
          <w:lang w:val="en-GB"/>
        </w:rPr>
        <w:t xml:space="preserve"> I, all competition problems that will be defined in sections </w:t>
      </w:r>
      <w:r w:rsidR="00AA0ECC">
        <w:rPr>
          <w:sz w:val="24"/>
          <w:szCs w:val="24"/>
          <w:lang w:val="en-GB"/>
        </w:rPr>
        <w:t>7</w:t>
      </w:r>
      <w:r w:rsidRPr="00BC1ABD">
        <w:rPr>
          <w:sz w:val="24"/>
          <w:szCs w:val="24"/>
          <w:lang w:val="en-GB"/>
        </w:rPr>
        <w:t xml:space="preserve">.2. to </w:t>
      </w:r>
      <w:r w:rsidR="00AA0ECC">
        <w:rPr>
          <w:sz w:val="24"/>
          <w:szCs w:val="24"/>
          <w:lang w:val="en-GB"/>
        </w:rPr>
        <w:t>7</w:t>
      </w:r>
      <w:r w:rsidRPr="00BC1ABD">
        <w:rPr>
          <w:sz w:val="24"/>
          <w:szCs w:val="24"/>
          <w:lang w:val="en-GB"/>
        </w:rPr>
        <w:t xml:space="preserve">.4. will be most likely to happen in </w:t>
      </w:r>
      <w:r w:rsidR="002F05D0" w:rsidRPr="00BC1ABD">
        <w:rPr>
          <w:sz w:val="24"/>
          <w:szCs w:val="24"/>
          <w:lang w:val="en-GB"/>
        </w:rPr>
        <w:t>Cluster</w:t>
      </w:r>
      <w:r w:rsidR="00947858">
        <w:rPr>
          <w:sz w:val="24"/>
          <w:szCs w:val="24"/>
          <w:lang w:val="en-GB"/>
        </w:rPr>
        <w:t xml:space="preserve"> I</w:t>
      </w:r>
      <w:r w:rsidRPr="00BC1ABD">
        <w:rPr>
          <w:sz w:val="24"/>
          <w:szCs w:val="24"/>
          <w:lang w:val="en-GB"/>
        </w:rPr>
        <w:t xml:space="preserve">, in </w:t>
      </w:r>
      <w:r w:rsidR="00947858">
        <w:rPr>
          <w:sz w:val="24"/>
          <w:szCs w:val="24"/>
          <w:lang w:val="en-GB"/>
        </w:rPr>
        <w:t xml:space="preserve">the </w:t>
      </w:r>
      <w:r w:rsidRPr="00BC1ABD">
        <w:rPr>
          <w:sz w:val="24"/>
          <w:szCs w:val="24"/>
          <w:lang w:val="en-GB"/>
        </w:rPr>
        <w:t xml:space="preserve">absence of regulation. This will be the case </w:t>
      </w:r>
      <w:r w:rsidR="00947858">
        <w:rPr>
          <w:sz w:val="24"/>
          <w:szCs w:val="24"/>
          <w:lang w:val="en-GB"/>
        </w:rPr>
        <w:t>because</w:t>
      </w:r>
      <w:r w:rsidR="00947858" w:rsidRPr="00BC1ABD">
        <w:rPr>
          <w:sz w:val="24"/>
          <w:szCs w:val="24"/>
          <w:lang w:val="en-GB"/>
        </w:rPr>
        <w:t xml:space="preserve"> </w:t>
      </w:r>
      <w:r w:rsidRPr="00BC1ABD">
        <w:rPr>
          <w:sz w:val="24"/>
          <w:szCs w:val="24"/>
          <w:lang w:val="en-GB"/>
        </w:rPr>
        <w:t xml:space="preserve">in </w:t>
      </w:r>
      <w:r w:rsidR="002F05D0" w:rsidRPr="00BC1ABD">
        <w:rPr>
          <w:sz w:val="24"/>
          <w:szCs w:val="24"/>
          <w:lang w:val="en-GB"/>
        </w:rPr>
        <w:t xml:space="preserve">Cluster </w:t>
      </w:r>
      <w:r w:rsidRPr="00BC1ABD">
        <w:rPr>
          <w:sz w:val="24"/>
          <w:szCs w:val="24"/>
          <w:lang w:val="en-GB"/>
        </w:rPr>
        <w:t xml:space="preserve">I there is no likelihood of </w:t>
      </w:r>
      <w:r w:rsidR="00947858">
        <w:rPr>
          <w:sz w:val="24"/>
          <w:szCs w:val="24"/>
          <w:lang w:val="en-GB"/>
        </w:rPr>
        <w:t xml:space="preserve">the </w:t>
      </w:r>
      <w:r w:rsidRPr="00BC1ABD">
        <w:rPr>
          <w:sz w:val="24"/>
          <w:szCs w:val="24"/>
          <w:lang w:val="en-GB"/>
        </w:rPr>
        <w:t xml:space="preserve">emergence of sufficient competitive constraints to </w:t>
      </w:r>
      <w:r w:rsidR="00947858">
        <w:rPr>
          <w:sz w:val="24"/>
          <w:szCs w:val="24"/>
          <w:lang w:val="en-GB"/>
        </w:rPr>
        <w:t>reduce</w:t>
      </w:r>
      <w:r w:rsidRPr="00BC1ABD">
        <w:rPr>
          <w:sz w:val="24"/>
          <w:szCs w:val="24"/>
          <w:lang w:val="en-GB"/>
        </w:rPr>
        <w:t xml:space="preserve"> the ability or incentives of the SMP operator to misuse its dominant position</w:t>
      </w:r>
      <w:r w:rsidR="00947858">
        <w:rPr>
          <w:sz w:val="24"/>
          <w:szCs w:val="24"/>
          <w:lang w:val="en-GB"/>
        </w:rPr>
        <w:t>. These competition problems are likely to remain in Cluster I settlements during the forward-looking time horizon of this market analysis.</w:t>
      </w:r>
    </w:p>
    <w:p w14:paraId="4B87CD6C" w14:textId="569D9695" w:rsidR="008B00E5" w:rsidRPr="00BC1ABD" w:rsidRDefault="00163441" w:rsidP="004676CF">
      <w:pPr>
        <w:jc w:val="both"/>
        <w:rPr>
          <w:sz w:val="24"/>
          <w:szCs w:val="24"/>
          <w:lang w:val="en-GB"/>
        </w:rPr>
      </w:pPr>
      <w:r w:rsidRPr="00BC1ABD">
        <w:rPr>
          <w:sz w:val="24"/>
          <w:szCs w:val="24"/>
          <w:lang w:val="en-GB"/>
        </w:rPr>
        <w:t>Cluster</w:t>
      </w:r>
      <w:r w:rsidR="008B00E5" w:rsidRPr="00BC1ABD">
        <w:rPr>
          <w:sz w:val="24"/>
          <w:szCs w:val="24"/>
          <w:lang w:val="en-GB"/>
        </w:rPr>
        <w:t xml:space="preserve"> II</w:t>
      </w:r>
    </w:p>
    <w:p w14:paraId="33E07D47" w14:textId="0E84CAB4" w:rsidR="008B00E5" w:rsidRPr="00BC1ABD" w:rsidRDefault="008B00E5" w:rsidP="008B00E5">
      <w:pPr>
        <w:jc w:val="both"/>
        <w:rPr>
          <w:sz w:val="24"/>
          <w:szCs w:val="24"/>
          <w:lang w:val="en-GB"/>
        </w:rPr>
      </w:pPr>
      <w:r w:rsidRPr="00BC1ABD">
        <w:rPr>
          <w:sz w:val="24"/>
          <w:szCs w:val="24"/>
          <w:lang w:val="en-GB"/>
        </w:rPr>
        <w:t xml:space="preserve">In the settlements belonging to </w:t>
      </w:r>
      <w:r w:rsidR="002F05D0" w:rsidRPr="00BC1ABD">
        <w:rPr>
          <w:sz w:val="24"/>
          <w:szCs w:val="24"/>
          <w:lang w:val="en-GB"/>
        </w:rPr>
        <w:t>Cluster</w:t>
      </w:r>
      <w:r w:rsidRPr="00BC1ABD">
        <w:rPr>
          <w:sz w:val="24"/>
          <w:szCs w:val="24"/>
          <w:lang w:val="en-GB"/>
        </w:rPr>
        <w:t xml:space="preserve"> II the infrastructure competition and current take-up of the services from competitors show that the dominant position of the SMP operator is tending towards being contestable in </w:t>
      </w:r>
      <w:r w:rsidR="00947858">
        <w:rPr>
          <w:sz w:val="24"/>
          <w:szCs w:val="24"/>
          <w:lang w:val="en-GB"/>
        </w:rPr>
        <w:t>the</w:t>
      </w:r>
      <w:r w:rsidRPr="00BC1ABD">
        <w:rPr>
          <w:sz w:val="24"/>
          <w:szCs w:val="24"/>
          <w:lang w:val="en-GB"/>
        </w:rPr>
        <w:t xml:space="preserve"> future as the SMP operator</w:t>
      </w:r>
      <w:r w:rsidR="007355E2">
        <w:rPr>
          <w:sz w:val="24"/>
          <w:szCs w:val="24"/>
          <w:lang w:val="en-GB"/>
        </w:rPr>
        <w:t>’s share in broadband subscribers</w:t>
      </w:r>
      <w:r w:rsidRPr="00BC1ABD">
        <w:rPr>
          <w:sz w:val="24"/>
          <w:szCs w:val="24"/>
          <w:lang w:val="en-GB"/>
        </w:rPr>
        <w:t xml:space="preserve"> is </w:t>
      </w:r>
      <w:r w:rsidR="007355E2">
        <w:rPr>
          <w:sz w:val="24"/>
          <w:szCs w:val="24"/>
          <w:lang w:val="en-GB"/>
        </w:rPr>
        <w:t xml:space="preserve">decreasing </w:t>
      </w:r>
      <w:r w:rsidRPr="00BC1ABD">
        <w:rPr>
          <w:sz w:val="24"/>
          <w:szCs w:val="24"/>
          <w:lang w:val="en-GB"/>
        </w:rPr>
        <w:t>in favour of competitors.</w:t>
      </w:r>
    </w:p>
    <w:p w14:paraId="4632ECDA" w14:textId="0114115E" w:rsidR="008B00E5" w:rsidRPr="00BC1ABD" w:rsidRDefault="008B00E5" w:rsidP="008B00E5">
      <w:pPr>
        <w:jc w:val="both"/>
        <w:rPr>
          <w:sz w:val="24"/>
          <w:szCs w:val="24"/>
          <w:lang w:val="en-GB"/>
        </w:rPr>
      </w:pPr>
      <w:r w:rsidRPr="00BC1ABD">
        <w:rPr>
          <w:sz w:val="24"/>
          <w:szCs w:val="24"/>
          <w:lang w:val="en-GB"/>
        </w:rPr>
        <w:t xml:space="preserve">ComCom is of the view that the possible appearance of competition problems that are to be defined in sections </w:t>
      </w:r>
      <w:r w:rsidR="00AA0ECC">
        <w:rPr>
          <w:sz w:val="24"/>
          <w:szCs w:val="24"/>
          <w:lang w:val="en-GB"/>
        </w:rPr>
        <w:t>7</w:t>
      </w:r>
      <w:r w:rsidRPr="00BC1ABD">
        <w:rPr>
          <w:sz w:val="24"/>
          <w:szCs w:val="24"/>
          <w:lang w:val="en-GB"/>
        </w:rPr>
        <w:t xml:space="preserve">.2. to </w:t>
      </w:r>
      <w:r w:rsidR="00AA0ECC">
        <w:rPr>
          <w:sz w:val="24"/>
          <w:szCs w:val="24"/>
          <w:lang w:val="en-GB"/>
        </w:rPr>
        <w:t>7</w:t>
      </w:r>
      <w:r w:rsidRPr="00BC1ABD">
        <w:rPr>
          <w:sz w:val="24"/>
          <w:szCs w:val="24"/>
          <w:lang w:val="en-GB"/>
        </w:rPr>
        <w:t xml:space="preserve">.4. will not be </w:t>
      </w:r>
      <w:r w:rsidR="002A5EF2" w:rsidRPr="00BC1ABD">
        <w:rPr>
          <w:sz w:val="24"/>
          <w:szCs w:val="24"/>
          <w:lang w:val="en-GB"/>
        </w:rPr>
        <w:t>sufficient</w:t>
      </w:r>
      <w:r w:rsidRPr="00BC1ABD">
        <w:rPr>
          <w:sz w:val="24"/>
          <w:szCs w:val="24"/>
          <w:lang w:val="en-GB"/>
        </w:rPr>
        <w:t xml:space="preserve"> to cause the same detriment to the end</w:t>
      </w:r>
      <w:r w:rsidR="00947858">
        <w:rPr>
          <w:sz w:val="24"/>
          <w:szCs w:val="24"/>
          <w:lang w:val="en-GB"/>
        </w:rPr>
        <w:t>-</w:t>
      </w:r>
      <w:r w:rsidRPr="00BC1ABD">
        <w:rPr>
          <w:sz w:val="24"/>
          <w:szCs w:val="24"/>
          <w:lang w:val="en-GB"/>
        </w:rPr>
        <w:t xml:space="preserve">users as in </w:t>
      </w:r>
      <w:r w:rsidR="002F05D0" w:rsidRPr="00BC1ABD">
        <w:rPr>
          <w:sz w:val="24"/>
          <w:szCs w:val="24"/>
          <w:lang w:val="en-GB"/>
        </w:rPr>
        <w:t>Cluster</w:t>
      </w:r>
      <w:r w:rsidRPr="00BC1ABD">
        <w:rPr>
          <w:sz w:val="24"/>
          <w:szCs w:val="24"/>
          <w:lang w:val="en-GB"/>
        </w:rPr>
        <w:t xml:space="preserve"> I, as in </w:t>
      </w:r>
      <w:r w:rsidR="002F05D0" w:rsidRPr="00BC1ABD">
        <w:rPr>
          <w:sz w:val="24"/>
          <w:szCs w:val="24"/>
          <w:lang w:val="en-GB"/>
        </w:rPr>
        <w:t xml:space="preserve">Cluster </w:t>
      </w:r>
      <w:r w:rsidRPr="00BC1ABD">
        <w:rPr>
          <w:sz w:val="24"/>
          <w:szCs w:val="24"/>
          <w:lang w:val="en-GB"/>
        </w:rPr>
        <w:t>II end</w:t>
      </w:r>
      <w:r w:rsidR="00947858">
        <w:rPr>
          <w:sz w:val="24"/>
          <w:szCs w:val="24"/>
          <w:lang w:val="en-GB"/>
        </w:rPr>
        <w:t>-</w:t>
      </w:r>
      <w:r w:rsidRPr="00BC1ABD">
        <w:rPr>
          <w:sz w:val="24"/>
          <w:szCs w:val="24"/>
          <w:lang w:val="en-GB"/>
        </w:rPr>
        <w:t>users most usually will have other choices than using services from the SMP operator.</w:t>
      </w:r>
    </w:p>
    <w:p w14:paraId="2AB53BCA" w14:textId="77777777" w:rsidR="008B00E5" w:rsidRPr="00BC1ABD" w:rsidRDefault="00163441" w:rsidP="00722085">
      <w:pPr>
        <w:pStyle w:val="ListParagraph"/>
        <w:numPr>
          <w:ilvl w:val="0"/>
          <w:numId w:val="35"/>
        </w:numPr>
        <w:jc w:val="both"/>
        <w:rPr>
          <w:sz w:val="24"/>
          <w:szCs w:val="24"/>
          <w:lang w:val="en-GB"/>
        </w:rPr>
      </w:pPr>
      <w:r w:rsidRPr="00BC1ABD">
        <w:rPr>
          <w:sz w:val="24"/>
          <w:szCs w:val="24"/>
          <w:lang w:val="en-GB"/>
        </w:rPr>
        <w:t>Cluster</w:t>
      </w:r>
      <w:r w:rsidR="008B00E5" w:rsidRPr="00BC1ABD">
        <w:rPr>
          <w:sz w:val="24"/>
          <w:szCs w:val="24"/>
          <w:lang w:val="en-GB"/>
        </w:rPr>
        <w:t xml:space="preserve"> III</w:t>
      </w:r>
    </w:p>
    <w:p w14:paraId="05C39100" w14:textId="1E48BB17" w:rsidR="008B00E5" w:rsidRPr="00BC1ABD" w:rsidRDefault="008B00E5" w:rsidP="008B00E5">
      <w:pPr>
        <w:jc w:val="both"/>
        <w:rPr>
          <w:sz w:val="24"/>
          <w:szCs w:val="24"/>
          <w:lang w:val="en-GB"/>
        </w:rPr>
      </w:pPr>
      <w:r w:rsidRPr="00BC1ABD">
        <w:rPr>
          <w:sz w:val="24"/>
          <w:szCs w:val="24"/>
          <w:lang w:val="en-GB"/>
        </w:rPr>
        <w:t xml:space="preserve">The risk of abusive behaviour of the SMP operator in the settlements belonging to </w:t>
      </w:r>
      <w:r w:rsidR="002F05D0" w:rsidRPr="00BC1ABD">
        <w:rPr>
          <w:sz w:val="24"/>
          <w:szCs w:val="24"/>
          <w:lang w:val="en-GB"/>
        </w:rPr>
        <w:t xml:space="preserve">Cluster </w:t>
      </w:r>
      <w:r w:rsidRPr="00BC1ABD">
        <w:rPr>
          <w:sz w:val="24"/>
          <w:szCs w:val="24"/>
          <w:lang w:val="en-GB"/>
        </w:rPr>
        <w:t xml:space="preserve">III is the lowest </w:t>
      </w:r>
      <w:r w:rsidR="00947858">
        <w:rPr>
          <w:sz w:val="24"/>
          <w:szCs w:val="24"/>
          <w:lang w:val="en-GB"/>
        </w:rPr>
        <w:t xml:space="preserve">because the analysis in </w:t>
      </w:r>
      <w:r w:rsidRPr="00BC1ABD">
        <w:rPr>
          <w:sz w:val="24"/>
          <w:szCs w:val="24"/>
          <w:lang w:val="en-GB"/>
        </w:rPr>
        <w:t xml:space="preserve">chapter </w:t>
      </w:r>
      <w:r w:rsidR="008A6727">
        <w:rPr>
          <w:sz w:val="24"/>
          <w:szCs w:val="24"/>
          <w:lang w:val="en-GB"/>
        </w:rPr>
        <w:t>6.6</w:t>
      </w:r>
      <w:r w:rsidRPr="00BC1ABD">
        <w:rPr>
          <w:sz w:val="24"/>
          <w:szCs w:val="24"/>
          <w:lang w:val="en-GB"/>
        </w:rPr>
        <w:t xml:space="preserve"> </w:t>
      </w:r>
      <w:r w:rsidR="00947858">
        <w:rPr>
          <w:sz w:val="24"/>
          <w:szCs w:val="24"/>
          <w:lang w:val="en-GB"/>
        </w:rPr>
        <w:t>indicates a</w:t>
      </w:r>
      <w:r w:rsidRPr="00BC1ABD">
        <w:rPr>
          <w:sz w:val="24"/>
          <w:szCs w:val="24"/>
          <w:lang w:val="en-GB"/>
        </w:rPr>
        <w:t xml:space="preserve"> good level of infrastructure competition and take-up of broadband services </w:t>
      </w:r>
      <w:r w:rsidR="00947858">
        <w:rPr>
          <w:sz w:val="24"/>
          <w:szCs w:val="24"/>
          <w:lang w:val="en-GB"/>
        </w:rPr>
        <w:t xml:space="preserve">from competing suppliers </w:t>
      </w:r>
      <w:r w:rsidRPr="00BC1ABD">
        <w:rPr>
          <w:sz w:val="24"/>
          <w:szCs w:val="24"/>
          <w:lang w:val="en-GB"/>
        </w:rPr>
        <w:t xml:space="preserve">in that </w:t>
      </w:r>
      <w:r w:rsidR="002F05D0" w:rsidRPr="00BC1ABD">
        <w:rPr>
          <w:sz w:val="24"/>
          <w:szCs w:val="24"/>
          <w:lang w:val="en-GB"/>
        </w:rPr>
        <w:t>Cluster</w:t>
      </w:r>
      <w:r w:rsidRPr="00BC1ABD">
        <w:rPr>
          <w:sz w:val="24"/>
          <w:szCs w:val="24"/>
          <w:lang w:val="en-GB"/>
        </w:rPr>
        <w:t xml:space="preserve">. This means that the dominant position of the SMP operator is </w:t>
      </w:r>
      <w:r w:rsidR="00CB0FA7">
        <w:rPr>
          <w:sz w:val="24"/>
          <w:szCs w:val="24"/>
          <w:lang w:val="en-GB"/>
        </w:rPr>
        <w:t xml:space="preserve">already </w:t>
      </w:r>
      <w:r w:rsidRPr="00BC1ABD">
        <w:rPr>
          <w:sz w:val="24"/>
          <w:szCs w:val="24"/>
          <w:lang w:val="en-GB"/>
        </w:rPr>
        <w:t>being  contested by its competitors.</w:t>
      </w:r>
    </w:p>
    <w:p w14:paraId="3A9E4D98" w14:textId="673E1E7F" w:rsidR="001E4C67" w:rsidRPr="00BC1ABD" w:rsidRDefault="008B00E5" w:rsidP="001E4C67">
      <w:pPr>
        <w:jc w:val="both"/>
        <w:rPr>
          <w:lang w:val="en-GB"/>
        </w:rPr>
      </w:pPr>
      <w:r w:rsidRPr="00BC1ABD">
        <w:rPr>
          <w:sz w:val="24"/>
          <w:szCs w:val="24"/>
          <w:lang w:val="en-GB"/>
        </w:rPr>
        <w:t xml:space="preserve">In addition, the SMP operator could </w:t>
      </w:r>
      <w:r w:rsidR="00947858">
        <w:rPr>
          <w:sz w:val="24"/>
          <w:szCs w:val="24"/>
          <w:lang w:val="en-GB"/>
        </w:rPr>
        <w:t>not effectively</w:t>
      </w:r>
      <w:r w:rsidRPr="00BC1ABD">
        <w:rPr>
          <w:sz w:val="24"/>
          <w:szCs w:val="24"/>
          <w:lang w:val="en-GB"/>
        </w:rPr>
        <w:t xml:space="preserve"> use its dominant position by abusing market advantage, </w:t>
      </w:r>
      <w:r w:rsidR="00947858">
        <w:rPr>
          <w:sz w:val="24"/>
          <w:szCs w:val="24"/>
          <w:lang w:val="en-GB"/>
        </w:rPr>
        <w:t>because</w:t>
      </w:r>
      <w:r w:rsidRPr="00BC1ABD">
        <w:rPr>
          <w:sz w:val="24"/>
          <w:szCs w:val="24"/>
          <w:lang w:val="en-GB"/>
        </w:rPr>
        <w:t xml:space="preserve"> access</w:t>
      </w:r>
      <w:r w:rsidR="00CB0FA7">
        <w:rPr>
          <w:sz w:val="24"/>
          <w:szCs w:val="24"/>
          <w:lang w:val="en-GB"/>
        </w:rPr>
        <w:t>=</w:t>
      </w:r>
      <w:r w:rsidRPr="00BC1ABD">
        <w:rPr>
          <w:sz w:val="24"/>
          <w:szCs w:val="24"/>
          <w:lang w:val="en-GB"/>
        </w:rPr>
        <w:t>seekers will have the choice of self-supply.</w:t>
      </w:r>
      <w:r w:rsidRPr="00BC1ABD">
        <w:rPr>
          <w:lang w:val="en-GB"/>
        </w:rPr>
        <w:t xml:space="preserve"> </w:t>
      </w:r>
      <w:r w:rsidRPr="00BC1ABD">
        <w:rPr>
          <w:sz w:val="24"/>
          <w:szCs w:val="24"/>
          <w:lang w:val="en-GB"/>
        </w:rPr>
        <w:t xml:space="preserve">ComCom is of the view that all competition problems that are to be defined in sections </w:t>
      </w:r>
      <w:r w:rsidR="00AA0ECC">
        <w:rPr>
          <w:sz w:val="24"/>
          <w:szCs w:val="24"/>
          <w:lang w:val="en-GB"/>
        </w:rPr>
        <w:t>7</w:t>
      </w:r>
      <w:r w:rsidRPr="00BC1ABD">
        <w:rPr>
          <w:sz w:val="24"/>
          <w:szCs w:val="24"/>
          <w:lang w:val="en-GB"/>
        </w:rPr>
        <w:t xml:space="preserve">.2. to </w:t>
      </w:r>
      <w:r w:rsidR="00AA0ECC">
        <w:rPr>
          <w:sz w:val="24"/>
          <w:szCs w:val="24"/>
          <w:lang w:val="en-GB"/>
        </w:rPr>
        <w:t>7</w:t>
      </w:r>
      <w:r w:rsidRPr="00BC1ABD">
        <w:rPr>
          <w:sz w:val="24"/>
          <w:szCs w:val="24"/>
          <w:lang w:val="en-GB"/>
        </w:rPr>
        <w:t xml:space="preserve">.4., besides denial of access, will not be likely in </w:t>
      </w:r>
      <w:r w:rsidR="00947858">
        <w:rPr>
          <w:sz w:val="24"/>
          <w:szCs w:val="24"/>
          <w:lang w:val="en-GB"/>
        </w:rPr>
        <w:t>Cluster III</w:t>
      </w:r>
      <w:r w:rsidRPr="00BC1ABD">
        <w:rPr>
          <w:sz w:val="24"/>
          <w:szCs w:val="24"/>
          <w:lang w:val="en-GB"/>
        </w:rPr>
        <w:t>.</w:t>
      </w:r>
    </w:p>
    <w:p w14:paraId="66139A95" w14:textId="0CB2620F" w:rsidR="00B271E6" w:rsidRPr="00BC1ABD" w:rsidRDefault="00B271E6" w:rsidP="00B22D08">
      <w:pPr>
        <w:pStyle w:val="Heading2"/>
        <w:numPr>
          <w:ilvl w:val="1"/>
          <w:numId w:val="88"/>
        </w:numPr>
        <w:spacing w:after="240"/>
        <w:rPr>
          <w:lang w:val="en-GB"/>
        </w:rPr>
      </w:pPr>
      <w:bookmarkStart w:id="339" w:name="_Toc169258991"/>
      <w:r w:rsidRPr="00BC1ABD">
        <w:rPr>
          <w:lang w:val="en-GB"/>
        </w:rPr>
        <w:t>Refusal of supply/</w:t>
      </w:r>
      <w:r w:rsidR="0007074E">
        <w:rPr>
          <w:lang w:val="en-GB"/>
        </w:rPr>
        <w:t xml:space="preserve"> </w:t>
      </w:r>
      <w:r w:rsidRPr="00BC1ABD">
        <w:rPr>
          <w:lang w:val="en-GB"/>
        </w:rPr>
        <w:t>Denial of access</w:t>
      </w:r>
      <w:bookmarkEnd w:id="339"/>
    </w:p>
    <w:p w14:paraId="191E2238" w14:textId="251C5BCD" w:rsidR="00CE4652" w:rsidRPr="00BC1ABD" w:rsidRDefault="00E553BF" w:rsidP="00E553BF">
      <w:pPr>
        <w:spacing w:line="259" w:lineRule="auto"/>
        <w:jc w:val="both"/>
        <w:rPr>
          <w:rFonts w:cs="Arial"/>
          <w:sz w:val="24"/>
          <w:szCs w:val="24"/>
          <w:lang w:val="en-GB"/>
        </w:rPr>
      </w:pPr>
      <w:r w:rsidRPr="00BC1ABD">
        <w:rPr>
          <w:rFonts w:cs="Arial"/>
          <w:sz w:val="24"/>
          <w:szCs w:val="24"/>
          <w:lang w:val="en-GB"/>
        </w:rPr>
        <w:t>An</w:t>
      </w:r>
      <w:r w:rsidR="008B5FB1" w:rsidRPr="00BC1ABD">
        <w:rPr>
          <w:rFonts w:cs="Arial"/>
          <w:sz w:val="24"/>
          <w:szCs w:val="24"/>
          <w:lang w:val="en-GB"/>
        </w:rPr>
        <w:t xml:space="preserve"> </w:t>
      </w:r>
      <w:r w:rsidR="00CE4652" w:rsidRPr="00BC1ABD">
        <w:rPr>
          <w:rFonts w:cs="Arial"/>
          <w:sz w:val="24"/>
          <w:szCs w:val="24"/>
          <w:lang w:val="en-GB"/>
        </w:rPr>
        <w:t xml:space="preserve">operator </w:t>
      </w:r>
      <w:r w:rsidRPr="00BC1ABD">
        <w:rPr>
          <w:rFonts w:cs="Arial"/>
          <w:sz w:val="24"/>
          <w:szCs w:val="24"/>
          <w:lang w:val="en-GB"/>
        </w:rPr>
        <w:t>with SMP on th</w:t>
      </w:r>
      <w:r w:rsidR="0007074E">
        <w:rPr>
          <w:rFonts w:cs="Arial"/>
          <w:sz w:val="24"/>
          <w:szCs w:val="24"/>
          <w:lang w:val="en-GB"/>
        </w:rPr>
        <w:t>e</w:t>
      </w:r>
      <w:r w:rsidRPr="00BC1ABD">
        <w:rPr>
          <w:rFonts w:cs="Arial"/>
          <w:sz w:val="24"/>
          <w:szCs w:val="24"/>
          <w:lang w:val="en-GB"/>
        </w:rPr>
        <w:t xml:space="preserve"> </w:t>
      </w:r>
      <w:r w:rsidR="003456DD" w:rsidRPr="003456DD">
        <w:rPr>
          <w:rFonts w:cs="Arial"/>
          <w:sz w:val="24"/>
          <w:szCs w:val="24"/>
          <w:lang w:val="en-GB"/>
        </w:rPr>
        <w:t xml:space="preserve">wholesale local and central access </w:t>
      </w:r>
      <w:r w:rsidRPr="00BC1ABD">
        <w:rPr>
          <w:rFonts w:cs="Arial"/>
          <w:sz w:val="24"/>
          <w:szCs w:val="24"/>
          <w:lang w:val="en-GB"/>
        </w:rPr>
        <w:t xml:space="preserve">market may attempt to leverage its market power </w:t>
      </w:r>
      <w:r w:rsidR="00326C9B" w:rsidRPr="00BC1ABD">
        <w:rPr>
          <w:rFonts w:cs="Arial"/>
          <w:sz w:val="24"/>
          <w:szCs w:val="24"/>
          <w:lang w:val="en-GB"/>
        </w:rPr>
        <w:t xml:space="preserve">on the downstream retail market </w:t>
      </w:r>
      <w:r w:rsidR="00CE4652" w:rsidRPr="00BC1ABD">
        <w:rPr>
          <w:rFonts w:cs="Arial"/>
          <w:sz w:val="24"/>
          <w:szCs w:val="24"/>
          <w:lang w:val="en-GB"/>
        </w:rPr>
        <w:t xml:space="preserve">(the market of retail higher-speed </w:t>
      </w:r>
      <w:r w:rsidR="00CB0FA7">
        <w:rPr>
          <w:rFonts w:cs="Arial"/>
          <w:sz w:val="24"/>
          <w:szCs w:val="24"/>
          <w:lang w:val="en-GB"/>
        </w:rPr>
        <w:t xml:space="preserve">fixed </w:t>
      </w:r>
      <w:r w:rsidR="00CE4652" w:rsidRPr="00BC1ABD">
        <w:rPr>
          <w:rFonts w:cs="Arial"/>
          <w:sz w:val="24"/>
          <w:szCs w:val="24"/>
          <w:lang w:val="en-GB"/>
        </w:rPr>
        <w:t xml:space="preserve">broadband access) </w:t>
      </w:r>
      <w:r w:rsidRPr="00BC1ABD">
        <w:rPr>
          <w:rFonts w:cs="Arial"/>
          <w:sz w:val="24"/>
          <w:szCs w:val="24"/>
          <w:lang w:val="en-GB"/>
        </w:rPr>
        <w:t xml:space="preserve">by denying </w:t>
      </w:r>
      <w:r w:rsidR="00CE4652" w:rsidRPr="00BC1ABD">
        <w:rPr>
          <w:rFonts w:cs="Arial"/>
          <w:sz w:val="24"/>
          <w:szCs w:val="24"/>
          <w:lang w:val="en-GB"/>
        </w:rPr>
        <w:t xml:space="preserve">wholesale </w:t>
      </w:r>
      <w:r w:rsidRPr="00BC1ABD">
        <w:rPr>
          <w:rFonts w:cs="Arial"/>
          <w:sz w:val="24"/>
          <w:szCs w:val="24"/>
          <w:lang w:val="en-GB"/>
        </w:rPr>
        <w:t>access</w:t>
      </w:r>
      <w:r w:rsidR="00CE4652" w:rsidRPr="00BC1ABD">
        <w:rPr>
          <w:rFonts w:cs="Arial"/>
          <w:sz w:val="24"/>
          <w:szCs w:val="24"/>
          <w:lang w:val="en-GB"/>
        </w:rPr>
        <w:t xml:space="preserve"> to its network/</w:t>
      </w:r>
      <w:r w:rsidR="0007074E">
        <w:rPr>
          <w:rFonts w:cs="Arial"/>
          <w:sz w:val="24"/>
          <w:szCs w:val="24"/>
          <w:lang w:val="en-GB"/>
        </w:rPr>
        <w:t xml:space="preserve"> </w:t>
      </w:r>
      <w:r w:rsidRPr="00BC1ABD">
        <w:rPr>
          <w:rFonts w:cs="Arial"/>
          <w:sz w:val="24"/>
          <w:szCs w:val="24"/>
          <w:lang w:val="en-GB"/>
        </w:rPr>
        <w:t xml:space="preserve">refusing to deal with </w:t>
      </w:r>
      <w:r w:rsidR="00CE4652" w:rsidRPr="00BC1ABD">
        <w:rPr>
          <w:rFonts w:cs="Arial"/>
          <w:sz w:val="24"/>
          <w:szCs w:val="24"/>
          <w:lang w:val="en-GB"/>
        </w:rPr>
        <w:t>operators present on</w:t>
      </w:r>
      <w:r w:rsidR="0007074E">
        <w:rPr>
          <w:rFonts w:cs="Arial"/>
          <w:sz w:val="24"/>
          <w:szCs w:val="24"/>
          <w:lang w:val="en-GB"/>
        </w:rPr>
        <w:t xml:space="preserve"> the</w:t>
      </w:r>
      <w:r w:rsidRPr="00BC1ABD">
        <w:rPr>
          <w:rFonts w:cs="Arial"/>
          <w:sz w:val="24"/>
          <w:szCs w:val="24"/>
          <w:lang w:val="en-GB"/>
        </w:rPr>
        <w:t xml:space="preserve"> downstream</w:t>
      </w:r>
      <w:r w:rsidR="00CE4652" w:rsidRPr="00BC1ABD">
        <w:rPr>
          <w:rFonts w:cs="Arial"/>
          <w:sz w:val="24"/>
          <w:szCs w:val="24"/>
          <w:lang w:val="en-GB"/>
        </w:rPr>
        <w:t xml:space="preserve"> retail market </w:t>
      </w:r>
      <w:r w:rsidR="00CB0FA7">
        <w:rPr>
          <w:rFonts w:cs="Arial"/>
          <w:sz w:val="24"/>
          <w:szCs w:val="24"/>
          <w:lang w:val="en-GB"/>
        </w:rPr>
        <w:t xml:space="preserve">that are </w:t>
      </w:r>
      <w:r w:rsidRPr="00BC1ABD">
        <w:rPr>
          <w:rFonts w:cs="Arial"/>
          <w:sz w:val="24"/>
          <w:szCs w:val="24"/>
          <w:lang w:val="en-GB"/>
        </w:rPr>
        <w:t xml:space="preserve">competing with the </w:t>
      </w:r>
      <w:r w:rsidR="00CE4652" w:rsidRPr="00BC1ABD">
        <w:rPr>
          <w:rFonts w:cs="Arial"/>
          <w:sz w:val="24"/>
          <w:szCs w:val="24"/>
          <w:lang w:val="en-GB"/>
        </w:rPr>
        <w:t xml:space="preserve">SMP operator’s </w:t>
      </w:r>
      <w:r w:rsidRPr="00BC1ABD">
        <w:rPr>
          <w:rFonts w:cs="Arial"/>
          <w:sz w:val="24"/>
          <w:szCs w:val="24"/>
          <w:lang w:val="en-GB"/>
        </w:rPr>
        <w:t xml:space="preserve">retail </w:t>
      </w:r>
      <w:r w:rsidR="006B2488" w:rsidRPr="00BC1ABD">
        <w:rPr>
          <w:rFonts w:cs="Arial"/>
          <w:sz w:val="24"/>
          <w:szCs w:val="24"/>
          <w:lang w:val="en-GB"/>
        </w:rPr>
        <w:t>arm</w:t>
      </w:r>
      <w:r w:rsidRPr="00BC1ABD">
        <w:rPr>
          <w:rFonts w:cs="Arial"/>
          <w:sz w:val="24"/>
          <w:szCs w:val="24"/>
          <w:lang w:val="en-GB"/>
        </w:rPr>
        <w:t>.</w:t>
      </w:r>
    </w:p>
    <w:p w14:paraId="34137AE3" w14:textId="48A7E28E" w:rsidR="00220F68" w:rsidRPr="00BC1ABD" w:rsidRDefault="00326C9B" w:rsidP="00E553BF">
      <w:pPr>
        <w:spacing w:line="259" w:lineRule="auto"/>
        <w:jc w:val="both"/>
        <w:rPr>
          <w:rFonts w:cs="Arial"/>
          <w:sz w:val="24"/>
          <w:szCs w:val="24"/>
          <w:lang w:val="en-GB"/>
        </w:rPr>
      </w:pPr>
      <w:r w:rsidRPr="00BC1ABD">
        <w:rPr>
          <w:rFonts w:cs="Arial"/>
          <w:sz w:val="24"/>
          <w:szCs w:val="24"/>
          <w:lang w:val="en-GB"/>
        </w:rPr>
        <w:t>Th</w:t>
      </w:r>
      <w:r w:rsidR="00CE4652" w:rsidRPr="00BC1ABD">
        <w:rPr>
          <w:rFonts w:cs="Arial"/>
          <w:sz w:val="24"/>
          <w:szCs w:val="24"/>
          <w:lang w:val="en-GB"/>
        </w:rPr>
        <w:t>is behaviour</w:t>
      </w:r>
      <w:r w:rsidRPr="00BC1ABD">
        <w:rPr>
          <w:rFonts w:cs="Arial"/>
          <w:sz w:val="24"/>
          <w:szCs w:val="24"/>
          <w:lang w:val="en-GB"/>
        </w:rPr>
        <w:t xml:space="preserve"> is particularly problematic and represents</w:t>
      </w:r>
      <w:r w:rsidR="00CE4652" w:rsidRPr="00BC1ABD">
        <w:rPr>
          <w:rFonts w:cs="Arial"/>
          <w:sz w:val="24"/>
          <w:szCs w:val="24"/>
          <w:lang w:val="en-GB"/>
        </w:rPr>
        <w:t xml:space="preserve"> </w:t>
      </w:r>
      <w:r w:rsidR="0007074E">
        <w:rPr>
          <w:rFonts w:cs="Arial"/>
          <w:sz w:val="24"/>
          <w:szCs w:val="24"/>
          <w:lang w:val="en-GB"/>
        </w:rPr>
        <w:t xml:space="preserve">an </w:t>
      </w:r>
      <w:r w:rsidR="00CE4652" w:rsidRPr="00BC1ABD">
        <w:rPr>
          <w:rFonts w:cs="Arial"/>
          <w:sz w:val="24"/>
          <w:szCs w:val="24"/>
          <w:lang w:val="en-GB"/>
        </w:rPr>
        <w:t>important competition problem</w:t>
      </w:r>
      <w:r w:rsidRPr="00BC1ABD">
        <w:rPr>
          <w:rFonts w:cs="Arial"/>
          <w:sz w:val="24"/>
          <w:szCs w:val="24"/>
          <w:lang w:val="en-GB"/>
        </w:rPr>
        <w:t xml:space="preserve"> if </w:t>
      </w:r>
      <w:r w:rsidR="0007074E">
        <w:rPr>
          <w:rFonts w:cs="Arial"/>
          <w:sz w:val="24"/>
          <w:szCs w:val="24"/>
          <w:lang w:val="en-GB"/>
        </w:rPr>
        <w:t xml:space="preserve">the </w:t>
      </w:r>
      <w:r w:rsidR="00CE4652" w:rsidRPr="00BC1ABD">
        <w:rPr>
          <w:rFonts w:cs="Arial"/>
          <w:sz w:val="24"/>
          <w:szCs w:val="24"/>
          <w:lang w:val="en-GB"/>
        </w:rPr>
        <w:t xml:space="preserve">SMP </w:t>
      </w:r>
      <w:r w:rsidRPr="00BC1ABD">
        <w:rPr>
          <w:rFonts w:cs="Arial"/>
          <w:sz w:val="24"/>
          <w:szCs w:val="24"/>
          <w:lang w:val="en-GB"/>
        </w:rPr>
        <w:t xml:space="preserve">operator is at the same time </w:t>
      </w:r>
      <w:r w:rsidR="0007074E">
        <w:rPr>
          <w:rFonts w:cs="Arial"/>
          <w:sz w:val="24"/>
          <w:szCs w:val="24"/>
          <w:lang w:val="en-GB"/>
        </w:rPr>
        <w:t xml:space="preserve">a </w:t>
      </w:r>
      <w:r w:rsidRPr="00BC1ABD">
        <w:rPr>
          <w:rFonts w:cs="Arial"/>
          <w:sz w:val="24"/>
          <w:szCs w:val="24"/>
          <w:lang w:val="en-GB"/>
        </w:rPr>
        <w:t>potential</w:t>
      </w:r>
      <w:r w:rsidR="00CE4652" w:rsidRPr="00BC1ABD">
        <w:rPr>
          <w:rFonts w:cs="Arial"/>
          <w:sz w:val="24"/>
          <w:szCs w:val="24"/>
          <w:lang w:val="en-GB"/>
        </w:rPr>
        <w:t xml:space="preserve"> </w:t>
      </w:r>
      <w:r w:rsidRPr="00BC1ABD">
        <w:rPr>
          <w:rFonts w:cs="Arial"/>
          <w:sz w:val="24"/>
          <w:szCs w:val="24"/>
          <w:lang w:val="en-GB"/>
        </w:rPr>
        <w:t xml:space="preserve">wholesale service provider of wholesale </w:t>
      </w:r>
      <w:r w:rsidR="00CE4652" w:rsidRPr="00BC1ABD">
        <w:rPr>
          <w:rFonts w:cs="Arial"/>
          <w:sz w:val="24"/>
          <w:szCs w:val="24"/>
          <w:lang w:val="en-GB"/>
        </w:rPr>
        <w:t xml:space="preserve">local and central access </w:t>
      </w:r>
      <w:r w:rsidRPr="00BC1ABD">
        <w:rPr>
          <w:rFonts w:cs="Arial"/>
          <w:sz w:val="24"/>
          <w:szCs w:val="24"/>
          <w:lang w:val="en-GB"/>
        </w:rPr>
        <w:t>services that are</w:t>
      </w:r>
      <w:r w:rsidR="00CE4652" w:rsidRPr="00BC1ABD">
        <w:rPr>
          <w:rFonts w:cs="Arial"/>
          <w:sz w:val="24"/>
          <w:szCs w:val="24"/>
          <w:lang w:val="en-GB"/>
        </w:rPr>
        <w:t xml:space="preserve"> indispensable</w:t>
      </w:r>
      <w:r w:rsidRPr="00BC1ABD">
        <w:rPr>
          <w:rFonts w:cs="Arial"/>
          <w:sz w:val="24"/>
          <w:szCs w:val="24"/>
          <w:lang w:val="en-GB"/>
        </w:rPr>
        <w:t xml:space="preserve"> for </w:t>
      </w:r>
      <w:r w:rsidR="0007074E">
        <w:rPr>
          <w:rFonts w:cs="Arial"/>
          <w:sz w:val="24"/>
          <w:szCs w:val="24"/>
          <w:lang w:val="en-GB"/>
        </w:rPr>
        <w:t xml:space="preserve">the </w:t>
      </w:r>
      <w:r w:rsidRPr="00BC1ABD">
        <w:rPr>
          <w:rFonts w:cs="Arial"/>
          <w:sz w:val="24"/>
          <w:szCs w:val="24"/>
          <w:lang w:val="en-GB"/>
        </w:rPr>
        <w:t>other operators to provide services at the retail level</w:t>
      </w:r>
      <w:r w:rsidR="00CE4652" w:rsidRPr="00BC1ABD">
        <w:rPr>
          <w:rFonts w:cs="Arial"/>
          <w:sz w:val="24"/>
          <w:szCs w:val="24"/>
          <w:lang w:val="en-GB"/>
        </w:rPr>
        <w:t xml:space="preserve">. This means that </w:t>
      </w:r>
      <w:r w:rsidR="0007074E">
        <w:rPr>
          <w:rFonts w:cs="Arial"/>
          <w:sz w:val="24"/>
          <w:szCs w:val="24"/>
          <w:lang w:val="en-GB"/>
        </w:rPr>
        <w:t xml:space="preserve">an </w:t>
      </w:r>
      <w:r w:rsidR="00CE4652" w:rsidRPr="00BC1ABD">
        <w:rPr>
          <w:rFonts w:cs="Arial"/>
          <w:sz w:val="24"/>
          <w:szCs w:val="24"/>
          <w:lang w:val="en-GB"/>
        </w:rPr>
        <w:t xml:space="preserve">operator </w:t>
      </w:r>
      <w:r w:rsidR="00EB2ABF" w:rsidRPr="00BC1ABD">
        <w:rPr>
          <w:rFonts w:cs="Arial"/>
          <w:sz w:val="24"/>
          <w:szCs w:val="24"/>
          <w:lang w:val="en-GB"/>
        </w:rPr>
        <w:t>present</w:t>
      </w:r>
      <w:r w:rsidR="00CE4652" w:rsidRPr="00BC1ABD">
        <w:rPr>
          <w:rFonts w:cs="Arial"/>
          <w:sz w:val="24"/>
          <w:szCs w:val="24"/>
          <w:lang w:val="en-GB"/>
        </w:rPr>
        <w:t xml:space="preserve"> </w:t>
      </w:r>
      <w:r w:rsidR="00E553BF" w:rsidRPr="00BC1ABD">
        <w:rPr>
          <w:rFonts w:cs="Arial"/>
          <w:sz w:val="24"/>
          <w:szCs w:val="24"/>
          <w:lang w:val="en-GB"/>
        </w:rPr>
        <w:t xml:space="preserve">in two vertical markets and </w:t>
      </w:r>
      <w:r w:rsidR="00CE4652" w:rsidRPr="00BC1ABD">
        <w:rPr>
          <w:rFonts w:cs="Arial"/>
          <w:sz w:val="24"/>
          <w:szCs w:val="24"/>
          <w:lang w:val="en-GB"/>
        </w:rPr>
        <w:t>having</w:t>
      </w:r>
      <w:r w:rsidR="00E553BF" w:rsidRPr="00BC1ABD">
        <w:rPr>
          <w:rFonts w:cs="Arial"/>
          <w:sz w:val="24"/>
          <w:szCs w:val="24"/>
          <w:lang w:val="en-GB"/>
        </w:rPr>
        <w:t xml:space="preserve"> SMP in the upstream market may (unfairly) </w:t>
      </w:r>
      <w:r w:rsidR="00CE4652" w:rsidRPr="00BC1ABD">
        <w:rPr>
          <w:rFonts w:cs="Arial"/>
          <w:sz w:val="24"/>
          <w:szCs w:val="24"/>
          <w:lang w:val="en-GB"/>
        </w:rPr>
        <w:t xml:space="preserve">try to </w:t>
      </w:r>
      <w:r w:rsidR="00E553BF" w:rsidRPr="00BC1ABD">
        <w:rPr>
          <w:rFonts w:cs="Arial"/>
          <w:sz w:val="24"/>
          <w:szCs w:val="24"/>
          <w:lang w:val="en-GB"/>
        </w:rPr>
        <w:t xml:space="preserve">strengthen its position in the downstream market </w:t>
      </w:r>
      <w:r w:rsidR="00CE4652" w:rsidRPr="00BC1ABD">
        <w:rPr>
          <w:rFonts w:cs="Arial"/>
          <w:sz w:val="24"/>
          <w:szCs w:val="24"/>
          <w:lang w:val="en-GB"/>
        </w:rPr>
        <w:t>by denying access/</w:t>
      </w:r>
      <w:r w:rsidR="0007074E">
        <w:rPr>
          <w:rFonts w:cs="Arial"/>
          <w:sz w:val="24"/>
          <w:szCs w:val="24"/>
          <w:lang w:val="en-GB"/>
        </w:rPr>
        <w:t xml:space="preserve"> </w:t>
      </w:r>
      <w:r w:rsidR="00CE4652" w:rsidRPr="00BC1ABD">
        <w:rPr>
          <w:rFonts w:cs="Arial"/>
          <w:sz w:val="24"/>
          <w:szCs w:val="24"/>
          <w:lang w:val="en-GB"/>
        </w:rPr>
        <w:t xml:space="preserve">refusing </w:t>
      </w:r>
      <w:r w:rsidR="00E553BF" w:rsidRPr="00BC1ABD">
        <w:rPr>
          <w:rFonts w:cs="Arial"/>
          <w:sz w:val="24"/>
          <w:szCs w:val="24"/>
          <w:lang w:val="en-GB"/>
        </w:rPr>
        <w:t xml:space="preserve">to supply </w:t>
      </w:r>
      <w:r w:rsidR="0007074E">
        <w:rPr>
          <w:rFonts w:cs="Arial"/>
          <w:sz w:val="24"/>
          <w:szCs w:val="24"/>
          <w:lang w:val="en-GB"/>
        </w:rPr>
        <w:t xml:space="preserve">the </w:t>
      </w:r>
      <w:r w:rsidR="00E553BF" w:rsidRPr="00BC1ABD">
        <w:rPr>
          <w:rFonts w:cs="Arial"/>
          <w:sz w:val="24"/>
          <w:szCs w:val="24"/>
          <w:lang w:val="en-GB"/>
        </w:rPr>
        <w:t>downstream competitors.</w:t>
      </w:r>
      <w:r w:rsidR="00220F68" w:rsidRPr="00BC1ABD">
        <w:rPr>
          <w:rFonts w:cs="Arial"/>
          <w:sz w:val="24"/>
          <w:szCs w:val="24"/>
          <w:lang w:val="en-GB"/>
        </w:rPr>
        <w:t xml:space="preserve"> R</w:t>
      </w:r>
      <w:r w:rsidR="00E553BF" w:rsidRPr="00BC1ABD">
        <w:rPr>
          <w:rFonts w:cs="Arial"/>
          <w:sz w:val="24"/>
          <w:szCs w:val="24"/>
          <w:lang w:val="en-GB"/>
        </w:rPr>
        <w:t xml:space="preserve">efusal to deal </w:t>
      </w:r>
      <w:r w:rsidR="00220F68" w:rsidRPr="00BC1ABD">
        <w:rPr>
          <w:rFonts w:cs="Arial"/>
          <w:sz w:val="24"/>
          <w:szCs w:val="24"/>
          <w:lang w:val="en-GB"/>
        </w:rPr>
        <w:t>is not just</w:t>
      </w:r>
      <w:r w:rsidR="0007074E">
        <w:rPr>
          <w:rFonts w:cs="Arial"/>
          <w:sz w:val="24"/>
          <w:szCs w:val="24"/>
          <w:lang w:val="en-GB"/>
        </w:rPr>
        <w:t xml:space="preserve"> the case</w:t>
      </w:r>
      <w:r w:rsidR="00220F68" w:rsidRPr="00BC1ABD">
        <w:rPr>
          <w:rFonts w:cs="Arial"/>
          <w:sz w:val="24"/>
          <w:szCs w:val="24"/>
          <w:lang w:val="en-GB"/>
        </w:rPr>
        <w:t xml:space="preserve"> where </w:t>
      </w:r>
      <w:r w:rsidR="0007074E">
        <w:rPr>
          <w:rFonts w:cs="Arial"/>
          <w:sz w:val="24"/>
          <w:szCs w:val="24"/>
          <w:lang w:val="en-GB"/>
        </w:rPr>
        <w:t xml:space="preserve">the </w:t>
      </w:r>
      <w:r w:rsidR="00220F68" w:rsidRPr="00BC1ABD">
        <w:rPr>
          <w:rFonts w:cs="Arial"/>
          <w:sz w:val="24"/>
          <w:szCs w:val="24"/>
          <w:lang w:val="en-GB"/>
        </w:rPr>
        <w:t xml:space="preserve">SMP operator </w:t>
      </w:r>
      <w:r w:rsidR="00E553BF" w:rsidRPr="00BC1ABD">
        <w:rPr>
          <w:rFonts w:cs="Arial"/>
          <w:sz w:val="24"/>
          <w:szCs w:val="24"/>
          <w:lang w:val="en-GB"/>
        </w:rPr>
        <w:t xml:space="preserve">refuses to supply a </w:t>
      </w:r>
      <w:r w:rsidR="00220F68" w:rsidRPr="00BC1ABD">
        <w:rPr>
          <w:rFonts w:cs="Arial"/>
          <w:sz w:val="24"/>
          <w:szCs w:val="24"/>
          <w:lang w:val="en-GB"/>
        </w:rPr>
        <w:t xml:space="preserve">potential wholesale </w:t>
      </w:r>
      <w:r w:rsidR="00E553BF" w:rsidRPr="00BC1ABD">
        <w:rPr>
          <w:rFonts w:cs="Arial"/>
          <w:sz w:val="24"/>
          <w:szCs w:val="24"/>
          <w:lang w:val="en-GB"/>
        </w:rPr>
        <w:t>customer</w:t>
      </w:r>
      <w:r w:rsidR="00220F68" w:rsidRPr="00BC1ABD">
        <w:rPr>
          <w:rFonts w:cs="Arial"/>
          <w:sz w:val="24"/>
          <w:szCs w:val="24"/>
          <w:lang w:val="en-GB"/>
        </w:rPr>
        <w:t xml:space="preserve"> (and at the same time a retail competitor)</w:t>
      </w:r>
      <w:r w:rsidR="00E553BF" w:rsidRPr="00BC1ABD">
        <w:rPr>
          <w:rFonts w:cs="Arial"/>
          <w:sz w:val="24"/>
          <w:szCs w:val="24"/>
          <w:lang w:val="en-GB"/>
        </w:rPr>
        <w:t xml:space="preserve">, but </w:t>
      </w:r>
      <w:r w:rsidR="0007074E">
        <w:rPr>
          <w:rFonts w:cs="Arial"/>
          <w:sz w:val="24"/>
          <w:szCs w:val="24"/>
          <w:lang w:val="en-GB"/>
        </w:rPr>
        <w:t xml:space="preserve">refusal to deal can also be achieved by </w:t>
      </w:r>
      <w:r w:rsidR="00855052">
        <w:rPr>
          <w:rFonts w:cs="Arial"/>
          <w:sz w:val="24"/>
          <w:szCs w:val="24"/>
          <w:lang w:val="en-GB"/>
        </w:rPr>
        <w:t xml:space="preserve">the </w:t>
      </w:r>
      <w:r w:rsidR="00220F68" w:rsidRPr="00BC1ABD">
        <w:rPr>
          <w:rFonts w:cs="Arial"/>
          <w:sz w:val="24"/>
          <w:szCs w:val="24"/>
          <w:lang w:val="en-GB"/>
        </w:rPr>
        <w:t>SMP operator</w:t>
      </w:r>
      <w:r w:rsidR="0007074E">
        <w:rPr>
          <w:rFonts w:cs="Arial"/>
          <w:sz w:val="24"/>
          <w:szCs w:val="24"/>
          <w:lang w:val="en-GB"/>
        </w:rPr>
        <w:t xml:space="preserve"> offering</w:t>
      </w:r>
      <w:r w:rsidR="00220F68" w:rsidRPr="00BC1ABD">
        <w:rPr>
          <w:rFonts w:cs="Arial"/>
          <w:sz w:val="24"/>
          <w:szCs w:val="24"/>
          <w:lang w:val="en-GB"/>
        </w:rPr>
        <w:t xml:space="preserve"> access on </w:t>
      </w:r>
      <w:r w:rsidR="00E553BF" w:rsidRPr="00BC1ABD">
        <w:rPr>
          <w:rFonts w:cs="Arial"/>
          <w:sz w:val="24"/>
          <w:szCs w:val="24"/>
          <w:lang w:val="en-GB"/>
        </w:rPr>
        <w:t>unreasonable terms</w:t>
      </w:r>
      <w:r w:rsidR="00CB0CB9" w:rsidRPr="00BC1ABD">
        <w:rPr>
          <w:rFonts w:cs="Arial"/>
          <w:sz w:val="24"/>
          <w:szCs w:val="24"/>
          <w:lang w:val="en-GB"/>
        </w:rPr>
        <w:t xml:space="preserve"> (</w:t>
      </w:r>
      <w:r w:rsidR="0007074E">
        <w:rPr>
          <w:rFonts w:cs="Arial"/>
          <w:sz w:val="24"/>
          <w:szCs w:val="24"/>
          <w:lang w:val="en-GB"/>
        </w:rPr>
        <w:t>for example by quoting</w:t>
      </w:r>
      <w:r w:rsidR="00CB0CB9" w:rsidRPr="00BC1ABD">
        <w:rPr>
          <w:rFonts w:cs="Arial"/>
          <w:sz w:val="24"/>
          <w:szCs w:val="24"/>
          <w:lang w:val="en-GB"/>
        </w:rPr>
        <w:t xml:space="preserve"> excessive wholesale prices)</w:t>
      </w:r>
      <w:r w:rsidR="00E553BF" w:rsidRPr="00BC1ABD">
        <w:rPr>
          <w:rFonts w:cs="Arial"/>
          <w:sz w:val="24"/>
          <w:szCs w:val="24"/>
          <w:lang w:val="en-GB"/>
        </w:rPr>
        <w:t>.</w:t>
      </w:r>
    </w:p>
    <w:p w14:paraId="6A5E274F" w14:textId="20E062A5" w:rsidR="0004009A" w:rsidRPr="00BC1ABD" w:rsidRDefault="00855052" w:rsidP="00E553BF">
      <w:pPr>
        <w:spacing w:line="259" w:lineRule="auto"/>
        <w:jc w:val="both"/>
        <w:rPr>
          <w:rFonts w:cs="Arial"/>
          <w:sz w:val="24"/>
          <w:szCs w:val="24"/>
          <w:lang w:val="en-GB"/>
        </w:rPr>
      </w:pPr>
      <w:r>
        <w:rPr>
          <w:rFonts w:cs="Arial"/>
          <w:sz w:val="24"/>
          <w:szCs w:val="24"/>
          <w:lang w:val="en-GB"/>
        </w:rPr>
        <w:t xml:space="preserve">In </w:t>
      </w:r>
      <w:r w:rsidR="007E1F59" w:rsidRPr="00BC1ABD">
        <w:rPr>
          <w:rFonts w:cs="Arial"/>
          <w:sz w:val="24"/>
          <w:szCs w:val="24"/>
          <w:lang w:val="en-GB"/>
        </w:rPr>
        <w:t>ComCom’s view, in the absence of regulation</w:t>
      </w:r>
      <w:r w:rsidR="006C0CA0" w:rsidRPr="00BC1ABD">
        <w:rPr>
          <w:rFonts w:cs="Arial"/>
          <w:sz w:val="24"/>
          <w:szCs w:val="24"/>
          <w:lang w:val="en-GB"/>
        </w:rPr>
        <w:t xml:space="preserve"> on this relevant wholesale market</w:t>
      </w:r>
      <w:r w:rsidR="007E1F59" w:rsidRPr="00BC1ABD">
        <w:rPr>
          <w:rFonts w:cs="Arial"/>
          <w:sz w:val="24"/>
          <w:szCs w:val="24"/>
          <w:lang w:val="en-GB"/>
        </w:rPr>
        <w:t xml:space="preserve">, </w:t>
      </w:r>
      <w:r w:rsidR="006C0CA0" w:rsidRPr="00BC1ABD">
        <w:rPr>
          <w:rFonts w:cs="Arial"/>
          <w:sz w:val="24"/>
          <w:szCs w:val="24"/>
          <w:lang w:val="en-GB"/>
        </w:rPr>
        <w:t xml:space="preserve">it is very likely that </w:t>
      </w:r>
      <w:r>
        <w:rPr>
          <w:rFonts w:cs="Arial"/>
          <w:sz w:val="24"/>
          <w:szCs w:val="24"/>
          <w:lang w:val="en-GB"/>
        </w:rPr>
        <w:t>the</w:t>
      </w:r>
      <w:r w:rsidR="0007074E">
        <w:rPr>
          <w:rFonts w:cs="Arial"/>
          <w:sz w:val="24"/>
          <w:szCs w:val="24"/>
          <w:lang w:val="en-GB"/>
        </w:rPr>
        <w:t xml:space="preserve"> </w:t>
      </w:r>
      <w:r w:rsidR="006C0CA0" w:rsidRPr="00BC1ABD">
        <w:rPr>
          <w:rFonts w:cs="Arial"/>
          <w:sz w:val="24"/>
          <w:szCs w:val="24"/>
          <w:lang w:val="en-GB"/>
        </w:rPr>
        <w:t xml:space="preserve">SMP </w:t>
      </w:r>
      <w:r w:rsidR="007E1F59" w:rsidRPr="00BC1ABD">
        <w:rPr>
          <w:rFonts w:cs="Arial"/>
          <w:sz w:val="24"/>
          <w:szCs w:val="24"/>
          <w:lang w:val="en-GB"/>
        </w:rPr>
        <w:t xml:space="preserve">operator could deny </w:t>
      </w:r>
      <w:r w:rsidR="006C0CA0" w:rsidRPr="00BC1ABD">
        <w:rPr>
          <w:rFonts w:cs="Arial"/>
          <w:sz w:val="24"/>
          <w:szCs w:val="24"/>
          <w:lang w:val="en-GB"/>
        </w:rPr>
        <w:t xml:space="preserve">wholesale local and central </w:t>
      </w:r>
      <w:r w:rsidR="007E1F59" w:rsidRPr="00BC1ABD">
        <w:rPr>
          <w:rFonts w:cs="Arial"/>
          <w:sz w:val="24"/>
          <w:szCs w:val="24"/>
          <w:lang w:val="en-GB"/>
        </w:rPr>
        <w:t>access to its network and refuse negotiations with potential competitors</w:t>
      </w:r>
      <w:r w:rsidR="006C0CA0" w:rsidRPr="00BC1ABD">
        <w:rPr>
          <w:rFonts w:cs="Arial"/>
          <w:sz w:val="24"/>
          <w:szCs w:val="24"/>
          <w:lang w:val="en-GB"/>
        </w:rPr>
        <w:t xml:space="preserve"> on </w:t>
      </w:r>
      <w:r w:rsidR="0007074E">
        <w:rPr>
          <w:rFonts w:cs="Arial"/>
          <w:sz w:val="24"/>
          <w:szCs w:val="24"/>
          <w:lang w:val="en-GB"/>
        </w:rPr>
        <w:t xml:space="preserve">the </w:t>
      </w:r>
      <w:r w:rsidR="006C0CA0" w:rsidRPr="00BC1ABD">
        <w:rPr>
          <w:rFonts w:cs="Arial"/>
          <w:sz w:val="24"/>
          <w:szCs w:val="24"/>
          <w:lang w:val="en-GB"/>
        </w:rPr>
        <w:t>retail level</w:t>
      </w:r>
      <w:r w:rsidR="0007074E">
        <w:rPr>
          <w:rFonts w:cs="Arial"/>
          <w:sz w:val="24"/>
          <w:szCs w:val="24"/>
          <w:lang w:val="en-GB"/>
        </w:rPr>
        <w:t>.</w:t>
      </w:r>
      <w:r w:rsidR="006C0CA0" w:rsidRPr="00BC1ABD">
        <w:rPr>
          <w:rFonts w:cs="Arial"/>
          <w:sz w:val="24"/>
          <w:szCs w:val="24"/>
          <w:lang w:val="en-GB"/>
        </w:rPr>
        <w:t xml:space="preserve"> </w:t>
      </w:r>
      <w:r w:rsidR="007E1F59" w:rsidRPr="00BC1ABD">
        <w:rPr>
          <w:rFonts w:cs="Arial"/>
          <w:sz w:val="24"/>
          <w:szCs w:val="24"/>
          <w:lang w:val="en-GB"/>
        </w:rPr>
        <w:t>Th</w:t>
      </w:r>
      <w:r w:rsidR="006C0CA0" w:rsidRPr="00BC1ABD">
        <w:rPr>
          <w:rFonts w:cs="Arial"/>
          <w:sz w:val="24"/>
          <w:szCs w:val="24"/>
          <w:lang w:val="en-GB"/>
        </w:rPr>
        <w:t xml:space="preserve">is behaviour </w:t>
      </w:r>
      <w:r w:rsidR="007E1F59" w:rsidRPr="00BC1ABD">
        <w:rPr>
          <w:rFonts w:cs="Arial"/>
          <w:sz w:val="24"/>
          <w:szCs w:val="24"/>
          <w:lang w:val="en-GB"/>
        </w:rPr>
        <w:t xml:space="preserve">of a vertically integrated </w:t>
      </w:r>
      <w:r w:rsidR="006C0CA0" w:rsidRPr="00BC1ABD">
        <w:rPr>
          <w:rFonts w:cs="Arial"/>
          <w:sz w:val="24"/>
          <w:szCs w:val="24"/>
          <w:lang w:val="en-GB"/>
        </w:rPr>
        <w:t xml:space="preserve">SMP </w:t>
      </w:r>
      <w:r w:rsidR="007E1F59" w:rsidRPr="00BC1ABD">
        <w:rPr>
          <w:rFonts w:cs="Arial"/>
          <w:sz w:val="24"/>
          <w:szCs w:val="24"/>
          <w:lang w:val="en-GB"/>
        </w:rPr>
        <w:t xml:space="preserve">operator would have </w:t>
      </w:r>
      <w:r w:rsidR="0007074E">
        <w:rPr>
          <w:rFonts w:cs="Arial"/>
          <w:sz w:val="24"/>
          <w:szCs w:val="24"/>
          <w:lang w:val="en-GB"/>
        </w:rPr>
        <w:t>a</w:t>
      </w:r>
      <w:r w:rsidR="007E1F59" w:rsidRPr="00BC1ABD">
        <w:rPr>
          <w:rFonts w:cs="Arial"/>
          <w:sz w:val="24"/>
          <w:szCs w:val="24"/>
          <w:lang w:val="en-GB"/>
        </w:rPr>
        <w:t xml:space="preserve"> </w:t>
      </w:r>
      <w:r w:rsidR="0007074E">
        <w:rPr>
          <w:rFonts w:cs="Arial"/>
          <w:sz w:val="24"/>
          <w:szCs w:val="24"/>
          <w:lang w:val="en-GB"/>
        </w:rPr>
        <w:t>significant</w:t>
      </w:r>
      <w:r w:rsidR="007E1F59" w:rsidRPr="00BC1ABD">
        <w:rPr>
          <w:rFonts w:cs="Arial"/>
          <w:sz w:val="24"/>
          <w:szCs w:val="24"/>
          <w:lang w:val="en-GB"/>
        </w:rPr>
        <w:t xml:space="preserve"> impact on competition </w:t>
      </w:r>
      <w:r w:rsidR="0007074E">
        <w:rPr>
          <w:rFonts w:cs="Arial"/>
          <w:sz w:val="24"/>
          <w:szCs w:val="24"/>
          <w:lang w:val="en-GB"/>
        </w:rPr>
        <w:t>in</w:t>
      </w:r>
      <w:r w:rsidR="007E1F59" w:rsidRPr="00BC1ABD">
        <w:rPr>
          <w:rFonts w:cs="Arial"/>
          <w:sz w:val="24"/>
          <w:szCs w:val="24"/>
          <w:lang w:val="en-GB"/>
        </w:rPr>
        <w:t xml:space="preserve"> the </w:t>
      </w:r>
      <w:r w:rsidR="006C0CA0" w:rsidRPr="00BC1ABD">
        <w:rPr>
          <w:rFonts w:cs="Arial"/>
          <w:sz w:val="24"/>
          <w:szCs w:val="24"/>
          <w:lang w:val="en-GB"/>
        </w:rPr>
        <w:t xml:space="preserve">downstream </w:t>
      </w:r>
      <w:r w:rsidR="007E1F59" w:rsidRPr="00BC1ABD">
        <w:rPr>
          <w:rFonts w:cs="Arial"/>
          <w:sz w:val="24"/>
          <w:szCs w:val="24"/>
          <w:lang w:val="en-GB"/>
        </w:rPr>
        <w:t>retail market</w:t>
      </w:r>
      <w:r w:rsidR="006C0CA0" w:rsidRPr="00BC1ABD">
        <w:rPr>
          <w:rFonts w:cs="Arial"/>
          <w:sz w:val="24"/>
          <w:szCs w:val="24"/>
          <w:lang w:val="en-GB"/>
        </w:rPr>
        <w:t xml:space="preserve"> </w:t>
      </w:r>
      <w:r w:rsidR="0007074E">
        <w:rPr>
          <w:rFonts w:cs="Arial"/>
          <w:sz w:val="24"/>
          <w:szCs w:val="24"/>
          <w:lang w:val="en-GB"/>
        </w:rPr>
        <w:t>because</w:t>
      </w:r>
      <w:r w:rsidR="006C0CA0" w:rsidRPr="00BC1ABD">
        <w:rPr>
          <w:rFonts w:cs="Arial"/>
          <w:sz w:val="24"/>
          <w:szCs w:val="24"/>
          <w:lang w:val="en-GB"/>
        </w:rPr>
        <w:t xml:space="preserve"> most of the operators would not be able to offer their services to the customers no</w:t>
      </w:r>
      <w:r w:rsidR="0007074E">
        <w:rPr>
          <w:rFonts w:cs="Arial"/>
          <w:sz w:val="24"/>
          <w:szCs w:val="24"/>
          <w:lang w:val="en-GB"/>
        </w:rPr>
        <w:t>t</w:t>
      </w:r>
      <w:r w:rsidR="006C0CA0" w:rsidRPr="00BC1ABD">
        <w:rPr>
          <w:rFonts w:cs="Arial"/>
          <w:sz w:val="24"/>
          <w:szCs w:val="24"/>
          <w:lang w:val="en-GB"/>
        </w:rPr>
        <w:t xml:space="preserve"> covered by their </w:t>
      </w:r>
      <w:r w:rsidR="00F026B4">
        <w:rPr>
          <w:rFonts w:cs="Arial"/>
          <w:sz w:val="24"/>
          <w:szCs w:val="24"/>
          <w:lang w:val="en-GB"/>
        </w:rPr>
        <w:t>FTTx</w:t>
      </w:r>
      <w:r w:rsidR="006C0CA0" w:rsidRPr="00BC1ABD">
        <w:rPr>
          <w:rFonts w:cs="Arial"/>
          <w:sz w:val="24"/>
          <w:szCs w:val="24"/>
          <w:lang w:val="en-GB"/>
        </w:rPr>
        <w:t xml:space="preserve"> network but covered by the </w:t>
      </w:r>
      <w:r w:rsidR="00F026B4">
        <w:rPr>
          <w:rFonts w:cs="Arial"/>
          <w:sz w:val="24"/>
          <w:szCs w:val="24"/>
          <w:lang w:val="en-GB"/>
        </w:rPr>
        <w:t>FTTx</w:t>
      </w:r>
      <w:r w:rsidR="006C0CA0" w:rsidRPr="00BC1ABD">
        <w:rPr>
          <w:rFonts w:cs="Arial"/>
          <w:sz w:val="24"/>
          <w:szCs w:val="24"/>
          <w:lang w:val="en-GB"/>
        </w:rPr>
        <w:t xml:space="preserve"> network of </w:t>
      </w:r>
      <w:r w:rsidR="0007074E">
        <w:rPr>
          <w:rFonts w:cs="Arial"/>
          <w:sz w:val="24"/>
          <w:szCs w:val="24"/>
          <w:lang w:val="en-GB"/>
        </w:rPr>
        <w:t xml:space="preserve">the </w:t>
      </w:r>
      <w:r w:rsidR="006C0CA0" w:rsidRPr="00BC1ABD">
        <w:rPr>
          <w:rFonts w:cs="Arial"/>
          <w:sz w:val="24"/>
          <w:szCs w:val="24"/>
          <w:lang w:val="en-GB"/>
        </w:rPr>
        <w:t>SMP operator</w:t>
      </w:r>
      <w:r w:rsidR="0007074E">
        <w:rPr>
          <w:rFonts w:cs="Arial"/>
          <w:sz w:val="24"/>
          <w:szCs w:val="24"/>
          <w:lang w:val="en-GB"/>
        </w:rPr>
        <w:t xml:space="preserve">. The impact would be to reduce the options available to </w:t>
      </w:r>
      <w:r w:rsidR="00E553BF" w:rsidRPr="00BC1ABD">
        <w:rPr>
          <w:rFonts w:cs="Arial"/>
          <w:sz w:val="24"/>
          <w:szCs w:val="24"/>
          <w:lang w:val="en-GB"/>
        </w:rPr>
        <w:t>the end-users</w:t>
      </w:r>
      <w:r w:rsidR="0006308E" w:rsidRPr="00BC1ABD">
        <w:rPr>
          <w:rFonts w:cs="Arial"/>
          <w:sz w:val="24"/>
          <w:szCs w:val="24"/>
          <w:lang w:val="en-GB"/>
        </w:rPr>
        <w:t xml:space="preserve"> in terms of the services and tariffs offered to them.</w:t>
      </w:r>
    </w:p>
    <w:p w14:paraId="39170187" w14:textId="1597336F" w:rsidR="0004009A" w:rsidRPr="00BC1ABD" w:rsidRDefault="00D36E4F" w:rsidP="00E553BF">
      <w:pPr>
        <w:spacing w:line="259" w:lineRule="auto"/>
        <w:jc w:val="both"/>
        <w:rPr>
          <w:rFonts w:cs="Arial"/>
          <w:sz w:val="24"/>
          <w:szCs w:val="24"/>
          <w:lang w:val="en-GB"/>
        </w:rPr>
      </w:pPr>
      <w:r w:rsidRPr="00BC1ABD">
        <w:rPr>
          <w:rFonts w:cs="Arial"/>
          <w:sz w:val="24"/>
          <w:szCs w:val="24"/>
          <w:lang w:val="en-GB"/>
        </w:rPr>
        <w:t xml:space="preserve">In ComCom’s view, </w:t>
      </w:r>
      <w:r w:rsidR="0004009A" w:rsidRPr="00BC1ABD">
        <w:rPr>
          <w:rFonts w:cs="Arial"/>
          <w:sz w:val="24"/>
          <w:szCs w:val="24"/>
          <w:lang w:val="en-GB"/>
        </w:rPr>
        <w:t xml:space="preserve">apart from denying </w:t>
      </w:r>
      <w:r w:rsidR="0007074E">
        <w:rPr>
          <w:rFonts w:cs="Arial"/>
          <w:sz w:val="24"/>
          <w:szCs w:val="24"/>
          <w:lang w:val="en-GB"/>
        </w:rPr>
        <w:t>wholesale</w:t>
      </w:r>
      <w:r w:rsidR="0004009A" w:rsidRPr="00BC1ABD">
        <w:rPr>
          <w:rFonts w:cs="Arial"/>
          <w:sz w:val="24"/>
          <w:szCs w:val="24"/>
          <w:lang w:val="en-GB"/>
        </w:rPr>
        <w:t xml:space="preserve"> access, </w:t>
      </w:r>
      <w:r w:rsidR="0007074E">
        <w:rPr>
          <w:rFonts w:cs="Arial"/>
          <w:sz w:val="24"/>
          <w:szCs w:val="24"/>
          <w:lang w:val="en-GB"/>
        </w:rPr>
        <w:t xml:space="preserve">the </w:t>
      </w:r>
      <w:r w:rsidRPr="00BC1ABD">
        <w:rPr>
          <w:rFonts w:cs="Arial"/>
          <w:sz w:val="24"/>
          <w:szCs w:val="24"/>
          <w:lang w:val="en-GB"/>
        </w:rPr>
        <w:t xml:space="preserve">SMP operator could have </w:t>
      </w:r>
      <w:r w:rsidR="0007074E">
        <w:rPr>
          <w:rFonts w:cs="Arial"/>
          <w:sz w:val="24"/>
          <w:szCs w:val="24"/>
          <w:lang w:val="en-GB"/>
        </w:rPr>
        <w:t xml:space="preserve">a </w:t>
      </w:r>
      <w:r w:rsidRPr="00BC1ABD">
        <w:rPr>
          <w:rFonts w:cs="Arial"/>
          <w:sz w:val="24"/>
          <w:szCs w:val="24"/>
          <w:lang w:val="en-GB"/>
        </w:rPr>
        <w:t xml:space="preserve">strong </w:t>
      </w:r>
      <w:r w:rsidR="0004009A" w:rsidRPr="00BC1ABD">
        <w:rPr>
          <w:rFonts w:cs="Arial"/>
          <w:sz w:val="24"/>
          <w:szCs w:val="24"/>
          <w:lang w:val="en-GB"/>
        </w:rPr>
        <w:t>incentive</w:t>
      </w:r>
      <w:r w:rsidRPr="00BC1ABD">
        <w:rPr>
          <w:rFonts w:cs="Arial"/>
          <w:sz w:val="24"/>
          <w:szCs w:val="24"/>
          <w:lang w:val="en-GB"/>
        </w:rPr>
        <w:t xml:space="preserve"> to offer </w:t>
      </w:r>
      <w:r w:rsidR="0004009A" w:rsidRPr="00BC1ABD">
        <w:rPr>
          <w:rFonts w:cs="Arial"/>
          <w:sz w:val="24"/>
          <w:szCs w:val="24"/>
          <w:lang w:val="en-GB"/>
        </w:rPr>
        <w:t xml:space="preserve">unreasonable </w:t>
      </w:r>
      <w:r w:rsidRPr="00BC1ABD">
        <w:rPr>
          <w:rFonts w:cs="Arial"/>
          <w:sz w:val="24"/>
          <w:szCs w:val="24"/>
          <w:lang w:val="en-GB"/>
        </w:rPr>
        <w:t xml:space="preserve">terms and conditions to </w:t>
      </w:r>
      <w:r w:rsidR="0004009A" w:rsidRPr="00BC1ABD">
        <w:rPr>
          <w:rFonts w:cs="Arial"/>
          <w:sz w:val="24"/>
          <w:szCs w:val="24"/>
          <w:lang w:val="en-GB"/>
        </w:rPr>
        <w:t>access seekers</w:t>
      </w:r>
      <w:r w:rsidR="0007074E">
        <w:rPr>
          <w:rFonts w:cs="Arial"/>
          <w:sz w:val="24"/>
          <w:szCs w:val="24"/>
          <w:lang w:val="en-GB"/>
        </w:rPr>
        <w:t>, using</w:t>
      </w:r>
      <w:r w:rsidR="007E1F59" w:rsidRPr="00BC1ABD">
        <w:rPr>
          <w:rFonts w:cs="Arial"/>
          <w:sz w:val="24"/>
          <w:szCs w:val="24"/>
          <w:lang w:val="en-GB"/>
        </w:rPr>
        <w:t xml:space="preserve"> excessive prices </w:t>
      </w:r>
      <w:r w:rsidR="0007074E">
        <w:rPr>
          <w:rFonts w:cs="Arial"/>
          <w:sz w:val="24"/>
          <w:szCs w:val="24"/>
          <w:lang w:val="en-GB"/>
        </w:rPr>
        <w:t xml:space="preserve">that are </w:t>
      </w:r>
      <w:r w:rsidR="007E1F59" w:rsidRPr="00BC1ABD">
        <w:rPr>
          <w:rFonts w:cs="Arial"/>
          <w:sz w:val="24"/>
          <w:szCs w:val="24"/>
          <w:lang w:val="en-GB"/>
        </w:rPr>
        <w:t xml:space="preserve">not related with </w:t>
      </w:r>
      <w:r w:rsidR="0007074E">
        <w:rPr>
          <w:rFonts w:cs="Arial"/>
          <w:sz w:val="24"/>
          <w:szCs w:val="24"/>
          <w:lang w:val="en-GB"/>
        </w:rPr>
        <w:t xml:space="preserve">the </w:t>
      </w:r>
      <w:r w:rsidR="007E1F59" w:rsidRPr="00BC1ABD">
        <w:rPr>
          <w:rFonts w:cs="Arial"/>
          <w:sz w:val="24"/>
          <w:szCs w:val="24"/>
          <w:lang w:val="en-GB"/>
        </w:rPr>
        <w:t>underlying costs</w:t>
      </w:r>
      <w:r w:rsidR="0007074E">
        <w:rPr>
          <w:rFonts w:cs="Arial"/>
          <w:sz w:val="24"/>
          <w:szCs w:val="24"/>
          <w:lang w:val="en-GB"/>
        </w:rPr>
        <w:t xml:space="preserve"> of wholesale access provision</w:t>
      </w:r>
      <w:r w:rsidR="0004009A" w:rsidRPr="00BC1ABD">
        <w:rPr>
          <w:rFonts w:cs="Arial"/>
          <w:sz w:val="24"/>
          <w:szCs w:val="24"/>
          <w:lang w:val="en-GB"/>
        </w:rPr>
        <w:t xml:space="preserve">. </w:t>
      </w:r>
      <w:r w:rsidR="00802B32">
        <w:rPr>
          <w:rFonts w:cs="Arial"/>
          <w:sz w:val="24"/>
          <w:szCs w:val="24"/>
          <w:lang w:val="en-GB"/>
        </w:rPr>
        <w:t>In this</w:t>
      </w:r>
      <w:r w:rsidR="0007074E">
        <w:rPr>
          <w:rFonts w:cs="Arial"/>
          <w:sz w:val="24"/>
          <w:szCs w:val="24"/>
          <w:lang w:val="en-GB"/>
        </w:rPr>
        <w:t xml:space="preserve"> way the </w:t>
      </w:r>
      <w:r w:rsidR="0006772B" w:rsidRPr="00BC1ABD">
        <w:rPr>
          <w:rFonts w:cs="Arial"/>
          <w:sz w:val="24"/>
          <w:szCs w:val="24"/>
          <w:lang w:val="en-GB"/>
        </w:rPr>
        <w:t xml:space="preserve">SMP operator would leverage their dominant position from </w:t>
      </w:r>
      <w:r w:rsidR="0007074E">
        <w:rPr>
          <w:rFonts w:cs="Arial"/>
          <w:sz w:val="24"/>
          <w:szCs w:val="24"/>
          <w:lang w:val="en-GB"/>
        </w:rPr>
        <w:t xml:space="preserve">the </w:t>
      </w:r>
      <w:r w:rsidR="0006772B" w:rsidRPr="00BC1ABD">
        <w:rPr>
          <w:rFonts w:cs="Arial"/>
          <w:sz w:val="24"/>
          <w:szCs w:val="24"/>
          <w:lang w:val="en-GB"/>
        </w:rPr>
        <w:t xml:space="preserve">upstream wholesale market to </w:t>
      </w:r>
      <w:r w:rsidR="0007074E">
        <w:rPr>
          <w:rFonts w:cs="Arial"/>
          <w:sz w:val="24"/>
          <w:szCs w:val="24"/>
          <w:lang w:val="en-GB"/>
        </w:rPr>
        <w:t xml:space="preserve">the </w:t>
      </w:r>
      <w:r w:rsidR="0006772B" w:rsidRPr="00BC1ABD">
        <w:rPr>
          <w:rFonts w:cs="Arial"/>
          <w:sz w:val="24"/>
          <w:szCs w:val="24"/>
          <w:lang w:val="en-GB"/>
        </w:rPr>
        <w:t>downstream retail market</w:t>
      </w:r>
      <w:r w:rsidR="0004009A" w:rsidRPr="00BC1ABD">
        <w:rPr>
          <w:rFonts w:cs="Arial"/>
          <w:sz w:val="24"/>
          <w:szCs w:val="24"/>
          <w:lang w:val="en-GB"/>
        </w:rPr>
        <w:t xml:space="preserve"> and negatively affect competition</w:t>
      </w:r>
      <w:r w:rsidR="0006772B" w:rsidRPr="00BC1ABD">
        <w:rPr>
          <w:rFonts w:cs="Arial"/>
          <w:sz w:val="24"/>
          <w:szCs w:val="24"/>
          <w:lang w:val="en-GB"/>
        </w:rPr>
        <w:t>.</w:t>
      </w:r>
    </w:p>
    <w:p w14:paraId="42A26D3D" w14:textId="68F80678" w:rsidR="006366D1" w:rsidRPr="00BC1ABD" w:rsidRDefault="0004009A" w:rsidP="00E553BF">
      <w:pPr>
        <w:spacing w:line="259" w:lineRule="auto"/>
        <w:jc w:val="both"/>
        <w:rPr>
          <w:rFonts w:cs="Arial"/>
          <w:sz w:val="24"/>
          <w:szCs w:val="24"/>
          <w:lang w:val="en-GB"/>
        </w:rPr>
      </w:pPr>
      <w:r w:rsidRPr="00BC1ABD">
        <w:rPr>
          <w:rFonts w:cs="Arial"/>
          <w:sz w:val="24"/>
          <w:szCs w:val="24"/>
          <w:lang w:val="en-GB"/>
        </w:rPr>
        <w:t xml:space="preserve">ComCom believes that existing and potential competitors </w:t>
      </w:r>
      <w:r w:rsidR="0007074E">
        <w:rPr>
          <w:rFonts w:cs="Arial"/>
          <w:sz w:val="24"/>
          <w:szCs w:val="24"/>
          <w:lang w:val="en-GB"/>
        </w:rPr>
        <w:t>at the</w:t>
      </w:r>
      <w:r w:rsidRPr="00BC1ABD">
        <w:rPr>
          <w:rFonts w:cs="Arial"/>
          <w:sz w:val="24"/>
          <w:szCs w:val="24"/>
          <w:lang w:val="en-GB"/>
        </w:rPr>
        <w:t xml:space="preserve"> retail level do not have sufficient bargaining power to agree with </w:t>
      </w:r>
      <w:r w:rsidR="003B7A89" w:rsidRPr="00BC1ABD">
        <w:rPr>
          <w:rFonts w:cs="Arial"/>
          <w:sz w:val="24"/>
          <w:szCs w:val="24"/>
          <w:lang w:val="en-GB"/>
        </w:rPr>
        <w:t xml:space="preserve">the </w:t>
      </w:r>
      <w:r w:rsidRPr="00BC1ABD">
        <w:rPr>
          <w:rFonts w:cs="Arial"/>
          <w:sz w:val="24"/>
          <w:szCs w:val="24"/>
          <w:lang w:val="en-GB"/>
        </w:rPr>
        <w:t>SMP operator to provide wholesale access services under reasonable commercial conditions</w:t>
      </w:r>
      <w:r w:rsidR="0007074E">
        <w:rPr>
          <w:rFonts w:cs="Arial"/>
          <w:sz w:val="24"/>
          <w:szCs w:val="24"/>
          <w:lang w:val="en-GB"/>
        </w:rPr>
        <w:t>.</w:t>
      </w:r>
    </w:p>
    <w:p w14:paraId="6C4584CA" w14:textId="1EFE08BB" w:rsidR="00E553BF" w:rsidRPr="00BC1ABD" w:rsidRDefault="0004009A" w:rsidP="00E553BF">
      <w:pPr>
        <w:spacing w:line="259" w:lineRule="auto"/>
        <w:jc w:val="both"/>
        <w:rPr>
          <w:rFonts w:cs="Arial"/>
          <w:sz w:val="24"/>
          <w:szCs w:val="24"/>
          <w:lang w:val="en-GB"/>
        </w:rPr>
      </w:pPr>
      <w:r w:rsidRPr="00BC1ABD">
        <w:rPr>
          <w:rFonts w:cs="Arial"/>
          <w:sz w:val="24"/>
          <w:szCs w:val="24"/>
          <w:lang w:val="en-GB"/>
        </w:rPr>
        <w:t>Refusal to deal/</w:t>
      </w:r>
      <w:r w:rsidR="0007074E">
        <w:rPr>
          <w:rFonts w:cs="Arial"/>
          <w:sz w:val="24"/>
          <w:szCs w:val="24"/>
          <w:lang w:val="en-GB"/>
        </w:rPr>
        <w:t xml:space="preserve"> </w:t>
      </w:r>
      <w:r w:rsidRPr="00BC1ABD">
        <w:rPr>
          <w:rFonts w:cs="Arial"/>
          <w:sz w:val="24"/>
          <w:szCs w:val="24"/>
          <w:lang w:val="en-GB"/>
        </w:rPr>
        <w:t xml:space="preserve">denial of access would negatively influence the existing competitors as well as </w:t>
      </w:r>
      <w:r w:rsidR="00722872" w:rsidRPr="00BC1ABD">
        <w:rPr>
          <w:rFonts w:cs="Arial"/>
          <w:sz w:val="24"/>
          <w:szCs w:val="24"/>
          <w:lang w:val="en-GB"/>
        </w:rPr>
        <w:t xml:space="preserve">the </w:t>
      </w:r>
      <w:r w:rsidRPr="00BC1ABD">
        <w:rPr>
          <w:rFonts w:cs="Arial"/>
          <w:sz w:val="24"/>
          <w:szCs w:val="24"/>
          <w:lang w:val="en-GB"/>
        </w:rPr>
        <w:t xml:space="preserve">possible </w:t>
      </w:r>
      <w:r w:rsidR="00722872" w:rsidRPr="00BC1ABD">
        <w:rPr>
          <w:rFonts w:cs="Arial"/>
          <w:sz w:val="24"/>
          <w:szCs w:val="24"/>
          <w:lang w:val="en-GB"/>
        </w:rPr>
        <w:t xml:space="preserve">entrance </w:t>
      </w:r>
      <w:r w:rsidR="007E1F59" w:rsidRPr="00BC1ABD">
        <w:rPr>
          <w:rFonts w:cs="Arial"/>
          <w:sz w:val="24"/>
          <w:szCs w:val="24"/>
          <w:lang w:val="en-GB"/>
        </w:rPr>
        <w:t>of</w:t>
      </w:r>
      <w:r w:rsidR="00722872" w:rsidRPr="00BC1ABD">
        <w:rPr>
          <w:rFonts w:cs="Arial"/>
          <w:sz w:val="24"/>
          <w:szCs w:val="24"/>
          <w:lang w:val="en-GB"/>
        </w:rPr>
        <w:t xml:space="preserve"> new operators </w:t>
      </w:r>
      <w:r w:rsidR="0007074E">
        <w:rPr>
          <w:rFonts w:cs="Arial"/>
          <w:sz w:val="24"/>
          <w:szCs w:val="24"/>
          <w:lang w:val="en-GB"/>
        </w:rPr>
        <w:t>into</w:t>
      </w:r>
      <w:r w:rsidR="00722872" w:rsidRPr="00BC1ABD">
        <w:rPr>
          <w:rFonts w:cs="Arial"/>
          <w:sz w:val="24"/>
          <w:szCs w:val="24"/>
          <w:lang w:val="en-GB"/>
        </w:rPr>
        <w:t xml:space="preserve"> the </w:t>
      </w:r>
      <w:r w:rsidRPr="00BC1ABD">
        <w:rPr>
          <w:rFonts w:cs="Arial"/>
          <w:sz w:val="24"/>
          <w:szCs w:val="24"/>
          <w:lang w:val="en-GB"/>
        </w:rPr>
        <w:t xml:space="preserve">retail </w:t>
      </w:r>
      <w:r w:rsidR="00722872" w:rsidRPr="00BC1ABD">
        <w:rPr>
          <w:rFonts w:cs="Arial"/>
          <w:sz w:val="24"/>
          <w:szCs w:val="24"/>
          <w:lang w:val="en-GB"/>
        </w:rPr>
        <w:t>market</w:t>
      </w:r>
      <w:r w:rsidR="0007074E">
        <w:rPr>
          <w:rFonts w:cs="Arial"/>
          <w:sz w:val="24"/>
          <w:szCs w:val="24"/>
          <w:lang w:val="en-GB"/>
        </w:rPr>
        <w:t xml:space="preserve">. This behaviour by the SMP operator would therefore deny the access-seeker the opportunity to expand </w:t>
      </w:r>
      <w:r w:rsidR="00722872" w:rsidRPr="00BC1ABD">
        <w:rPr>
          <w:rFonts w:cs="Arial"/>
          <w:sz w:val="24"/>
          <w:szCs w:val="24"/>
          <w:lang w:val="en-GB"/>
        </w:rPr>
        <w:t xml:space="preserve">using the ladder of investment concept </w:t>
      </w:r>
      <w:r w:rsidRPr="00BC1ABD">
        <w:rPr>
          <w:rFonts w:cs="Arial"/>
          <w:sz w:val="24"/>
          <w:szCs w:val="24"/>
          <w:lang w:val="en-GB"/>
        </w:rPr>
        <w:t xml:space="preserve">with </w:t>
      </w:r>
      <w:r w:rsidR="0007074E">
        <w:rPr>
          <w:rFonts w:cs="Arial"/>
          <w:sz w:val="24"/>
          <w:szCs w:val="24"/>
          <w:lang w:val="en-GB"/>
        </w:rPr>
        <w:t xml:space="preserve">the </w:t>
      </w:r>
      <w:r w:rsidRPr="00BC1ABD">
        <w:rPr>
          <w:rFonts w:cs="Arial"/>
          <w:sz w:val="24"/>
          <w:szCs w:val="24"/>
          <w:lang w:val="en-GB"/>
        </w:rPr>
        <w:t xml:space="preserve">final goal of deploying their own </w:t>
      </w:r>
      <w:r w:rsidR="00F026B4">
        <w:rPr>
          <w:rFonts w:cs="Arial"/>
          <w:sz w:val="24"/>
          <w:szCs w:val="24"/>
          <w:lang w:val="en-GB"/>
        </w:rPr>
        <w:t>FTTx</w:t>
      </w:r>
      <w:r w:rsidRPr="00BC1ABD">
        <w:rPr>
          <w:rFonts w:cs="Arial"/>
          <w:sz w:val="24"/>
          <w:szCs w:val="24"/>
          <w:lang w:val="en-GB"/>
        </w:rPr>
        <w:t xml:space="preserve"> infrastructure to </w:t>
      </w:r>
      <w:r w:rsidR="0007074E">
        <w:rPr>
          <w:rFonts w:cs="Arial"/>
          <w:sz w:val="24"/>
          <w:szCs w:val="24"/>
          <w:lang w:val="en-GB"/>
        </w:rPr>
        <w:t>larger coverage areas</w:t>
      </w:r>
      <w:r w:rsidRPr="00BC1ABD">
        <w:rPr>
          <w:rFonts w:cs="Arial"/>
          <w:sz w:val="24"/>
          <w:szCs w:val="24"/>
          <w:lang w:val="en-GB"/>
        </w:rPr>
        <w:t xml:space="preserve">. </w:t>
      </w:r>
      <w:r w:rsidR="0007074E">
        <w:rPr>
          <w:rFonts w:cs="Arial"/>
          <w:sz w:val="24"/>
          <w:szCs w:val="24"/>
          <w:lang w:val="en-GB"/>
        </w:rPr>
        <w:t xml:space="preserve">In this way the </w:t>
      </w:r>
      <w:r w:rsidR="00E553BF" w:rsidRPr="00BC1ABD">
        <w:rPr>
          <w:rFonts w:cs="Arial"/>
          <w:sz w:val="24"/>
          <w:szCs w:val="24"/>
          <w:lang w:val="en-GB"/>
        </w:rPr>
        <w:t xml:space="preserve">SMP operator would leverage its market power from the upstream wholesale market to downstream retail markets </w:t>
      </w:r>
      <w:r w:rsidR="0007074E">
        <w:rPr>
          <w:rFonts w:cs="Arial"/>
          <w:sz w:val="24"/>
          <w:szCs w:val="24"/>
          <w:lang w:val="en-GB"/>
        </w:rPr>
        <w:t xml:space="preserve">and therefore limiting </w:t>
      </w:r>
      <w:r w:rsidR="00E553BF" w:rsidRPr="00BC1ABD">
        <w:rPr>
          <w:rFonts w:cs="Arial"/>
          <w:sz w:val="24"/>
          <w:szCs w:val="24"/>
          <w:lang w:val="en-GB"/>
        </w:rPr>
        <w:t xml:space="preserve">the further non development of competition </w:t>
      </w:r>
      <w:r w:rsidR="0007074E">
        <w:rPr>
          <w:rFonts w:cs="Arial"/>
          <w:sz w:val="24"/>
          <w:szCs w:val="24"/>
          <w:lang w:val="en-GB"/>
        </w:rPr>
        <w:t>in the</w:t>
      </w:r>
      <w:r w:rsidR="00E553BF" w:rsidRPr="00BC1ABD">
        <w:rPr>
          <w:rFonts w:cs="Arial"/>
          <w:sz w:val="24"/>
          <w:szCs w:val="24"/>
          <w:lang w:val="en-GB"/>
        </w:rPr>
        <w:t xml:space="preserve"> retail higher-speed broadband market.</w:t>
      </w:r>
      <w:r w:rsidR="004E0464" w:rsidRPr="00BC1ABD">
        <w:rPr>
          <w:rFonts w:cs="Arial"/>
          <w:sz w:val="24"/>
          <w:szCs w:val="24"/>
          <w:lang w:val="en-GB"/>
        </w:rPr>
        <w:t xml:space="preserve"> The evidence of this behaviour is already present, as there are no wholesale deals existing </w:t>
      </w:r>
      <w:r w:rsidR="0007074E">
        <w:rPr>
          <w:rFonts w:cs="Arial"/>
          <w:sz w:val="24"/>
          <w:szCs w:val="24"/>
          <w:lang w:val="en-GB"/>
        </w:rPr>
        <w:t>in the</w:t>
      </w:r>
      <w:r w:rsidR="004E0464" w:rsidRPr="00BC1ABD">
        <w:rPr>
          <w:rFonts w:cs="Arial"/>
          <w:sz w:val="24"/>
          <w:szCs w:val="24"/>
          <w:lang w:val="en-GB"/>
        </w:rPr>
        <w:t xml:space="preserve"> Georgian market</w:t>
      </w:r>
      <w:r w:rsidR="0007074E">
        <w:rPr>
          <w:rFonts w:cs="Arial"/>
          <w:sz w:val="24"/>
          <w:szCs w:val="24"/>
          <w:lang w:val="en-GB"/>
        </w:rPr>
        <w:t>.</w:t>
      </w:r>
    </w:p>
    <w:p w14:paraId="351C9885" w14:textId="77777777" w:rsidR="000B2F9B" w:rsidRPr="00BC1ABD" w:rsidRDefault="00020309" w:rsidP="00B22D08">
      <w:pPr>
        <w:pStyle w:val="Heading2"/>
        <w:numPr>
          <w:ilvl w:val="1"/>
          <w:numId w:val="88"/>
        </w:numPr>
        <w:spacing w:after="240"/>
        <w:rPr>
          <w:lang w:val="en-GB"/>
        </w:rPr>
      </w:pPr>
      <w:bookmarkStart w:id="340" w:name="_Toc169258992"/>
      <w:r w:rsidRPr="00BC1ABD">
        <w:rPr>
          <w:lang w:val="en-GB"/>
        </w:rPr>
        <w:t>Leveraging by means of non-price variables</w:t>
      </w:r>
      <w:bookmarkEnd w:id="340"/>
    </w:p>
    <w:p w14:paraId="2513ED33" w14:textId="77777777" w:rsidR="00B271E6"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1" w:name="_Toc169258993"/>
      <w:r w:rsidRPr="00BC1ABD">
        <w:rPr>
          <w:rFonts w:asciiTheme="minorHAnsi" w:hAnsiTheme="minorHAnsi" w:cstheme="minorHAnsi"/>
          <w:b w:val="0"/>
          <w:bCs w:val="0"/>
          <w:sz w:val="24"/>
          <w:szCs w:val="24"/>
          <w:lang w:val="en-GB"/>
        </w:rPr>
        <w:t>Discriminatory use of information or withholding of information</w:t>
      </w:r>
      <w:bookmarkEnd w:id="341"/>
    </w:p>
    <w:p w14:paraId="087F90ED" w14:textId="752C59E3" w:rsidR="00020309" w:rsidRPr="00BC1ABD" w:rsidRDefault="00020309" w:rsidP="00020309">
      <w:pPr>
        <w:spacing w:line="259" w:lineRule="auto"/>
        <w:jc w:val="both"/>
        <w:rPr>
          <w:rFonts w:cs="Arial"/>
          <w:sz w:val="24"/>
          <w:szCs w:val="24"/>
          <w:lang w:val="en-GB"/>
        </w:rPr>
      </w:pPr>
      <w:r w:rsidRPr="00BC1ABD">
        <w:rPr>
          <w:rFonts w:cs="Arial"/>
          <w:sz w:val="24"/>
          <w:szCs w:val="24"/>
          <w:lang w:val="en-GB"/>
        </w:rPr>
        <w:t xml:space="preserve">This competition problem refers to </w:t>
      </w:r>
      <w:r w:rsidR="006B2488" w:rsidRPr="00BC1ABD">
        <w:rPr>
          <w:rFonts w:cs="Arial"/>
          <w:sz w:val="24"/>
          <w:szCs w:val="24"/>
          <w:lang w:val="en-GB"/>
        </w:rPr>
        <w:t xml:space="preserve">possible </w:t>
      </w:r>
      <w:r w:rsidRPr="00BC1ABD">
        <w:rPr>
          <w:rFonts w:cs="Arial"/>
          <w:sz w:val="24"/>
          <w:szCs w:val="24"/>
          <w:lang w:val="en-GB"/>
        </w:rPr>
        <w:t>discriminatory practice</w:t>
      </w:r>
      <w:r w:rsidR="006B2488" w:rsidRPr="00BC1ABD">
        <w:rPr>
          <w:rFonts w:cs="Arial"/>
          <w:sz w:val="24"/>
          <w:szCs w:val="24"/>
          <w:lang w:val="en-GB"/>
        </w:rPr>
        <w:t>s</w:t>
      </w:r>
      <w:r w:rsidRPr="00BC1ABD">
        <w:rPr>
          <w:rFonts w:cs="Arial"/>
          <w:sz w:val="24"/>
          <w:szCs w:val="24"/>
          <w:lang w:val="en-GB"/>
        </w:rPr>
        <w:t xml:space="preserve"> where the SMP operator on the wholesale market provides its </w:t>
      </w:r>
      <w:r w:rsidR="004B4D24">
        <w:rPr>
          <w:rFonts w:cs="Arial"/>
          <w:sz w:val="24"/>
          <w:szCs w:val="24"/>
          <w:lang w:val="en-GB"/>
        </w:rPr>
        <w:t xml:space="preserve">own </w:t>
      </w:r>
      <w:r w:rsidRPr="00BC1ABD">
        <w:rPr>
          <w:rFonts w:cs="Arial"/>
          <w:sz w:val="24"/>
          <w:szCs w:val="24"/>
          <w:lang w:val="en-GB"/>
        </w:rPr>
        <w:t xml:space="preserve">retail arm with information </w:t>
      </w:r>
      <w:r w:rsidR="004B4D24">
        <w:rPr>
          <w:rFonts w:cs="Arial"/>
          <w:sz w:val="24"/>
          <w:szCs w:val="24"/>
          <w:lang w:val="en-GB"/>
        </w:rPr>
        <w:t xml:space="preserve">that </w:t>
      </w:r>
      <w:r w:rsidRPr="00BC1ABD">
        <w:rPr>
          <w:rFonts w:cs="Arial"/>
          <w:sz w:val="24"/>
          <w:szCs w:val="24"/>
          <w:lang w:val="en-GB"/>
        </w:rPr>
        <w:t xml:space="preserve">it does not provide to other </w:t>
      </w:r>
      <w:r w:rsidR="006B2488" w:rsidRPr="00BC1ABD">
        <w:rPr>
          <w:rFonts w:cs="Arial"/>
          <w:sz w:val="24"/>
          <w:szCs w:val="24"/>
          <w:lang w:val="en-GB"/>
        </w:rPr>
        <w:t>operators (access seekers)</w:t>
      </w:r>
      <w:r w:rsidRPr="00BC1ABD">
        <w:rPr>
          <w:rFonts w:cs="Arial"/>
          <w:sz w:val="24"/>
          <w:szCs w:val="24"/>
          <w:lang w:val="en-GB"/>
        </w:rPr>
        <w:t xml:space="preserve"> </w:t>
      </w:r>
      <w:r w:rsidR="007A5EE1" w:rsidRPr="00BC1ABD">
        <w:rPr>
          <w:rFonts w:cs="Arial"/>
          <w:sz w:val="24"/>
          <w:szCs w:val="24"/>
          <w:lang w:val="en-GB"/>
        </w:rPr>
        <w:t xml:space="preserve">who use or plan to use </w:t>
      </w:r>
      <w:r w:rsidR="00855052">
        <w:rPr>
          <w:rFonts w:cs="Arial"/>
          <w:sz w:val="24"/>
          <w:szCs w:val="24"/>
          <w:lang w:val="en-GB"/>
        </w:rPr>
        <w:t>the SMP operator’s</w:t>
      </w:r>
      <w:r w:rsidR="007A5EE1" w:rsidRPr="00BC1ABD">
        <w:rPr>
          <w:rFonts w:cs="Arial"/>
          <w:sz w:val="24"/>
          <w:szCs w:val="24"/>
          <w:lang w:val="en-GB"/>
        </w:rPr>
        <w:t xml:space="preserve"> wholesale service for the provision of services at the retail level</w:t>
      </w:r>
      <w:r w:rsidRPr="00BC1ABD">
        <w:rPr>
          <w:rFonts w:cs="Arial"/>
          <w:sz w:val="24"/>
          <w:szCs w:val="24"/>
          <w:lang w:val="en-GB"/>
        </w:rPr>
        <w:t>.</w:t>
      </w:r>
      <w:r w:rsidRPr="00BC1ABD">
        <w:rPr>
          <w:lang w:val="en-GB"/>
        </w:rPr>
        <w:t xml:space="preserve"> </w:t>
      </w:r>
      <w:r w:rsidRPr="00BC1ABD">
        <w:rPr>
          <w:rFonts w:cs="Arial"/>
          <w:sz w:val="24"/>
          <w:szCs w:val="24"/>
          <w:lang w:val="en-GB"/>
        </w:rPr>
        <w:t>An example would be a</w:t>
      </w:r>
      <w:r w:rsidR="004B4D24">
        <w:rPr>
          <w:rFonts w:cs="Arial"/>
          <w:sz w:val="24"/>
          <w:szCs w:val="24"/>
          <w:lang w:val="en-GB"/>
        </w:rPr>
        <w:t>n SMP</w:t>
      </w:r>
      <w:r w:rsidRPr="00BC1ABD">
        <w:rPr>
          <w:rFonts w:cs="Arial"/>
          <w:sz w:val="24"/>
          <w:szCs w:val="24"/>
          <w:lang w:val="en-GB"/>
        </w:rPr>
        <w:t xml:space="preserve"> operator </w:t>
      </w:r>
      <w:r w:rsidR="004B4D24">
        <w:rPr>
          <w:rFonts w:cs="Arial"/>
          <w:sz w:val="24"/>
          <w:szCs w:val="24"/>
          <w:lang w:val="en-GB"/>
        </w:rPr>
        <w:t>failing</w:t>
      </w:r>
      <w:r w:rsidR="004B4D24" w:rsidRPr="00BC1ABD">
        <w:rPr>
          <w:rFonts w:cs="Arial"/>
          <w:sz w:val="24"/>
          <w:szCs w:val="24"/>
          <w:lang w:val="en-GB"/>
        </w:rPr>
        <w:t xml:space="preserve"> </w:t>
      </w:r>
      <w:r w:rsidRPr="00BC1ABD">
        <w:rPr>
          <w:rFonts w:cs="Arial"/>
          <w:sz w:val="24"/>
          <w:szCs w:val="24"/>
          <w:lang w:val="en-GB"/>
        </w:rPr>
        <w:t xml:space="preserve">to provide </w:t>
      </w:r>
      <w:r w:rsidR="004B4D24">
        <w:rPr>
          <w:rFonts w:cs="Arial"/>
          <w:sz w:val="24"/>
          <w:szCs w:val="24"/>
          <w:lang w:val="en-GB"/>
        </w:rPr>
        <w:t>access-seekers</w:t>
      </w:r>
      <w:r w:rsidRPr="00BC1ABD">
        <w:rPr>
          <w:rFonts w:cs="Arial"/>
          <w:sz w:val="24"/>
          <w:szCs w:val="24"/>
          <w:lang w:val="en-GB"/>
        </w:rPr>
        <w:t xml:space="preserve"> information about future changes in </w:t>
      </w:r>
      <w:r w:rsidR="004B4D24">
        <w:rPr>
          <w:rFonts w:cs="Arial"/>
          <w:sz w:val="24"/>
          <w:szCs w:val="24"/>
          <w:lang w:val="en-GB"/>
        </w:rPr>
        <w:t xml:space="preserve">the SMP operator’s </w:t>
      </w:r>
      <w:r w:rsidRPr="00BC1ABD">
        <w:rPr>
          <w:rFonts w:cs="Arial"/>
          <w:sz w:val="24"/>
          <w:szCs w:val="24"/>
          <w:lang w:val="en-GB"/>
        </w:rPr>
        <w:t>network topology</w:t>
      </w:r>
      <w:r w:rsidR="007A5EE1" w:rsidRPr="00BC1ABD">
        <w:rPr>
          <w:rFonts w:cs="Arial"/>
          <w:sz w:val="24"/>
          <w:szCs w:val="24"/>
          <w:lang w:val="en-GB"/>
        </w:rPr>
        <w:t xml:space="preserve"> which could increase the access seeker’s costs and impact </w:t>
      </w:r>
      <w:r w:rsidR="004B4D24">
        <w:rPr>
          <w:rFonts w:cs="Arial"/>
          <w:sz w:val="24"/>
          <w:szCs w:val="24"/>
          <w:lang w:val="en-GB"/>
        </w:rPr>
        <w:t>the access-seeker’s</w:t>
      </w:r>
      <w:r w:rsidR="007A5EE1" w:rsidRPr="00BC1ABD">
        <w:rPr>
          <w:rFonts w:cs="Arial"/>
          <w:sz w:val="24"/>
          <w:szCs w:val="24"/>
          <w:lang w:val="en-GB"/>
        </w:rPr>
        <w:t xml:space="preserve"> plans in </w:t>
      </w:r>
      <w:r w:rsidR="004B4D24">
        <w:rPr>
          <w:rFonts w:cs="Arial"/>
          <w:sz w:val="24"/>
          <w:szCs w:val="24"/>
          <w:lang w:val="en-GB"/>
        </w:rPr>
        <w:t>expanding its market</w:t>
      </w:r>
      <w:r w:rsidRPr="00BC1ABD">
        <w:rPr>
          <w:rFonts w:cs="Arial"/>
          <w:sz w:val="24"/>
          <w:szCs w:val="24"/>
          <w:lang w:val="en-GB"/>
        </w:rPr>
        <w:t>.</w:t>
      </w:r>
    </w:p>
    <w:p w14:paraId="20E78DF2" w14:textId="64673A6A" w:rsidR="00020309" w:rsidRPr="00BC1ABD" w:rsidRDefault="004B4D24" w:rsidP="00020309">
      <w:pPr>
        <w:spacing w:line="259" w:lineRule="auto"/>
        <w:jc w:val="both"/>
        <w:rPr>
          <w:rFonts w:cs="Arial"/>
          <w:sz w:val="24"/>
          <w:szCs w:val="24"/>
          <w:lang w:val="en-GB"/>
        </w:rPr>
      </w:pPr>
      <w:r>
        <w:rPr>
          <w:rFonts w:cs="Arial"/>
          <w:sz w:val="24"/>
          <w:szCs w:val="24"/>
          <w:lang w:val="en-GB"/>
        </w:rPr>
        <w:t>In the same way as refusal to supply/ denial of access in Chapter 7.2</w:t>
      </w:r>
      <w:r w:rsidR="007A5EE1" w:rsidRPr="00BC1ABD">
        <w:rPr>
          <w:rFonts w:cs="Arial"/>
          <w:sz w:val="24"/>
          <w:szCs w:val="24"/>
          <w:lang w:val="en-GB"/>
        </w:rPr>
        <w:t xml:space="preserve">, </w:t>
      </w:r>
      <w:r>
        <w:rPr>
          <w:rFonts w:cs="Arial"/>
          <w:sz w:val="24"/>
          <w:szCs w:val="24"/>
          <w:lang w:val="en-GB"/>
        </w:rPr>
        <w:t xml:space="preserve">by </w:t>
      </w:r>
      <w:r w:rsidR="00EB2ABF">
        <w:rPr>
          <w:rFonts w:cs="Arial"/>
          <w:sz w:val="24"/>
          <w:szCs w:val="24"/>
          <w:lang w:val="en-GB"/>
        </w:rPr>
        <w:t>withholding</w:t>
      </w:r>
      <w:r>
        <w:rPr>
          <w:rFonts w:cs="Arial"/>
          <w:sz w:val="24"/>
          <w:szCs w:val="24"/>
          <w:lang w:val="en-GB"/>
        </w:rPr>
        <w:t xml:space="preserve"> information</w:t>
      </w:r>
      <w:r w:rsidR="00020309" w:rsidRPr="00BC1ABD">
        <w:rPr>
          <w:rFonts w:cs="Arial"/>
          <w:sz w:val="24"/>
          <w:szCs w:val="24"/>
          <w:lang w:val="en-GB"/>
        </w:rPr>
        <w:t xml:space="preserve">, a vertically integrated </w:t>
      </w:r>
      <w:r w:rsidR="007A5EE1" w:rsidRPr="00BC1ABD">
        <w:rPr>
          <w:rFonts w:cs="Arial"/>
          <w:sz w:val="24"/>
          <w:szCs w:val="24"/>
          <w:lang w:val="en-GB"/>
        </w:rPr>
        <w:t xml:space="preserve">SMP </w:t>
      </w:r>
      <w:r w:rsidR="00020309" w:rsidRPr="00BC1ABD">
        <w:rPr>
          <w:rFonts w:cs="Arial"/>
          <w:sz w:val="24"/>
          <w:szCs w:val="24"/>
          <w:lang w:val="en-GB"/>
        </w:rPr>
        <w:t xml:space="preserve">operator </w:t>
      </w:r>
      <w:r w:rsidR="007A5EE1" w:rsidRPr="00BC1ABD">
        <w:rPr>
          <w:rFonts w:cs="Arial"/>
          <w:sz w:val="24"/>
          <w:szCs w:val="24"/>
          <w:lang w:val="en-GB"/>
        </w:rPr>
        <w:t xml:space="preserve">could </w:t>
      </w:r>
      <w:r w:rsidR="00020309" w:rsidRPr="00BC1ABD">
        <w:rPr>
          <w:rFonts w:cs="Arial"/>
          <w:sz w:val="24"/>
          <w:szCs w:val="24"/>
          <w:lang w:val="en-GB"/>
        </w:rPr>
        <w:t xml:space="preserve">transfer </w:t>
      </w:r>
      <w:r w:rsidR="007A5EE1" w:rsidRPr="00BC1ABD">
        <w:rPr>
          <w:rFonts w:cs="Arial"/>
          <w:sz w:val="24"/>
          <w:szCs w:val="24"/>
          <w:lang w:val="en-GB"/>
        </w:rPr>
        <w:t>its market</w:t>
      </w:r>
      <w:r w:rsidR="00020309" w:rsidRPr="00BC1ABD">
        <w:rPr>
          <w:rFonts w:cs="Arial"/>
          <w:sz w:val="24"/>
          <w:szCs w:val="24"/>
          <w:lang w:val="en-GB"/>
        </w:rPr>
        <w:t xml:space="preserve"> power from the </w:t>
      </w:r>
      <w:r w:rsidR="007A5EE1" w:rsidRPr="00BC1ABD">
        <w:rPr>
          <w:rFonts w:cs="Arial"/>
          <w:sz w:val="24"/>
          <w:szCs w:val="24"/>
          <w:lang w:val="en-GB"/>
        </w:rPr>
        <w:t xml:space="preserve">upstream </w:t>
      </w:r>
      <w:r w:rsidR="00020309" w:rsidRPr="00BC1ABD">
        <w:rPr>
          <w:rFonts w:cs="Arial"/>
          <w:sz w:val="24"/>
          <w:szCs w:val="24"/>
          <w:lang w:val="en-GB"/>
        </w:rPr>
        <w:t xml:space="preserve">wholesale </w:t>
      </w:r>
      <w:r w:rsidR="00511B74">
        <w:rPr>
          <w:rFonts w:cs="Arial"/>
          <w:sz w:val="24"/>
          <w:szCs w:val="24"/>
          <w:lang w:val="en-GB"/>
        </w:rPr>
        <w:t xml:space="preserve">market </w:t>
      </w:r>
      <w:r w:rsidR="00020309" w:rsidRPr="00BC1ABD">
        <w:rPr>
          <w:rFonts w:cs="Arial"/>
          <w:sz w:val="24"/>
          <w:szCs w:val="24"/>
          <w:lang w:val="en-GB"/>
        </w:rPr>
        <w:t xml:space="preserve">to the </w:t>
      </w:r>
      <w:r w:rsidR="007A5EE1" w:rsidRPr="00BC1ABD">
        <w:rPr>
          <w:rFonts w:cs="Arial"/>
          <w:sz w:val="24"/>
          <w:szCs w:val="24"/>
          <w:lang w:val="en-GB"/>
        </w:rPr>
        <w:t xml:space="preserve">downstream </w:t>
      </w:r>
      <w:r w:rsidR="00020309" w:rsidRPr="00BC1ABD">
        <w:rPr>
          <w:rFonts w:cs="Arial"/>
          <w:sz w:val="24"/>
          <w:szCs w:val="24"/>
          <w:lang w:val="en-GB"/>
        </w:rPr>
        <w:t xml:space="preserve">retail </w:t>
      </w:r>
      <w:r w:rsidR="007A5EE1" w:rsidRPr="00BC1ABD">
        <w:rPr>
          <w:rFonts w:cs="Arial"/>
          <w:sz w:val="24"/>
          <w:szCs w:val="24"/>
          <w:lang w:val="en-GB"/>
        </w:rPr>
        <w:t>market</w:t>
      </w:r>
      <w:r w:rsidR="00020309" w:rsidRPr="00BC1ABD">
        <w:rPr>
          <w:rFonts w:cs="Arial"/>
          <w:sz w:val="24"/>
          <w:szCs w:val="24"/>
          <w:lang w:val="en-GB"/>
        </w:rPr>
        <w:t>.</w:t>
      </w:r>
    </w:p>
    <w:p w14:paraId="6E3D3914" w14:textId="7DCFAA36" w:rsidR="00020309" w:rsidRPr="00BC1ABD" w:rsidRDefault="00020309" w:rsidP="00020309">
      <w:pPr>
        <w:spacing w:line="259" w:lineRule="auto"/>
        <w:jc w:val="both"/>
        <w:rPr>
          <w:rFonts w:cs="Arial"/>
          <w:sz w:val="24"/>
          <w:szCs w:val="24"/>
          <w:lang w:val="en-GB"/>
        </w:rPr>
      </w:pPr>
      <w:r w:rsidRPr="00BC1ABD">
        <w:rPr>
          <w:rFonts w:cs="Arial"/>
          <w:sz w:val="24"/>
          <w:szCs w:val="24"/>
          <w:lang w:val="en-GB"/>
        </w:rPr>
        <w:t xml:space="preserve">In ComCom’s view, in the absence of regulation, </w:t>
      </w:r>
      <w:r w:rsidR="001753FA">
        <w:rPr>
          <w:rFonts w:cs="Arial"/>
          <w:sz w:val="24"/>
          <w:szCs w:val="24"/>
          <w:lang w:val="en-GB"/>
        </w:rPr>
        <w:t xml:space="preserve">the </w:t>
      </w:r>
      <w:r w:rsidRPr="00BC1ABD">
        <w:rPr>
          <w:rFonts w:cs="Arial"/>
          <w:sz w:val="24"/>
          <w:szCs w:val="24"/>
          <w:lang w:val="en-GB"/>
        </w:rPr>
        <w:t xml:space="preserve">SMP operator could have the incentive to deny its existing and potential competitors detailed and timely information about planned changes in </w:t>
      </w:r>
      <w:r w:rsidR="001753FA">
        <w:rPr>
          <w:rFonts w:cs="Arial"/>
          <w:sz w:val="24"/>
          <w:szCs w:val="24"/>
          <w:lang w:val="en-GB"/>
        </w:rPr>
        <w:t>its</w:t>
      </w:r>
      <w:r w:rsidRPr="00BC1ABD">
        <w:rPr>
          <w:rFonts w:cs="Arial"/>
          <w:sz w:val="24"/>
          <w:szCs w:val="24"/>
          <w:lang w:val="en-GB"/>
        </w:rPr>
        <w:t xml:space="preserve"> network in</w:t>
      </w:r>
      <w:r w:rsidR="001753FA">
        <w:rPr>
          <w:rFonts w:cs="Arial"/>
          <w:sz w:val="24"/>
          <w:szCs w:val="24"/>
          <w:lang w:val="en-GB"/>
        </w:rPr>
        <w:t xml:space="preserve"> order to </w:t>
      </w:r>
      <w:r w:rsidR="00EB2ABF">
        <w:rPr>
          <w:rFonts w:cs="Arial"/>
          <w:sz w:val="24"/>
          <w:szCs w:val="24"/>
          <w:lang w:val="en-GB"/>
        </w:rPr>
        <w:t xml:space="preserve">disadvantage </w:t>
      </w:r>
      <w:r w:rsidR="00EB2ABF" w:rsidRPr="00BC1ABD">
        <w:rPr>
          <w:rFonts w:cs="Arial"/>
          <w:sz w:val="24"/>
          <w:szCs w:val="24"/>
          <w:lang w:val="en-GB"/>
        </w:rPr>
        <w:t>the</w:t>
      </w:r>
      <w:r w:rsidR="001753FA">
        <w:rPr>
          <w:rFonts w:cs="Arial"/>
          <w:sz w:val="24"/>
          <w:szCs w:val="24"/>
          <w:lang w:val="en-GB"/>
        </w:rPr>
        <w:t xml:space="preserve"> competitor</w:t>
      </w:r>
      <w:r w:rsidRPr="00BC1ABD">
        <w:rPr>
          <w:rFonts w:cs="Arial"/>
          <w:sz w:val="24"/>
          <w:szCs w:val="24"/>
          <w:lang w:val="en-GB"/>
        </w:rPr>
        <w:t xml:space="preserve">. </w:t>
      </w:r>
      <w:r w:rsidR="001753FA">
        <w:rPr>
          <w:rFonts w:cs="Arial"/>
          <w:sz w:val="24"/>
          <w:szCs w:val="24"/>
          <w:lang w:val="en-GB"/>
        </w:rPr>
        <w:t>The</w:t>
      </w:r>
      <w:r w:rsidR="001676A0" w:rsidRPr="00BC1ABD">
        <w:rPr>
          <w:rFonts w:cs="Arial"/>
          <w:sz w:val="24"/>
          <w:szCs w:val="24"/>
          <w:lang w:val="en-GB"/>
        </w:rPr>
        <w:t xml:space="preserve"> information</w:t>
      </w:r>
      <w:r w:rsidR="001753FA">
        <w:rPr>
          <w:rFonts w:cs="Arial"/>
          <w:sz w:val="24"/>
          <w:szCs w:val="24"/>
          <w:lang w:val="en-GB"/>
        </w:rPr>
        <w:t xml:space="preserve"> that would be available to the SMP operator’s retail arm is equally important to the competitor in planning its</w:t>
      </w:r>
      <w:r w:rsidRPr="00BC1ABD">
        <w:rPr>
          <w:rFonts w:cs="Arial"/>
          <w:sz w:val="24"/>
          <w:szCs w:val="24"/>
          <w:lang w:val="en-GB"/>
        </w:rPr>
        <w:t xml:space="preserve"> business operations and business decision-making in terms of market</w:t>
      </w:r>
      <w:r w:rsidR="001753FA">
        <w:rPr>
          <w:rFonts w:cs="Arial"/>
          <w:sz w:val="24"/>
          <w:szCs w:val="24"/>
          <w:lang w:val="en-GB"/>
        </w:rPr>
        <w:t>ing</w:t>
      </w:r>
      <w:r w:rsidRPr="00BC1ABD">
        <w:rPr>
          <w:rFonts w:cs="Arial"/>
          <w:sz w:val="24"/>
          <w:szCs w:val="24"/>
          <w:lang w:val="en-GB"/>
        </w:rPr>
        <w:t xml:space="preserve"> and investments. The </w:t>
      </w:r>
      <w:r w:rsidR="001753FA">
        <w:rPr>
          <w:rFonts w:cs="Arial"/>
          <w:sz w:val="24"/>
          <w:szCs w:val="24"/>
          <w:lang w:val="en-GB"/>
        </w:rPr>
        <w:t>type of</w:t>
      </w:r>
      <w:r w:rsidRPr="00BC1ABD">
        <w:rPr>
          <w:rFonts w:cs="Arial"/>
          <w:sz w:val="24"/>
          <w:szCs w:val="24"/>
          <w:lang w:val="en-GB"/>
        </w:rPr>
        <w:t xml:space="preserve"> information </w:t>
      </w:r>
      <w:r w:rsidR="001753FA">
        <w:rPr>
          <w:rFonts w:cs="Arial"/>
          <w:sz w:val="24"/>
          <w:szCs w:val="24"/>
          <w:lang w:val="en-GB"/>
        </w:rPr>
        <w:t>will include</w:t>
      </w:r>
      <w:r w:rsidRPr="00BC1ABD">
        <w:rPr>
          <w:rFonts w:cs="Arial"/>
          <w:sz w:val="24"/>
          <w:szCs w:val="24"/>
          <w:lang w:val="en-GB"/>
        </w:rPr>
        <w:t>:</w:t>
      </w:r>
    </w:p>
    <w:p w14:paraId="3DC3AF00" w14:textId="0CF01B41" w:rsidR="00020309" w:rsidRPr="00BC1ABD" w:rsidRDefault="001753FA">
      <w:pPr>
        <w:pStyle w:val="ListParagraph"/>
        <w:numPr>
          <w:ilvl w:val="0"/>
          <w:numId w:val="6"/>
        </w:numPr>
        <w:spacing w:line="259" w:lineRule="auto"/>
        <w:jc w:val="both"/>
        <w:rPr>
          <w:rFonts w:cs="Arial"/>
          <w:sz w:val="24"/>
          <w:szCs w:val="24"/>
          <w:lang w:val="en-GB"/>
        </w:rPr>
      </w:pPr>
      <w:r>
        <w:rPr>
          <w:rFonts w:cs="Arial"/>
          <w:sz w:val="24"/>
          <w:szCs w:val="24"/>
          <w:lang w:val="en-GB"/>
        </w:rPr>
        <w:t>P</w:t>
      </w:r>
      <w:r w:rsidR="00020309" w:rsidRPr="00BC1ABD">
        <w:rPr>
          <w:rFonts w:cs="Arial"/>
          <w:sz w:val="24"/>
          <w:szCs w:val="24"/>
          <w:lang w:val="en-GB"/>
        </w:rPr>
        <w:t xml:space="preserve">lanned changes in the </w:t>
      </w:r>
      <w:r>
        <w:rPr>
          <w:rFonts w:cs="Arial"/>
          <w:sz w:val="24"/>
          <w:szCs w:val="24"/>
          <w:lang w:val="en-GB"/>
        </w:rPr>
        <w:t xml:space="preserve">SMP operator’s </w:t>
      </w:r>
      <w:r w:rsidR="00020309" w:rsidRPr="00BC1ABD">
        <w:rPr>
          <w:rFonts w:cs="Arial"/>
          <w:sz w:val="24"/>
          <w:szCs w:val="24"/>
          <w:lang w:val="en-GB"/>
        </w:rPr>
        <w:t>network, (</w:t>
      </w:r>
      <w:r>
        <w:rPr>
          <w:rFonts w:cs="Arial"/>
          <w:sz w:val="24"/>
          <w:szCs w:val="24"/>
          <w:lang w:val="en-GB"/>
        </w:rPr>
        <w:t xml:space="preserve">for example </w:t>
      </w:r>
      <w:r w:rsidR="00020309" w:rsidRPr="00BC1ABD">
        <w:rPr>
          <w:rFonts w:cs="Arial"/>
          <w:sz w:val="24"/>
          <w:szCs w:val="24"/>
          <w:lang w:val="en-GB"/>
        </w:rPr>
        <w:t xml:space="preserve">new access points and </w:t>
      </w:r>
      <w:r>
        <w:rPr>
          <w:rFonts w:cs="Arial"/>
          <w:sz w:val="24"/>
          <w:szCs w:val="24"/>
          <w:lang w:val="en-GB"/>
        </w:rPr>
        <w:t>point of fibre presence</w:t>
      </w:r>
      <w:r w:rsidR="00020309" w:rsidRPr="00BC1ABD">
        <w:rPr>
          <w:rFonts w:cs="Arial"/>
          <w:sz w:val="24"/>
          <w:szCs w:val="24"/>
          <w:lang w:val="en-GB"/>
        </w:rPr>
        <w:t xml:space="preserve">, </w:t>
      </w:r>
      <w:r>
        <w:rPr>
          <w:rFonts w:cs="Arial"/>
          <w:sz w:val="24"/>
          <w:szCs w:val="24"/>
          <w:lang w:val="en-GB"/>
        </w:rPr>
        <w:t xml:space="preserve">changes in </w:t>
      </w:r>
      <w:r w:rsidR="00020309" w:rsidRPr="00BC1ABD">
        <w:rPr>
          <w:rFonts w:cs="Arial"/>
          <w:sz w:val="24"/>
          <w:szCs w:val="24"/>
          <w:lang w:val="en-GB"/>
        </w:rPr>
        <w:t xml:space="preserve">network topology, network architecture, </w:t>
      </w:r>
      <w:r w:rsidR="001676A0" w:rsidRPr="00BC1ABD">
        <w:rPr>
          <w:rFonts w:cs="Arial"/>
          <w:sz w:val="24"/>
          <w:szCs w:val="24"/>
          <w:lang w:val="en-GB"/>
        </w:rPr>
        <w:t>backhauling</w:t>
      </w:r>
      <w:r w:rsidR="00020309" w:rsidRPr="00BC1ABD">
        <w:rPr>
          <w:rFonts w:cs="Arial"/>
          <w:sz w:val="24"/>
          <w:szCs w:val="24"/>
          <w:lang w:val="en-GB"/>
        </w:rPr>
        <w:t>, etc.)</w:t>
      </w:r>
      <w:r>
        <w:rPr>
          <w:rFonts w:cs="Arial"/>
          <w:sz w:val="24"/>
          <w:szCs w:val="24"/>
          <w:lang w:val="en-GB"/>
        </w:rPr>
        <w:t>;</w:t>
      </w:r>
    </w:p>
    <w:p w14:paraId="171D5ADC" w14:textId="57AB2CF3" w:rsidR="00020309" w:rsidRPr="00BC1ABD" w:rsidRDefault="001753FA">
      <w:pPr>
        <w:pStyle w:val="ListParagraph"/>
        <w:numPr>
          <w:ilvl w:val="0"/>
          <w:numId w:val="6"/>
        </w:numPr>
        <w:spacing w:line="259" w:lineRule="auto"/>
        <w:jc w:val="both"/>
        <w:rPr>
          <w:rFonts w:cs="Arial"/>
          <w:sz w:val="24"/>
          <w:szCs w:val="24"/>
          <w:lang w:val="en-GB"/>
        </w:rPr>
      </w:pPr>
      <w:r>
        <w:rPr>
          <w:rFonts w:cs="Arial"/>
          <w:sz w:val="24"/>
          <w:szCs w:val="24"/>
          <w:lang w:val="en-GB"/>
        </w:rPr>
        <w:t>N</w:t>
      </w:r>
      <w:r w:rsidR="00020309" w:rsidRPr="00BC1ABD">
        <w:rPr>
          <w:rFonts w:cs="Arial"/>
          <w:sz w:val="24"/>
          <w:szCs w:val="24"/>
          <w:lang w:val="en-GB"/>
        </w:rPr>
        <w:t>etwork reconfiguration</w:t>
      </w:r>
      <w:r>
        <w:rPr>
          <w:rFonts w:cs="Arial"/>
          <w:sz w:val="24"/>
          <w:szCs w:val="24"/>
          <w:lang w:val="en-GB"/>
        </w:rPr>
        <w:t>.</w:t>
      </w:r>
    </w:p>
    <w:p w14:paraId="5C3364D0" w14:textId="5CE84F8D" w:rsidR="00020309" w:rsidRPr="00BC1ABD" w:rsidRDefault="001753FA">
      <w:pPr>
        <w:pStyle w:val="ListParagraph"/>
        <w:numPr>
          <w:ilvl w:val="0"/>
          <w:numId w:val="6"/>
        </w:numPr>
        <w:spacing w:line="259" w:lineRule="auto"/>
        <w:jc w:val="both"/>
        <w:rPr>
          <w:rFonts w:cs="Arial"/>
          <w:sz w:val="24"/>
          <w:szCs w:val="24"/>
          <w:lang w:val="en-GB"/>
        </w:rPr>
      </w:pPr>
      <w:r>
        <w:rPr>
          <w:rFonts w:cs="Arial"/>
          <w:sz w:val="24"/>
          <w:szCs w:val="24"/>
          <w:lang w:val="en-GB"/>
        </w:rPr>
        <w:t>Any other information that, by withholding, would put the SMP operator’s retail arm in an advantageous position compared to the access-seeker in grow</w:t>
      </w:r>
      <w:r w:rsidR="00A34DAD">
        <w:rPr>
          <w:rFonts w:cs="Arial"/>
          <w:sz w:val="24"/>
          <w:szCs w:val="24"/>
          <w:lang w:val="en-GB"/>
        </w:rPr>
        <w:t>ing</w:t>
      </w:r>
      <w:r>
        <w:rPr>
          <w:rFonts w:cs="Arial"/>
          <w:sz w:val="24"/>
          <w:szCs w:val="24"/>
          <w:lang w:val="en-GB"/>
        </w:rPr>
        <w:t xml:space="preserve"> its retail market</w:t>
      </w:r>
    </w:p>
    <w:p w14:paraId="5A44701F" w14:textId="34E2567F" w:rsidR="00A34DAD" w:rsidRDefault="00020309" w:rsidP="000B2F9B">
      <w:pPr>
        <w:spacing w:line="259" w:lineRule="auto"/>
        <w:jc w:val="both"/>
        <w:rPr>
          <w:rFonts w:cs="Arial"/>
          <w:sz w:val="24"/>
          <w:szCs w:val="24"/>
          <w:lang w:val="en-GB"/>
        </w:rPr>
      </w:pPr>
      <w:r w:rsidRPr="00BC1ABD">
        <w:rPr>
          <w:rFonts w:cs="Arial"/>
          <w:sz w:val="24"/>
          <w:szCs w:val="24"/>
          <w:lang w:val="en-GB"/>
        </w:rPr>
        <w:t>In this way</w:t>
      </w:r>
      <w:r w:rsidR="00A34DAD">
        <w:rPr>
          <w:rFonts w:cs="Arial"/>
          <w:sz w:val="24"/>
          <w:szCs w:val="24"/>
          <w:lang w:val="en-GB"/>
        </w:rPr>
        <w:t xml:space="preserve"> the </w:t>
      </w:r>
      <w:r w:rsidRPr="00BC1ABD">
        <w:rPr>
          <w:rFonts w:cs="Arial"/>
          <w:sz w:val="24"/>
          <w:szCs w:val="24"/>
          <w:lang w:val="en-GB"/>
        </w:rPr>
        <w:t xml:space="preserve">SMP operator could directly and indirectly influence the business decisions of </w:t>
      </w:r>
      <w:r w:rsidR="00A34DAD">
        <w:rPr>
          <w:rFonts w:cs="Arial"/>
          <w:sz w:val="24"/>
          <w:szCs w:val="24"/>
          <w:lang w:val="en-GB"/>
        </w:rPr>
        <w:t xml:space="preserve">the </w:t>
      </w:r>
      <w:r w:rsidR="001676A0" w:rsidRPr="00BC1ABD">
        <w:rPr>
          <w:rFonts w:cs="Arial"/>
          <w:sz w:val="24"/>
          <w:szCs w:val="24"/>
          <w:lang w:val="en-GB"/>
        </w:rPr>
        <w:t>access</w:t>
      </w:r>
      <w:r w:rsidR="00A34DAD">
        <w:rPr>
          <w:rFonts w:cs="Arial"/>
          <w:sz w:val="24"/>
          <w:szCs w:val="24"/>
          <w:lang w:val="en-GB"/>
        </w:rPr>
        <w:t>-</w:t>
      </w:r>
      <w:r w:rsidR="001676A0" w:rsidRPr="00BC1ABD">
        <w:rPr>
          <w:rFonts w:cs="Arial"/>
          <w:sz w:val="24"/>
          <w:szCs w:val="24"/>
          <w:lang w:val="en-GB"/>
        </w:rPr>
        <w:t>seeker</w:t>
      </w:r>
      <w:r w:rsidRPr="00BC1ABD">
        <w:rPr>
          <w:rFonts w:cs="Arial"/>
          <w:sz w:val="24"/>
          <w:szCs w:val="24"/>
          <w:lang w:val="en-GB"/>
        </w:rPr>
        <w:t xml:space="preserve"> to a more </w:t>
      </w:r>
      <w:r w:rsidR="001676A0" w:rsidRPr="00BC1ABD">
        <w:rPr>
          <w:rFonts w:cs="Arial"/>
          <w:sz w:val="24"/>
          <w:szCs w:val="24"/>
          <w:lang w:val="en-GB"/>
        </w:rPr>
        <w:t>favourable</w:t>
      </w:r>
      <w:r w:rsidRPr="00BC1ABD">
        <w:rPr>
          <w:rFonts w:cs="Arial"/>
          <w:sz w:val="24"/>
          <w:szCs w:val="24"/>
          <w:lang w:val="en-GB"/>
        </w:rPr>
        <w:t xml:space="preserve"> position on the retail market</w:t>
      </w:r>
      <w:r w:rsidR="00A34DAD">
        <w:rPr>
          <w:rFonts w:cs="Arial"/>
          <w:sz w:val="24"/>
          <w:szCs w:val="24"/>
          <w:lang w:val="en-GB"/>
        </w:rPr>
        <w:t xml:space="preserve">. Existing and potential competitors in the retail market </w:t>
      </w:r>
      <w:r w:rsidR="00DF4024" w:rsidRPr="00BC1ABD">
        <w:rPr>
          <w:rFonts w:cs="Arial"/>
          <w:sz w:val="24"/>
          <w:szCs w:val="24"/>
          <w:lang w:val="en-GB"/>
        </w:rPr>
        <w:t>would not be able to assess the impact of such changes in a timely manner</w:t>
      </w:r>
      <w:r w:rsidR="00A34DAD">
        <w:rPr>
          <w:rFonts w:cs="Arial"/>
          <w:sz w:val="24"/>
          <w:szCs w:val="24"/>
          <w:lang w:val="en-GB"/>
        </w:rPr>
        <w:t xml:space="preserve"> such that they could</w:t>
      </w:r>
      <w:r w:rsidR="00DF4024" w:rsidRPr="00BC1ABD">
        <w:rPr>
          <w:rFonts w:cs="Arial"/>
          <w:sz w:val="24"/>
          <w:szCs w:val="24"/>
          <w:lang w:val="en-GB"/>
        </w:rPr>
        <w:t xml:space="preserve"> </w:t>
      </w:r>
      <w:r w:rsidR="00A34DAD">
        <w:rPr>
          <w:rFonts w:cs="Arial"/>
          <w:sz w:val="24"/>
          <w:szCs w:val="24"/>
          <w:lang w:val="en-GB"/>
        </w:rPr>
        <w:t xml:space="preserve">enable them to </w:t>
      </w:r>
      <w:r w:rsidR="00DF4024" w:rsidRPr="00BC1ABD">
        <w:rPr>
          <w:rFonts w:cs="Arial"/>
          <w:sz w:val="24"/>
          <w:szCs w:val="24"/>
          <w:lang w:val="en-GB"/>
        </w:rPr>
        <w:t xml:space="preserve">consider various investment opportunities in their own </w:t>
      </w:r>
      <w:r w:rsidR="009F5B61" w:rsidRPr="00BC1ABD">
        <w:rPr>
          <w:rFonts w:cs="Arial"/>
          <w:sz w:val="24"/>
          <w:szCs w:val="24"/>
          <w:lang w:val="en-GB"/>
        </w:rPr>
        <w:t>network and</w:t>
      </w:r>
      <w:r w:rsidR="00DF4024" w:rsidRPr="00BC1ABD">
        <w:rPr>
          <w:rFonts w:cs="Arial"/>
          <w:sz w:val="24"/>
          <w:szCs w:val="24"/>
          <w:lang w:val="en-GB"/>
        </w:rPr>
        <w:t xml:space="preserve"> react in a timely manner at the retail level.</w:t>
      </w:r>
      <w:r w:rsidRPr="00BC1ABD">
        <w:rPr>
          <w:rFonts w:cs="Arial"/>
          <w:sz w:val="24"/>
          <w:szCs w:val="24"/>
          <w:lang w:val="en-GB"/>
        </w:rPr>
        <w:t xml:space="preserve"> </w:t>
      </w:r>
    </w:p>
    <w:p w14:paraId="182320F0" w14:textId="1E9E420C" w:rsidR="00A34DAD" w:rsidRPr="00BC1ABD" w:rsidRDefault="00A34DAD" w:rsidP="000B2F9B">
      <w:pPr>
        <w:spacing w:line="259" w:lineRule="auto"/>
        <w:jc w:val="both"/>
        <w:rPr>
          <w:rFonts w:cs="Arial"/>
          <w:sz w:val="24"/>
          <w:szCs w:val="24"/>
          <w:lang w:val="en-GB"/>
        </w:rPr>
      </w:pPr>
      <w:r>
        <w:rPr>
          <w:rFonts w:cs="Arial"/>
          <w:sz w:val="24"/>
          <w:szCs w:val="24"/>
          <w:lang w:val="en-GB"/>
        </w:rPr>
        <w:t>In this way, the</w:t>
      </w:r>
      <w:r w:rsidR="000B2F9B" w:rsidRPr="00BC1ABD">
        <w:rPr>
          <w:rFonts w:cs="Arial"/>
          <w:sz w:val="24"/>
          <w:szCs w:val="24"/>
          <w:lang w:val="en-GB"/>
        </w:rPr>
        <w:t xml:space="preserve"> SMP operator </w:t>
      </w:r>
      <w:r>
        <w:rPr>
          <w:rFonts w:cs="Arial"/>
          <w:sz w:val="24"/>
          <w:szCs w:val="24"/>
          <w:lang w:val="en-GB"/>
        </w:rPr>
        <w:t>could</w:t>
      </w:r>
      <w:r w:rsidR="000B2F9B" w:rsidRPr="00BC1ABD">
        <w:rPr>
          <w:rFonts w:cs="Arial"/>
          <w:sz w:val="24"/>
          <w:szCs w:val="24"/>
          <w:lang w:val="en-GB"/>
        </w:rPr>
        <w:t xml:space="preserve"> leverage </w:t>
      </w:r>
      <w:r w:rsidR="00020309" w:rsidRPr="00BC1ABD">
        <w:rPr>
          <w:rFonts w:cs="Arial"/>
          <w:sz w:val="24"/>
          <w:szCs w:val="24"/>
          <w:lang w:val="en-GB"/>
        </w:rPr>
        <w:t xml:space="preserve">its </w:t>
      </w:r>
      <w:r w:rsidR="000B2F9B" w:rsidRPr="00BC1ABD">
        <w:rPr>
          <w:rFonts w:cs="Arial"/>
          <w:sz w:val="24"/>
          <w:szCs w:val="24"/>
          <w:lang w:val="en-GB"/>
        </w:rPr>
        <w:t xml:space="preserve">dominant position from </w:t>
      </w:r>
      <w:r>
        <w:rPr>
          <w:rFonts w:cs="Arial"/>
          <w:sz w:val="24"/>
          <w:szCs w:val="24"/>
          <w:lang w:val="en-GB"/>
        </w:rPr>
        <w:t xml:space="preserve">the </w:t>
      </w:r>
      <w:r w:rsidR="000B2F9B" w:rsidRPr="00BC1ABD">
        <w:rPr>
          <w:rFonts w:cs="Arial"/>
          <w:sz w:val="24"/>
          <w:szCs w:val="24"/>
          <w:lang w:val="en-GB"/>
        </w:rPr>
        <w:t xml:space="preserve">upstream wholesale market to </w:t>
      </w:r>
      <w:r>
        <w:rPr>
          <w:rFonts w:cs="Arial"/>
          <w:sz w:val="24"/>
          <w:szCs w:val="24"/>
          <w:lang w:val="en-GB"/>
        </w:rPr>
        <w:t xml:space="preserve">the </w:t>
      </w:r>
      <w:r w:rsidR="000B2F9B" w:rsidRPr="00BC1ABD">
        <w:rPr>
          <w:rFonts w:cs="Arial"/>
          <w:sz w:val="24"/>
          <w:szCs w:val="24"/>
          <w:lang w:val="en-GB"/>
        </w:rPr>
        <w:t xml:space="preserve">downstream retail market </w:t>
      </w:r>
      <w:r>
        <w:rPr>
          <w:rFonts w:cs="Arial"/>
          <w:sz w:val="24"/>
          <w:szCs w:val="24"/>
          <w:lang w:val="en-GB"/>
        </w:rPr>
        <w:t>and therefor</w:t>
      </w:r>
      <w:r w:rsidR="00C1283E">
        <w:rPr>
          <w:rFonts w:cs="Arial"/>
          <w:sz w:val="24"/>
          <w:szCs w:val="24"/>
          <w:lang w:val="en-GB"/>
        </w:rPr>
        <w:t>e</w:t>
      </w:r>
      <w:r>
        <w:rPr>
          <w:rFonts w:cs="Arial"/>
          <w:sz w:val="24"/>
          <w:szCs w:val="24"/>
          <w:lang w:val="en-GB"/>
        </w:rPr>
        <w:t xml:space="preserve"> reduce</w:t>
      </w:r>
      <w:r w:rsidR="00C1283E">
        <w:rPr>
          <w:rFonts w:cs="Arial"/>
          <w:sz w:val="24"/>
          <w:szCs w:val="24"/>
          <w:lang w:val="en-GB"/>
        </w:rPr>
        <w:t>s</w:t>
      </w:r>
      <w:r>
        <w:rPr>
          <w:rFonts w:cs="Arial"/>
          <w:sz w:val="24"/>
          <w:szCs w:val="24"/>
          <w:lang w:val="en-GB"/>
        </w:rPr>
        <w:t xml:space="preserve"> the</w:t>
      </w:r>
      <w:r w:rsidR="000B2F9B" w:rsidRPr="00BC1ABD">
        <w:rPr>
          <w:rFonts w:cs="Arial"/>
          <w:sz w:val="24"/>
          <w:szCs w:val="24"/>
          <w:lang w:val="en-GB"/>
        </w:rPr>
        <w:t xml:space="preserve"> development of competition </w:t>
      </w:r>
      <w:r>
        <w:rPr>
          <w:rFonts w:cs="Arial"/>
          <w:sz w:val="24"/>
          <w:szCs w:val="24"/>
          <w:lang w:val="en-GB"/>
        </w:rPr>
        <w:t>at the</w:t>
      </w:r>
      <w:r w:rsidR="000B2F9B" w:rsidRPr="00BC1ABD">
        <w:rPr>
          <w:rFonts w:cs="Arial"/>
          <w:sz w:val="24"/>
          <w:szCs w:val="24"/>
          <w:lang w:val="en-GB"/>
        </w:rPr>
        <w:t xml:space="preserve"> retail higher-speed broadband market</w:t>
      </w:r>
      <w:r>
        <w:rPr>
          <w:rFonts w:cs="Arial"/>
          <w:sz w:val="24"/>
          <w:szCs w:val="24"/>
          <w:lang w:val="en-GB"/>
        </w:rPr>
        <w:t>.</w:t>
      </w:r>
      <w:r w:rsidR="00DF4024" w:rsidRPr="00BC1ABD">
        <w:rPr>
          <w:lang w:val="en-GB"/>
        </w:rPr>
        <w:t xml:space="preserve"> </w:t>
      </w:r>
    </w:p>
    <w:p w14:paraId="78722322" w14:textId="3520456E" w:rsidR="00B271E6" w:rsidRPr="00B67200" w:rsidRDefault="00B271E6" w:rsidP="00B67200">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2" w:name="_Toc169258994"/>
      <w:r w:rsidRPr="00B67200">
        <w:rPr>
          <w:rFonts w:asciiTheme="minorHAnsi" w:hAnsiTheme="minorHAnsi" w:cstheme="minorHAnsi"/>
          <w:b w:val="0"/>
          <w:bCs w:val="0"/>
          <w:sz w:val="24"/>
          <w:szCs w:val="24"/>
          <w:lang w:val="en-GB"/>
        </w:rPr>
        <w:t>Delay</w:t>
      </w:r>
      <w:r w:rsidR="00A34DAD" w:rsidRPr="00B67200">
        <w:rPr>
          <w:rFonts w:asciiTheme="minorHAnsi" w:hAnsiTheme="minorHAnsi" w:cstheme="minorHAnsi"/>
          <w:b w:val="0"/>
          <w:bCs w:val="0"/>
          <w:sz w:val="24"/>
          <w:szCs w:val="24"/>
          <w:lang w:val="en-GB"/>
        </w:rPr>
        <w:t>ing</w:t>
      </w:r>
      <w:r w:rsidRPr="00B67200">
        <w:rPr>
          <w:rFonts w:asciiTheme="minorHAnsi" w:hAnsiTheme="minorHAnsi" w:cstheme="minorHAnsi"/>
          <w:b w:val="0"/>
          <w:bCs w:val="0"/>
          <w:sz w:val="24"/>
          <w:szCs w:val="24"/>
          <w:lang w:val="en-GB"/>
        </w:rPr>
        <w:t xml:space="preserve"> tactics</w:t>
      </w:r>
      <w:bookmarkEnd w:id="342"/>
    </w:p>
    <w:p w14:paraId="4DBAC2AA" w14:textId="50152D99" w:rsidR="00992C33" w:rsidRPr="00BC1ABD" w:rsidRDefault="00992C33" w:rsidP="000B2F9B">
      <w:pPr>
        <w:spacing w:line="259" w:lineRule="auto"/>
        <w:jc w:val="both"/>
        <w:rPr>
          <w:rFonts w:cs="Arial"/>
          <w:sz w:val="24"/>
          <w:szCs w:val="24"/>
          <w:lang w:val="en-GB"/>
        </w:rPr>
      </w:pPr>
      <w:r w:rsidRPr="00BC1ABD">
        <w:rPr>
          <w:rFonts w:cs="Arial"/>
          <w:sz w:val="24"/>
          <w:szCs w:val="24"/>
          <w:lang w:val="en-GB"/>
        </w:rPr>
        <w:t xml:space="preserve">This competition </w:t>
      </w:r>
      <w:r w:rsidR="00850C4C" w:rsidRPr="00BC1ABD">
        <w:rPr>
          <w:rFonts w:cs="Arial"/>
          <w:sz w:val="24"/>
          <w:szCs w:val="24"/>
          <w:lang w:val="en-GB"/>
        </w:rPr>
        <w:t xml:space="preserve">problem </w:t>
      </w:r>
      <w:r w:rsidR="00BF39FA">
        <w:rPr>
          <w:rFonts w:cs="Arial"/>
          <w:sz w:val="24"/>
          <w:szCs w:val="24"/>
          <w:lang w:val="en-GB"/>
        </w:rPr>
        <w:t>could occur</w:t>
      </w:r>
      <w:r w:rsidR="00850C4C" w:rsidRPr="00BC1ABD">
        <w:rPr>
          <w:rFonts w:cs="Arial"/>
          <w:sz w:val="24"/>
          <w:szCs w:val="24"/>
          <w:lang w:val="en-GB"/>
        </w:rPr>
        <w:t xml:space="preserve"> </w:t>
      </w:r>
      <w:r w:rsidR="00BF39FA">
        <w:rPr>
          <w:rFonts w:cs="Arial"/>
          <w:sz w:val="24"/>
          <w:szCs w:val="24"/>
          <w:lang w:val="en-GB"/>
        </w:rPr>
        <w:t>if an</w:t>
      </w:r>
      <w:r w:rsidR="00850C4C" w:rsidRPr="00BC1ABD">
        <w:rPr>
          <w:rFonts w:cs="Arial"/>
          <w:sz w:val="24"/>
          <w:szCs w:val="24"/>
          <w:lang w:val="en-GB"/>
        </w:rPr>
        <w:t xml:space="preserve"> SMP </w:t>
      </w:r>
      <w:r w:rsidRPr="00BC1ABD">
        <w:rPr>
          <w:rFonts w:cs="Arial"/>
          <w:sz w:val="24"/>
          <w:szCs w:val="24"/>
          <w:lang w:val="en-GB"/>
        </w:rPr>
        <w:t>operator does not refuse a</w:t>
      </w:r>
      <w:r w:rsidR="00850C4C" w:rsidRPr="00BC1ABD">
        <w:rPr>
          <w:rFonts w:cs="Arial"/>
          <w:sz w:val="24"/>
          <w:szCs w:val="24"/>
          <w:lang w:val="en-GB"/>
        </w:rPr>
        <w:t xml:space="preserve"> wholesale</w:t>
      </w:r>
      <w:r w:rsidRPr="00BC1ABD">
        <w:rPr>
          <w:rFonts w:cs="Arial"/>
          <w:sz w:val="24"/>
          <w:szCs w:val="24"/>
          <w:lang w:val="en-GB"/>
        </w:rPr>
        <w:t xml:space="preserve"> agreement</w:t>
      </w:r>
      <w:r w:rsidR="00850C4C" w:rsidRPr="00BC1ABD">
        <w:rPr>
          <w:rFonts w:cs="Arial"/>
          <w:sz w:val="24"/>
          <w:szCs w:val="24"/>
          <w:lang w:val="en-GB"/>
        </w:rPr>
        <w:t xml:space="preserve"> (</w:t>
      </w:r>
      <w:r w:rsidRPr="00BC1ABD">
        <w:rPr>
          <w:rFonts w:cs="Arial"/>
          <w:sz w:val="24"/>
          <w:szCs w:val="24"/>
          <w:lang w:val="en-GB"/>
        </w:rPr>
        <w:t>does not deny access</w:t>
      </w:r>
      <w:r w:rsidR="009F5B61" w:rsidRPr="00BC1ABD">
        <w:rPr>
          <w:rFonts w:cs="Arial"/>
          <w:sz w:val="24"/>
          <w:szCs w:val="24"/>
          <w:lang w:val="en-GB"/>
        </w:rPr>
        <w:t>) but</w:t>
      </w:r>
      <w:r w:rsidRPr="00BC1ABD">
        <w:rPr>
          <w:rFonts w:cs="Arial"/>
          <w:sz w:val="24"/>
          <w:szCs w:val="24"/>
          <w:lang w:val="en-GB"/>
        </w:rPr>
        <w:t xml:space="preserve"> </w:t>
      </w:r>
      <w:r w:rsidR="00BF39FA">
        <w:rPr>
          <w:rFonts w:cs="Arial"/>
          <w:sz w:val="24"/>
          <w:szCs w:val="24"/>
          <w:lang w:val="en-GB"/>
        </w:rPr>
        <w:t xml:space="preserve">instead </w:t>
      </w:r>
      <w:r w:rsidRPr="00BC1ABD">
        <w:rPr>
          <w:rFonts w:cs="Arial"/>
          <w:sz w:val="24"/>
          <w:szCs w:val="24"/>
          <w:lang w:val="en-GB"/>
        </w:rPr>
        <w:t>provide</w:t>
      </w:r>
      <w:r w:rsidR="00BF39FA">
        <w:rPr>
          <w:rFonts w:cs="Arial"/>
          <w:sz w:val="24"/>
          <w:szCs w:val="24"/>
          <w:lang w:val="en-GB"/>
        </w:rPr>
        <w:t xml:space="preserve">s </w:t>
      </w:r>
      <w:r w:rsidR="00850C4C" w:rsidRPr="00BC1ABD">
        <w:rPr>
          <w:rFonts w:cs="Arial"/>
          <w:sz w:val="24"/>
          <w:szCs w:val="24"/>
          <w:lang w:val="en-GB"/>
        </w:rPr>
        <w:t>wholesale acc</w:t>
      </w:r>
      <w:r w:rsidR="00BF39FA">
        <w:rPr>
          <w:rFonts w:cs="Arial"/>
          <w:sz w:val="24"/>
          <w:szCs w:val="24"/>
          <w:lang w:val="en-GB"/>
        </w:rPr>
        <w:t xml:space="preserve">ess </w:t>
      </w:r>
      <w:r w:rsidRPr="00BC1ABD">
        <w:rPr>
          <w:rFonts w:cs="Arial"/>
          <w:sz w:val="24"/>
          <w:szCs w:val="24"/>
          <w:lang w:val="en-GB"/>
        </w:rPr>
        <w:t xml:space="preserve">with a clear </w:t>
      </w:r>
      <w:r w:rsidR="00850C4C" w:rsidRPr="00BC1ABD">
        <w:rPr>
          <w:rFonts w:cs="Arial"/>
          <w:sz w:val="24"/>
          <w:szCs w:val="24"/>
          <w:lang w:val="en-GB"/>
        </w:rPr>
        <w:t xml:space="preserve">and planned </w:t>
      </w:r>
      <w:r w:rsidRPr="00BC1ABD">
        <w:rPr>
          <w:rFonts w:cs="Arial"/>
          <w:sz w:val="24"/>
          <w:szCs w:val="24"/>
          <w:lang w:val="en-GB"/>
        </w:rPr>
        <w:t xml:space="preserve">intention </w:t>
      </w:r>
      <w:r w:rsidR="001C0173" w:rsidRPr="00BC1ABD">
        <w:rPr>
          <w:rFonts w:cs="Arial"/>
          <w:sz w:val="24"/>
          <w:szCs w:val="24"/>
          <w:lang w:val="en-GB"/>
        </w:rPr>
        <w:t>to</w:t>
      </w:r>
      <w:r w:rsidRPr="00BC1ABD">
        <w:rPr>
          <w:rFonts w:cs="Arial"/>
          <w:sz w:val="24"/>
          <w:szCs w:val="24"/>
          <w:lang w:val="en-GB"/>
        </w:rPr>
        <w:t xml:space="preserve"> delay </w:t>
      </w:r>
      <w:r w:rsidR="001C0173" w:rsidRPr="00BC1ABD">
        <w:rPr>
          <w:rFonts w:cs="Arial"/>
          <w:sz w:val="24"/>
          <w:szCs w:val="24"/>
          <w:lang w:val="en-GB"/>
        </w:rPr>
        <w:t>the provision of the service to access seekers</w:t>
      </w:r>
      <w:r w:rsidR="00BF39FA">
        <w:rPr>
          <w:rFonts w:cs="Arial"/>
          <w:sz w:val="24"/>
          <w:szCs w:val="24"/>
          <w:lang w:val="en-GB"/>
        </w:rPr>
        <w:t>.</w:t>
      </w:r>
      <w:r w:rsidR="001C0173" w:rsidRPr="00BC1ABD">
        <w:rPr>
          <w:rFonts w:cs="Arial"/>
          <w:sz w:val="24"/>
          <w:szCs w:val="24"/>
          <w:lang w:val="en-GB"/>
        </w:rPr>
        <w:t xml:space="preserve"> This</w:t>
      </w:r>
      <w:r w:rsidR="00BF39FA">
        <w:rPr>
          <w:rFonts w:cs="Arial"/>
          <w:sz w:val="24"/>
          <w:szCs w:val="24"/>
          <w:lang w:val="en-GB"/>
        </w:rPr>
        <w:t xml:space="preserve"> results in the wholesale access service being supplied </w:t>
      </w:r>
      <w:r w:rsidRPr="00BC1ABD">
        <w:rPr>
          <w:rFonts w:cs="Arial"/>
          <w:sz w:val="24"/>
          <w:szCs w:val="24"/>
          <w:lang w:val="en-GB"/>
        </w:rPr>
        <w:t xml:space="preserve">later in time </w:t>
      </w:r>
      <w:r w:rsidR="00BF39FA">
        <w:rPr>
          <w:rFonts w:cs="Arial"/>
          <w:sz w:val="24"/>
          <w:szCs w:val="24"/>
          <w:lang w:val="en-GB"/>
        </w:rPr>
        <w:t xml:space="preserve">to the access-seeking competitor </w:t>
      </w:r>
      <w:r w:rsidRPr="00BC1ABD">
        <w:rPr>
          <w:rFonts w:cs="Arial"/>
          <w:sz w:val="24"/>
          <w:szCs w:val="24"/>
          <w:lang w:val="en-GB"/>
        </w:rPr>
        <w:t xml:space="preserve">compared to the </w:t>
      </w:r>
      <w:r w:rsidR="00BF39FA">
        <w:rPr>
          <w:rFonts w:cs="Arial"/>
          <w:sz w:val="24"/>
          <w:szCs w:val="24"/>
          <w:lang w:val="en-GB"/>
        </w:rPr>
        <w:t xml:space="preserve">time taken for the SMP operator to supply the same service to its own </w:t>
      </w:r>
      <w:r w:rsidRPr="00BC1ABD">
        <w:rPr>
          <w:rFonts w:cs="Arial"/>
          <w:sz w:val="24"/>
          <w:szCs w:val="24"/>
          <w:lang w:val="en-GB"/>
        </w:rPr>
        <w:t xml:space="preserve">retail </w:t>
      </w:r>
      <w:r w:rsidR="001C0173" w:rsidRPr="00BC1ABD">
        <w:rPr>
          <w:rFonts w:cs="Arial"/>
          <w:sz w:val="24"/>
          <w:szCs w:val="24"/>
          <w:lang w:val="en-GB"/>
        </w:rPr>
        <w:t>arm</w:t>
      </w:r>
      <w:r w:rsidRPr="00BC1ABD">
        <w:rPr>
          <w:rFonts w:cs="Arial"/>
          <w:sz w:val="24"/>
          <w:szCs w:val="24"/>
          <w:lang w:val="en-GB"/>
        </w:rPr>
        <w:t xml:space="preserve">. </w:t>
      </w:r>
    </w:p>
    <w:p w14:paraId="10CAE294" w14:textId="77777777" w:rsidR="001C0173" w:rsidRPr="00BC1ABD" w:rsidRDefault="000B2F9B" w:rsidP="000B2F9B">
      <w:pPr>
        <w:spacing w:line="259" w:lineRule="auto"/>
        <w:jc w:val="both"/>
        <w:rPr>
          <w:rFonts w:cs="Arial"/>
          <w:sz w:val="24"/>
          <w:szCs w:val="24"/>
          <w:lang w:val="en-GB"/>
        </w:rPr>
      </w:pPr>
      <w:r w:rsidRPr="00BC1ABD">
        <w:rPr>
          <w:rFonts w:cs="Arial"/>
          <w:sz w:val="24"/>
          <w:szCs w:val="24"/>
          <w:lang w:val="en-GB"/>
        </w:rPr>
        <w:t xml:space="preserve">Delaying tactics may come in </w:t>
      </w:r>
      <w:r w:rsidR="001C0173" w:rsidRPr="00BC1ABD">
        <w:rPr>
          <w:rFonts w:cs="Arial"/>
          <w:sz w:val="24"/>
          <w:szCs w:val="24"/>
          <w:lang w:val="en-GB"/>
        </w:rPr>
        <w:t>different</w:t>
      </w:r>
      <w:r w:rsidRPr="00BC1ABD">
        <w:rPr>
          <w:rFonts w:cs="Arial"/>
          <w:sz w:val="24"/>
          <w:szCs w:val="24"/>
          <w:lang w:val="en-GB"/>
        </w:rPr>
        <w:t xml:space="preserve"> forms</w:t>
      </w:r>
      <w:r w:rsidR="001C0173" w:rsidRPr="00BC1ABD">
        <w:rPr>
          <w:rFonts w:cs="Arial"/>
          <w:sz w:val="24"/>
          <w:szCs w:val="24"/>
          <w:lang w:val="en-GB"/>
        </w:rPr>
        <w:t>:</w:t>
      </w:r>
    </w:p>
    <w:p w14:paraId="5263140B" w14:textId="57831674" w:rsidR="001C0173" w:rsidRPr="00BC1ABD" w:rsidRDefault="00BF39FA">
      <w:pPr>
        <w:pStyle w:val="ListParagraph"/>
        <w:numPr>
          <w:ilvl w:val="0"/>
          <w:numId w:val="15"/>
        </w:numPr>
        <w:spacing w:line="259" w:lineRule="auto"/>
        <w:jc w:val="both"/>
        <w:rPr>
          <w:rFonts w:cs="Arial"/>
          <w:sz w:val="24"/>
          <w:szCs w:val="24"/>
          <w:lang w:val="en-GB"/>
        </w:rPr>
      </w:pPr>
      <w:r>
        <w:rPr>
          <w:rFonts w:cs="Arial"/>
          <w:sz w:val="24"/>
          <w:szCs w:val="24"/>
          <w:lang w:val="en-GB"/>
        </w:rPr>
        <w:t>L</w:t>
      </w:r>
      <w:r w:rsidR="000B2F9B" w:rsidRPr="00BC1ABD">
        <w:rPr>
          <w:rFonts w:cs="Arial"/>
          <w:sz w:val="24"/>
          <w:szCs w:val="24"/>
          <w:lang w:val="en-GB"/>
        </w:rPr>
        <w:t>engthy negotiations</w:t>
      </w:r>
      <w:r>
        <w:rPr>
          <w:rFonts w:cs="Arial"/>
          <w:sz w:val="24"/>
          <w:szCs w:val="24"/>
          <w:lang w:val="en-GB"/>
        </w:rPr>
        <w:t>;</w:t>
      </w:r>
    </w:p>
    <w:p w14:paraId="3E04C064" w14:textId="5B01521B" w:rsidR="001C0173" w:rsidRPr="00BC1ABD" w:rsidRDefault="00BF39FA">
      <w:pPr>
        <w:pStyle w:val="ListParagraph"/>
        <w:numPr>
          <w:ilvl w:val="0"/>
          <w:numId w:val="15"/>
        </w:numPr>
        <w:spacing w:line="259" w:lineRule="auto"/>
        <w:jc w:val="both"/>
        <w:rPr>
          <w:rFonts w:cs="Arial"/>
          <w:sz w:val="24"/>
          <w:szCs w:val="24"/>
          <w:lang w:val="en-GB"/>
        </w:rPr>
      </w:pPr>
      <w:r>
        <w:rPr>
          <w:rFonts w:cs="Arial"/>
          <w:sz w:val="24"/>
          <w:szCs w:val="24"/>
          <w:lang w:val="en-GB"/>
        </w:rPr>
        <w:t>N</w:t>
      </w:r>
      <w:r w:rsidR="001C0173" w:rsidRPr="00BC1ABD">
        <w:rPr>
          <w:rFonts w:cs="Arial"/>
          <w:sz w:val="24"/>
          <w:szCs w:val="24"/>
          <w:lang w:val="en-GB"/>
        </w:rPr>
        <w:t>on solving</w:t>
      </w:r>
      <w:r w:rsidR="008F439D">
        <w:rPr>
          <w:rFonts w:cs="Arial"/>
          <w:sz w:val="24"/>
          <w:szCs w:val="24"/>
          <w:lang w:val="en-GB"/>
        </w:rPr>
        <w:t xml:space="preserve"> of</w:t>
      </w:r>
      <w:r w:rsidR="000B2F9B" w:rsidRPr="00BC1ABD">
        <w:rPr>
          <w:rFonts w:cs="Arial"/>
          <w:sz w:val="24"/>
          <w:szCs w:val="24"/>
          <w:lang w:val="en-GB"/>
        </w:rPr>
        <w:t xml:space="preserve"> technical problems</w:t>
      </w:r>
      <w:r w:rsidR="001C0173" w:rsidRPr="00BC1ABD">
        <w:rPr>
          <w:rFonts w:cs="Arial"/>
          <w:sz w:val="24"/>
          <w:szCs w:val="24"/>
          <w:lang w:val="en-GB"/>
        </w:rPr>
        <w:t xml:space="preserve"> (</w:t>
      </w:r>
      <w:r w:rsidR="008F439D">
        <w:rPr>
          <w:rFonts w:cs="Arial"/>
          <w:sz w:val="24"/>
          <w:szCs w:val="24"/>
          <w:lang w:val="en-GB"/>
        </w:rPr>
        <w:t xml:space="preserve">for example delaying the </w:t>
      </w:r>
      <w:r w:rsidR="001C0173" w:rsidRPr="00BC1ABD">
        <w:rPr>
          <w:rFonts w:cs="Arial"/>
          <w:sz w:val="24"/>
          <w:szCs w:val="24"/>
          <w:lang w:val="en-GB"/>
        </w:rPr>
        <w:t>fault repair</w:t>
      </w:r>
      <w:r w:rsidR="008F439D">
        <w:rPr>
          <w:rFonts w:cs="Arial"/>
          <w:sz w:val="24"/>
          <w:szCs w:val="24"/>
          <w:lang w:val="en-GB"/>
        </w:rPr>
        <w:t xml:space="preserve"> process</w:t>
      </w:r>
      <w:r w:rsidR="001C0173" w:rsidRPr="00BC1ABD">
        <w:rPr>
          <w:rFonts w:cs="Arial"/>
          <w:sz w:val="24"/>
          <w:szCs w:val="24"/>
          <w:lang w:val="en-GB"/>
        </w:rPr>
        <w:t>)</w:t>
      </w:r>
      <w:r w:rsidR="008F439D">
        <w:rPr>
          <w:rFonts w:cs="Arial"/>
          <w:sz w:val="24"/>
          <w:szCs w:val="24"/>
          <w:lang w:val="en-GB"/>
        </w:rPr>
        <w:t>;</w:t>
      </w:r>
    </w:p>
    <w:p w14:paraId="312D0F5C" w14:textId="0F6F92BF" w:rsidR="008F439D" w:rsidRPr="00B67200" w:rsidRDefault="00BF39FA" w:rsidP="00B67200">
      <w:pPr>
        <w:pStyle w:val="ListParagraph"/>
        <w:numPr>
          <w:ilvl w:val="0"/>
          <w:numId w:val="6"/>
        </w:numPr>
        <w:spacing w:line="259" w:lineRule="auto"/>
        <w:jc w:val="both"/>
        <w:rPr>
          <w:rFonts w:cs="Arial"/>
          <w:sz w:val="24"/>
          <w:szCs w:val="24"/>
          <w:lang w:val="en-GB"/>
        </w:rPr>
      </w:pPr>
      <w:r>
        <w:rPr>
          <w:rFonts w:cs="Arial"/>
          <w:sz w:val="24"/>
          <w:szCs w:val="24"/>
          <w:lang w:val="en-GB"/>
        </w:rPr>
        <w:t>N</w:t>
      </w:r>
      <w:r w:rsidR="001C0173" w:rsidRPr="00BC1ABD">
        <w:rPr>
          <w:rFonts w:cs="Arial"/>
          <w:sz w:val="24"/>
          <w:szCs w:val="24"/>
          <w:lang w:val="en-GB"/>
        </w:rPr>
        <w:t xml:space="preserve">on processing the requests in line with </w:t>
      </w:r>
      <w:r w:rsidR="008F439D">
        <w:rPr>
          <w:rFonts w:cs="Arial"/>
          <w:sz w:val="24"/>
          <w:szCs w:val="24"/>
          <w:lang w:val="en-GB"/>
        </w:rPr>
        <w:t>agreed</w:t>
      </w:r>
      <w:r w:rsidR="001C0173" w:rsidRPr="00BC1ABD">
        <w:rPr>
          <w:rFonts w:cs="Arial"/>
          <w:sz w:val="24"/>
          <w:szCs w:val="24"/>
          <w:lang w:val="en-GB"/>
        </w:rPr>
        <w:t xml:space="preserve"> deadlines</w:t>
      </w:r>
      <w:r w:rsidR="008F439D">
        <w:rPr>
          <w:rFonts w:cs="Arial"/>
          <w:sz w:val="24"/>
          <w:szCs w:val="24"/>
          <w:lang w:val="en-GB"/>
        </w:rPr>
        <w:t>;</w:t>
      </w:r>
    </w:p>
    <w:p w14:paraId="062A46EE" w14:textId="465D56CB" w:rsidR="001C0173" w:rsidRPr="00B67200" w:rsidRDefault="008F439D" w:rsidP="00B67200">
      <w:pPr>
        <w:pStyle w:val="ListParagraph"/>
        <w:numPr>
          <w:ilvl w:val="0"/>
          <w:numId w:val="6"/>
        </w:numPr>
        <w:spacing w:line="259" w:lineRule="auto"/>
        <w:jc w:val="both"/>
        <w:rPr>
          <w:rFonts w:cs="Arial"/>
          <w:sz w:val="24"/>
          <w:szCs w:val="24"/>
          <w:lang w:val="en-GB"/>
        </w:rPr>
      </w:pPr>
      <w:r>
        <w:rPr>
          <w:rFonts w:cs="Arial"/>
          <w:sz w:val="24"/>
          <w:szCs w:val="24"/>
          <w:lang w:val="en-GB"/>
        </w:rPr>
        <w:t>Any other unjustified delays that would put the SMP operator’s retail arm in an advantageous position compared to the access-seeker in servicing or growing its retail market.</w:t>
      </w:r>
    </w:p>
    <w:p w14:paraId="1EEFD574" w14:textId="015E0402" w:rsidR="000B2F9B" w:rsidRPr="00BC1ABD" w:rsidRDefault="000B2F9B" w:rsidP="001C0173">
      <w:pPr>
        <w:spacing w:line="259" w:lineRule="auto"/>
        <w:jc w:val="both"/>
        <w:rPr>
          <w:rFonts w:cs="Arial"/>
          <w:sz w:val="24"/>
          <w:szCs w:val="24"/>
          <w:lang w:val="en-GB"/>
        </w:rPr>
      </w:pPr>
      <w:r w:rsidRPr="00BC1ABD">
        <w:rPr>
          <w:rFonts w:cs="Arial"/>
          <w:sz w:val="24"/>
          <w:szCs w:val="24"/>
          <w:lang w:val="en-GB"/>
        </w:rPr>
        <w:t xml:space="preserve">The </w:t>
      </w:r>
      <w:r w:rsidR="001C0173" w:rsidRPr="00BC1ABD">
        <w:rPr>
          <w:rFonts w:cs="Arial"/>
          <w:sz w:val="24"/>
          <w:szCs w:val="24"/>
          <w:lang w:val="en-GB"/>
        </w:rPr>
        <w:t xml:space="preserve">main </w:t>
      </w:r>
      <w:r w:rsidRPr="00BC1ABD">
        <w:rPr>
          <w:rFonts w:cs="Arial"/>
          <w:sz w:val="24"/>
          <w:szCs w:val="24"/>
          <w:lang w:val="en-GB"/>
        </w:rPr>
        <w:t xml:space="preserve">motivation for such behaviour </w:t>
      </w:r>
      <w:r w:rsidR="001C0173" w:rsidRPr="00BC1ABD">
        <w:rPr>
          <w:rFonts w:cs="Arial"/>
          <w:sz w:val="24"/>
          <w:szCs w:val="24"/>
          <w:lang w:val="en-GB"/>
        </w:rPr>
        <w:t xml:space="preserve">could be to delay the entry of other operators as well as to influence the </w:t>
      </w:r>
      <w:r w:rsidR="00C1283E">
        <w:rPr>
          <w:rFonts w:cs="Arial"/>
          <w:sz w:val="24"/>
          <w:szCs w:val="24"/>
          <w:lang w:val="en-GB"/>
        </w:rPr>
        <w:t>performance of</w:t>
      </w:r>
      <w:r w:rsidR="001C0173" w:rsidRPr="00BC1ABD">
        <w:rPr>
          <w:rFonts w:cs="Arial"/>
          <w:sz w:val="24"/>
          <w:szCs w:val="24"/>
          <w:lang w:val="en-GB"/>
        </w:rPr>
        <w:t xml:space="preserve"> </w:t>
      </w:r>
      <w:r w:rsidR="00C1283E">
        <w:rPr>
          <w:rFonts w:cs="Arial"/>
          <w:sz w:val="24"/>
          <w:szCs w:val="24"/>
          <w:lang w:val="en-GB"/>
        </w:rPr>
        <w:t>the access-seeker</w:t>
      </w:r>
      <w:r w:rsidR="001C0173" w:rsidRPr="00BC1ABD">
        <w:rPr>
          <w:rFonts w:cs="Arial"/>
          <w:sz w:val="24"/>
          <w:szCs w:val="24"/>
          <w:lang w:val="en-GB"/>
        </w:rPr>
        <w:t xml:space="preserve"> </w:t>
      </w:r>
      <w:r w:rsidR="00C1283E">
        <w:rPr>
          <w:rFonts w:cs="Arial"/>
          <w:sz w:val="24"/>
          <w:szCs w:val="24"/>
          <w:lang w:val="en-GB"/>
        </w:rPr>
        <w:t>in serving</w:t>
      </w:r>
      <w:r w:rsidR="00195B2F">
        <w:rPr>
          <w:rFonts w:cs="Arial"/>
          <w:sz w:val="24"/>
          <w:szCs w:val="24"/>
          <w:lang w:val="en-GB"/>
        </w:rPr>
        <w:t xml:space="preserve"> </w:t>
      </w:r>
      <w:r w:rsidR="001C0173" w:rsidRPr="00BC1ABD">
        <w:rPr>
          <w:rFonts w:cs="Arial"/>
          <w:sz w:val="24"/>
          <w:szCs w:val="24"/>
          <w:lang w:val="en-GB"/>
        </w:rPr>
        <w:t>their end</w:t>
      </w:r>
      <w:r w:rsidR="00C1283E">
        <w:rPr>
          <w:rFonts w:cs="Arial"/>
          <w:sz w:val="24"/>
          <w:szCs w:val="24"/>
          <w:lang w:val="en-GB"/>
        </w:rPr>
        <w:t>-</w:t>
      </w:r>
      <w:r w:rsidR="001C0173" w:rsidRPr="00BC1ABD">
        <w:rPr>
          <w:rFonts w:cs="Arial"/>
          <w:sz w:val="24"/>
          <w:szCs w:val="24"/>
          <w:lang w:val="en-GB"/>
        </w:rPr>
        <w:t xml:space="preserve">users by </w:t>
      </w:r>
      <w:r w:rsidR="00C1283E">
        <w:rPr>
          <w:rFonts w:cs="Arial"/>
          <w:sz w:val="24"/>
          <w:szCs w:val="24"/>
          <w:lang w:val="en-GB"/>
        </w:rPr>
        <w:t>degrading</w:t>
      </w:r>
      <w:r w:rsidR="001C0173" w:rsidRPr="00BC1ABD">
        <w:rPr>
          <w:rFonts w:cs="Arial"/>
          <w:sz w:val="24"/>
          <w:szCs w:val="24"/>
          <w:lang w:val="en-GB"/>
        </w:rPr>
        <w:t xml:space="preserve"> service provision</w:t>
      </w:r>
      <w:r w:rsidR="00C1283E">
        <w:rPr>
          <w:rFonts w:cs="Arial"/>
          <w:sz w:val="24"/>
          <w:szCs w:val="24"/>
          <w:lang w:val="en-GB"/>
        </w:rPr>
        <w:t xml:space="preserve"> or solving service problems</w:t>
      </w:r>
      <w:r w:rsidR="001C0173" w:rsidRPr="00BC1ABD">
        <w:rPr>
          <w:rFonts w:cs="Arial"/>
          <w:sz w:val="24"/>
          <w:szCs w:val="24"/>
          <w:lang w:val="en-GB"/>
        </w:rPr>
        <w:t>.</w:t>
      </w:r>
      <w:r w:rsidRPr="00BC1ABD">
        <w:rPr>
          <w:rFonts w:cs="Arial"/>
          <w:sz w:val="24"/>
          <w:szCs w:val="24"/>
          <w:lang w:val="en-GB"/>
        </w:rPr>
        <w:t xml:space="preserve"> </w:t>
      </w:r>
      <w:r w:rsidR="00C1283E">
        <w:rPr>
          <w:rFonts w:cs="Arial"/>
          <w:sz w:val="24"/>
          <w:szCs w:val="24"/>
          <w:lang w:val="en-GB"/>
        </w:rPr>
        <w:t>Such</w:t>
      </w:r>
      <w:r w:rsidR="00F72F66" w:rsidRPr="00BC1ABD">
        <w:rPr>
          <w:rFonts w:cs="Arial"/>
          <w:sz w:val="24"/>
          <w:szCs w:val="24"/>
          <w:lang w:val="en-GB"/>
        </w:rPr>
        <w:t xml:space="preserve"> delaying tactic</w:t>
      </w:r>
      <w:r w:rsidR="00C1283E">
        <w:rPr>
          <w:rFonts w:cs="Arial"/>
          <w:sz w:val="24"/>
          <w:szCs w:val="24"/>
          <w:lang w:val="en-GB"/>
        </w:rPr>
        <w:t>s</w:t>
      </w:r>
      <w:r w:rsidR="00F72F66" w:rsidRPr="00BC1ABD">
        <w:rPr>
          <w:rFonts w:cs="Arial"/>
          <w:sz w:val="24"/>
          <w:szCs w:val="24"/>
          <w:lang w:val="en-GB"/>
        </w:rPr>
        <w:t xml:space="preserve"> can apply to all stages in the provision of wholesale services</w:t>
      </w:r>
      <w:r w:rsidR="00C1283E">
        <w:rPr>
          <w:rFonts w:cs="Arial"/>
          <w:sz w:val="24"/>
          <w:szCs w:val="24"/>
          <w:lang w:val="en-GB"/>
        </w:rPr>
        <w:t xml:space="preserve"> from the initial </w:t>
      </w:r>
      <w:r w:rsidR="00F72F66" w:rsidRPr="00BC1ABD">
        <w:rPr>
          <w:rFonts w:cs="Arial"/>
          <w:sz w:val="24"/>
          <w:szCs w:val="24"/>
          <w:lang w:val="en-GB"/>
        </w:rPr>
        <w:t>negotiation stage</w:t>
      </w:r>
      <w:r w:rsidR="00C1283E">
        <w:rPr>
          <w:rFonts w:cs="Arial"/>
          <w:sz w:val="24"/>
          <w:szCs w:val="24"/>
          <w:lang w:val="en-GB"/>
        </w:rPr>
        <w:t xml:space="preserve"> through to service provision, maintenance and fault repair</w:t>
      </w:r>
      <w:r w:rsidR="00F72F66" w:rsidRPr="00BC1ABD">
        <w:rPr>
          <w:rFonts w:cs="Arial"/>
          <w:sz w:val="24"/>
          <w:szCs w:val="24"/>
          <w:lang w:val="en-GB"/>
        </w:rPr>
        <w:t>.</w:t>
      </w:r>
    </w:p>
    <w:p w14:paraId="71DC976F" w14:textId="0ECC7B06" w:rsidR="000B2F9B" w:rsidRPr="00BC1ABD" w:rsidRDefault="00992C33" w:rsidP="000B2F9B">
      <w:pPr>
        <w:spacing w:line="259" w:lineRule="auto"/>
        <w:jc w:val="both"/>
        <w:rPr>
          <w:rFonts w:cs="Arial"/>
          <w:sz w:val="24"/>
          <w:szCs w:val="24"/>
          <w:u w:val="single"/>
          <w:lang w:val="en-GB"/>
        </w:rPr>
      </w:pPr>
      <w:r w:rsidRPr="00BC1ABD">
        <w:rPr>
          <w:rFonts w:cs="Arial"/>
          <w:sz w:val="24"/>
          <w:szCs w:val="24"/>
          <w:lang w:val="en-GB"/>
        </w:rPr>
        <w:t>In this way</w:t>
      </w:r>
      <w:r w:rsidR="00C1283E">
        <w:rPr>
          <w:rFonts w:cs="Arial"/>
          <w:sz w:val="24"/>
          <w:szCs w:val="24"/>
          <w:lang w:val="en-GB"/>
        </w:rPr>
        <w:t xml:space="preserve"> the </w:t>
      </w:r>
      <w:r w:rsidR="001C0173" w:rsidRPr="00BC1ABD">
        <w:rPr>
          <w:rFonts w:cs="Arial"/>
          <w:sz w:val="24"/>
          <w:szCs w:val="24"/>
          <w:lang w:val="en-GB"/>
        </w:rPr>
        <w:t xml:space="preserve">SMP </w:t>
      </w:r>
      <w:r w:rsidRPr="00BC1ABD">
        <w:rPr>
          <w:rFonts w:cs="Arial"/>
          <w:sz w:val="24"/>
          <w:szCs w:val="24"/>
          <w:lang w:val="en-GB"/>
        </w:rPr>
        <w:t xml:space="preserve">operator </w:t>
      </w:r>
      <w:r w:rsidR="009F5B61" w:rsidRPr="00BC1ABD">
        <w:rPr>
          <w:rFonts w:cs="Arial"/>
          <w:sz w:val="24"/>
          <w:szCs w:val="24"/>
          <w:lang w:val="en-GB"/>
        </w:rPr>
        <w:t>transfers</w:t>
      </w:r>
      <w:r w:rsidR="001C0173" w:rsidRPr="00BC1ABD">
        <w:rPr>
          <w:rFonts w:cs="Arial"/>
          <w:sz w:val="24"/>
          <w:szCs w:val="24"/>
          <w:lang w:val="en-GB"/>
        </w:rPr>
        <w:t xml:space="preserve"> its market power from </w:t>
      </w:r>
      <w:r w:rsidR="00C1283E">
        <w:rPr>
          <w:rFonts w:cs="Arial"/>
          <w:sz w:val="24"/>
          <w:szCs w:val="24"/>
          <w:lang w:val="en-GB"/>
        </w:rPr>
        <w:t xml:space="preserve">the </w:t>
      </w:r>
      <w:r w:rsidR="001C0173" w:rsidRPr="00BC1ABD">
        <w:rPr>
          <w:rFonts w:cs="Arial"/>
          <w:sz w:val="24"/>
          <w:szCs w:val="24"/>
          <w:lang w:val="en-GB"/>
        </w:rPr>
        <w:t xml:space="preserve">upstream wholesale market to </w:t>
      </w:r>
      <w:r w:rsidR="00C1283E">
        <w:rPr>
          <w:rFonts w:cs="Arial"/>
          <w:sz w:val="24"/>
          <w:szCs w:val="24"/>
          <w:lang w:val="en-GB"/>
        </w:rPr>
        <w:t xml:space="preserve">the </w:t>
      </w:r>
      <w:r w:rsidR="001C0173" w:rsidRPr="00BC1ABD">
        <w:rPr>
          <w:rFonts w:cs="Arial"/>
          <w:sz w:val="24"/>
          <w:szCs w:val="24"/>
          <w:lang w:val="en-GB"/>
        </w:rPr>
        <w:t>downstream retail market</w:t>
      </w:r>
      <w:r w:rsidR="00C1283E">
        <w:rPr>
          <w:rFonts w:cs="Arial"/>
          <w:sz w:val="24"/>
          <w:szCs w:val="24"/>
          <w:lang w:val="en-GB"/>
        </w:rPr>
        <w:t xml:space="preserve"> and</w:t>
      </w:r>
      <w:r w:rsidR="00195B2F">
        <w:rPr>
          <w:rFonts w:cs="Arial"/>
          <w:sz w:val="24"/>
          <w:szCs w:val="24"/>
          <w:lang w:val="en-GB"/>
        </w:rPr>
        <w:t xml:space="preserve"> </w:t>
      </w:r>
      <w:r w:rsidR="00C1283E">
        <w:rPr>
          <w:rFonts w:cs="Arial"/>
          <w:sz w:val="24"/>
          <w:szCs w:val="24"/>
          <w:lang w:val="en-GB"/>
        </w:rPr>
        <w:t>therefore reduces the</w:t>
      </w:r>
      <w:r w:rsidR="00C1283E" w:rsidRPr="00BC1ABD">
        <w:rPr>
          <w:rFonts w:cs="Arial"/>
          <w:sz w:val="24"/>
          <w:szCs w:val="24"/>
          <w:lang w:val="en-GB"/>
        </w:rPr>
        <w:t xml:space="preserve"> development of competition </w:t>
      </w:r>
      <w:r w:rsidR="00C1283E">
        <w:rPr>
          <w:rFonts w:cs="Arial"/>
          <w:sz w:val="24"/>
          <w:szCs w:val="24"/>
          <w:lang w:val="en-GB"/>
        </w:rPr>
        <w:t>at the</w:t>
      </w:r>
      <w:r w:rsidR="00C1283E" w:rsidRPr="00BC1ABD">
        <w:rPr>
          <w:rFonts w:cs="Arial"/>
          <w:sz w:val="24"/>
          <w:szCs w:val="24"/>
          <w:lang w:val="en-GB"/>
        </w:rPr>
        <w:t xml:space="preserve"> retail higher-speed broadband market</w:t>
      </w:r>
      <w:r w:rsidR="001C0173" w:rsidRPr="00BC1ABD">
        <w:rPr>
          <w:rFonts w:cs="Arial"/>
          <w:sz w:val="24"/>
          <w:szCs w:val="24"/>
          <w:lang w:val="en-GB"/>
        </w:rPr>
        <w:t>.</w:t>
      </w:r>
      <w:r w:rsidRPr="00BC1ABD">
        <w:rPr>
          <w:rFonts w:cs="Arial"/>
          <w:sz w:val="24"/>
          <w:szCs w:val="24"/>
          <w:lang w:val="en-GB"/>
        </w:rPr>
        <w:t xml:space="preserve"> </w:t>
      </w:r>
    </w:p>
    <w:p w14:paraId="36AA646D" w14:textId="3E3030D9" w:rsidR="00F72F66" w:rsidRPr="00BC1ABD" w:rsidRDefault="000B2F9B" w:rsidP="000B2F9B">
      <w:pPr>
        <w:spacing w:line="259" w:lineRule="auto"/>
        <w:jc w:val="both"/>
        <w:rPr>
          <w:rFonts w:cs="Arial"/>
          <w:sz w:val="24"/>
          <w:szCs w:val="24"/>
          <w:lang w:val="en-GB"/>
        </w:rPr>
      </w:pPr>
      <w:r w:rsidRPr="00BC1ABD">
        <w:rPr>
          <w:rFonts w:cs="Arial"/>
          <w:sz w:val="24"/>
          <w:szCs w:val="24"/>
          <w:lang w:val="en-GB"/>
        </w:rPr>
        <w:t xml:space="preserve">ComCom is of the view that in the absence of regulation, </w:t>
      </w:r>
      <w:r w:rsidR="00C1283E">
        <w:rPr>
          <w:rFonts w:cs="Arial"/>
          <w:sz w:val="24"/>
          <w:szCs w:val="24"/>
          <w:lang w:val="en-GB"/>
        </w:rPr>
        <w:t xml:space="preserve">the </w:t>
      </w:r>
      <w:r w:rsidRPr="00BC1ABD">
        <w:rPr>
          <w:rFonts w:cs="Arial"/>
          <w:sz w:val="24"/>
          <w:szCs w:val="24"/>
          <w:lang w:val="en-GB"/>
        </w:rPr>
        <w:t>SMP operator</w:t>
      </w:r>
      <w:r w:rsidR="00F72F66" w:rsidRPr="00BC1ABD">
        <w:rPr>
          <w:rFonts w:cs="Arial"/>
          <w:sz w:val="24"/>
          <w:szCs w:val="24"/>
          <w:lang w:val="en-GB"/>
        </w:rPr>
        <w:t xml:space="preserve"> </w:t>
      </w:r>
      <w:r w:rsidRPr="00BC1ABD">
        <w:rPr>
          <w:rFonts w:cs="Arial"/>
          <w:sz w:val="24"/>
          <w:szCs w:val="24"/>
          <w:lang w:val="en-GB"/>
        </w:rPr>
        <w:t xml:space="preserve">could have the incentive to </w:t>
      </w:r>
      <w:r w:rsidR="00992C33" w:rsidRPr="00BC1ABD">
        <w:rPr>
          <w:rFonts w:cs="Arial"/>
          <w:sz w:val="24"/>
          <w:szCs w:val="24"/>
          <w:lang w:val="en-GB"/>
        </w:rPr>
        <w:t>provid</w:t>
      </w:r>
      <w:r w:rsidR="00BD4B61" w:rsidRPr="00BC1ABD">
        <w:rPr>
          <w:rFonts w:cs="Arial"/>
          <w:sz w:val="24"/>
          <w:szCs w:val="24"/>
          <w:lang w:val="en-GB"/>
        </w:rPr>
        <w:t>e</w:t>
      </w:r>
      <w:r w:rsidR="00992C33" w:rsidRPr="00BC1ABD">
        <w:rPr>
          <w:rFonts w:cs="Arial"/>
          <w:sz w:val="24"/>
          <w:szCs w:val="24"/>
          <w:lang w:val="en-GB"/>
        </w:rPr>
        <w:t xml:space="preserve"> wholesale access services in term that are intentionally </w:t>
      </w:r>
      <w:r w:rsidR="00C1283E">
        <w:rPr>
          <w:rFonts w:cs="Arial"/>
          <w:sz w:val="24"/>
          <w:szCs w:val="24"/>
          <w:lang w:val="en-GB"/>
        </w:rPr>
        <w:t>delayed in comparison to the time taken by the SMP operator to provide the same services to its own retail arm. For example the</w:t>
      </w:r>
      <w:r w:rsidR="00802D15" w:rsidRPr="00BC1ABD">
        <w:rPr>
          <w:rFonts w:cs="Arial"/>
          <w:sz w:val="24"/>
          <w:szCs w:val="24"/>
          <w:lang w:val="en-GB"/>
        </w:rPr>
        <w:t xml:space="preserve"> SMP operator would have a strong incentive to use various delaying tactics to </w:t>
      </w:r>
      <w:r w:rsidR="00C1283E">
        <w:rPr>
          <w:rFonts w:cs="Arial"/>
          <w:sz w:val="24"/>
          <w:szCs w:val="24"/>
          <w:lang w:val="en-GB"/>
        </w:rPr>
        <w:t>slow down</w:t>
      </w:r>
      <w:r w:rsidR="00802D15" w:rsidRPr="00BC1ABD">
        <w:rPr>
          <w:rFonts w:cs="Arial"/>
          <w:sz w:val="24"/>
          <w:szCs w:val="24"/>
          <w:lang w:val="en-GB"/>
        </w:rPr>
        <w:t xml:space="preserve"> service activation or fault </w:t>
      </w:r>
      <w:r w:rsidR="00C1283E">
        <w:rPr>
          <w:rFonts w:cs="Arial"/>
          <w:sz w:val="24"/>
          <w:szCs w:val="24"/>
          <w:lang w:val="en-GB"/>
        </w:rPr>
        <w:t>repair</w:t>
      </w:r>
      <w:r w:rsidR="00802D15" w:rsidRPr="00BC1ABD">
        <w:rPr>
          <w:rFonts w:cs="Arial"/>
          <w:sz w:val="24"/>
          <w:szCs w:val="24"/>
          <w:lang w:val="en-GB"/>
        </w:rPr>
        <w:t xml:space="preserve"> for end users in order to influence the service provision of access seekers to their end users. </w:t>
      </w:r>
      <w:r w:rsidR="00992C33" w:rsidRPr="00BC1ABD">
        <w:rPr>
          <w:rFonts w:cs="Arial"/>
          <w:sz w:val="24"/>
          <w:szCs w:val="24"/>
          <w:lang w:val="en-GB"/>
        </w:rPr>
        <w:t>Th</w:t>
      </w:r>
      <w:r w:rsidR="00F51165">
        <w:rPr>
          <w:rFonts w:cs="Arial"/>
          <w:sz w:val="24"/>
          <w:szCs w:val="24"/>
          <w:lang w:val="en-GB"/>
        </w:rPr>
        <w:t>is</w:t>
      </w:r>
      <w:r w:rsidR="00992C33" w:rsidRPr="00BC1ABD">
        <w:rPr>
          <w:rFonts w:cs="Arial"/>
          <w:sz w:val="24"/>
          <w:szCs w:val="24"/>
          <w:lang w:val="en-GB"/>
        </w:rPr>
        <w:t xml:space="preserve"> </w:t>
      </w:r>
      <w:r w:rsidR="00F51165">
        <w:rPr>
          <w:rFonts w:cs="Arial"/>
          <w:sz w:val="24"/>
          <w:szCs w:val="24"/>
          <w:lang w:val="en-GB"/>
        </w:rPr>
        <w:t>could</w:t>
      </w:r>
      <w:r w:rsidR="00992C33" w:rsidRPr="00BC1ABD">
        <w:rPr>
          <w:rFonts w:cs="Arial"/>
          <w:sz w:val="24"/>
          <w:szCs w:val="24"/>
          <w:lang w:val="en-GB"/>
        </w:rPr>
        <w:t xml:space="preserve"> have a major impact on the development of competition in the retail </w:t>
      </w:r>
      <w:r w:rsidR="00F51165">
        <w:rPr>
          <w:rFonts w:cs="Arial"/>
          <w:sz w:val="24"/>
          <w:szCs w:val="24"/>
          <w:lang w:val="en-GB"/>
        </w:rPr>
        <w:t xml:space="preserve">fixed broadband access </w:t>
      </w:r>
      <w:r w:rsidR="00992C33" w:rsidRPr="00BC1ABD">
        <w:rPr>
          <w:rFonts w:cs="Arial"/>
          <w:sz w:val="24"/>
          <w:szCs w:val="24"/>
          <w:lang w:val="en-GB"/>
        </w:rPr>
        <w:t>market</w:t>
      </w:r>
      <w:r w:rsidR="00F51165">
        <w:rPr>
          <w:rFonts w:cs="Arial"/>
          <w:sz w:val="24"/>
          <w:szCs w:val="24"/>
          <w:lang w:val="en-GB"/>
        </w:rPr>
        <w:t>.</w:t>
      </w:r>
      <w:r w:rsidRPr="00BC1ABD">
        <w:rPr>
          <w:rFonts w:cs="Arial"/>
          <w:sz w:val="24"/>
          <w:szCs w:val="24"/>
          <w:lang w:val="en-GB"/>
        </w:rPr>
        <w:t xml:space="preserve"> </w:t>
      </w:r>
    </w:p>
    <w:p w14:paraId="41DB810A" w14:textId="4FF9DD41" w:rsidR="00802D15" w:rsidRDefault="00F51165" w:rsidP="002D520F">
      <w:pPr>
        <w:spacing w:line="259" w:lineRule="auto"/>
        <w:jc w:val="both"/>
        <w:rPr>
          <w:rFonts w:cs="Arial"/>
          <w:sz w:val="24"/>
          <w:szCs w:val="24"/>
          <w:lang w:val="en-GB"/>
        </w:rPr>
      </w:pPr>
      <w:r>
        <w:rPr>
          <w:rFonts w:cs="Arial"/>
          <w:sz w:val="24"/>
          <w:szCs w:val="24"/>
          <w:lang w:val="en-GB"/>
        </w:rPr>
        <w:t xml:space="preserve">Faced with this potential competition problem, best-practice regulators have established a number of key performance indicators </w:t>
      </w:r>
      <w:r w:rsidR="00D83367">
        <w:rPr>
          <w:rFonts w:cs="Arial"/>
          <w:sz w:val="24"/>
          <w:szCs w:val="24"/>
          <w:lang w:val="en-GB"/>
        </w:rPr>
        <w:t xml:space="preserve">(KPIs) </w:t>
      </w:r>
      <w:r>
        <w:rPr>
          <w:rFonts w:cs="Arial"/>
          <w:sz w:val="24"/>
          <w:szCs w:val="24"/>
          <w:lang w:val="en-GB"/>
        </w:rPr>
        <w:t>to monitor the way in which SMP operators supply wholesale services to access-seekers (see Chapter 8).</w:t>
      </w:r>
      <w:r w:rsidR="00195B2F">
        <w:rPr>
          <w:rFonts w:cs="Arial"/>
          <w:sz w:val="24"/>
          <w:szCs w:val="24"/>
          <w:lang w:val="en-GB"/>
        </w:rPr>
        <w:t xml:space="preserve"> </w:t>
      </w:r>
    </w:p>
    <w:p w14:paraId="349A09C8" w14:textId="77777777" w:rsidR="000C31B2" w:rsidRPr="00BC1ABD" w:rsidRDefault="000C31B2" w:rsidP="002D520F">
      <w:pPr>
        <w:spacing w:line="259" w:lineRule="auto"/>
        <w:jc w:val="both"/>
        <w:rPr>
          <w:rFonts w:eastAsia="Times New Roman" w:cs="Calibri"/>
          <w:color w:val="000000"/>
          <w:lang w:val="en-GB" w:eastAsia="hr-HR"/>
        </w:rPr>
      </w:pPr>
    </w:p>
    <w:p w14:paraId="1CF23580" w14:textId="77777777" w:rsidR="00B271E6"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3" w:name="_Toc169258995"/>
      <w:r w:rsidRPr="00BC1ABD">
        <w:rPr>
          <w:rFonts w:asciiTheme="minorHAnsi" w:hAnsiTheme="minorHAnsi" w:cstheme="minorHAnsi"/>
          <w:b w:val="0"/>
          <w:bCs w:val="0"/>
          <w:sz w:val="24"/>
          <w:szCs w:val="24"/>
          <w:lang w:val="en-GB"/>
        </w:rPr>
        <w:t>Unjustified claims</w:t>
      </w:r>
      <w:bookmarkEnd w:id="343"/>
    </w:p>
    <w:p w14:paraId="12FB3350" w14:textId="28AC30D7" w:rsidR="00B82E76" w:rsidRPr="00BC1ABD" w:rsidRDefault="00AF7275" w:rsidP="005F192F">
      <w:pPr>
        <w:spacing w:line="259" w:lineRule="auto"/>
        <w:jc w:val="both"/>
        <w:rPr>
          <w:rFonts w:cs="Arial"/>
          <w:sz w:val="24"/>
          <w:szCs w:val="24"/>
          <w:lang w:val="en-GB"/>
        </w:rPr>
      </w:pPr>
      <w:r w:rsidRPr="00BC1ABD">
        <w:rPr>
          <w:rFonts w:cs="Arial"/>
          <w:sz w:val="24"/>
          <w:szCs w:val="24"/>
          <w:lang w:val="en-GB"/>
        </w:rPr>
        <w:t xml:space="preserve">Unjustified </w:t>
      </w:r>
      <w:r w:rsidR="00B82E76" w:rsidRPr="00BC1ABD">
        <w:rPr>
          <w:rFonts w:cs="Arial"/>
          <w:sz w:val="24"/>
          <w:szCs w:val="24"/>
          <w:lang w:val="en-GB"/>
        </w:rPr>
        <w:t xml:space="preserve">claims represent the competition problem where </w:t>
      </w:r>
      <w:r w:rsidR="00BA130C">
        <w:rPr>
          <w:rFonts w:cs="Arial"/>
          <w:sz w:val="24"/>
          <w:szCs w:val="24"/>
          <w:lang w:val="en-GB"/>
        </w:rPr>
        <w:t xml:space="preserve">an </w:t>
      </w:r>
      <w:r w:rsidR="00B82E76" w:rsidRPr="00BC1ABD">
        <w:rPr>
          <w:rFonts w:cs="Arial"/>
          <w:sz w:val="24"/>
          <w:szCs w:val="24"/>
          <w:lang w:val="en-GB"/>
        </w:rPr>
        <w:t>SMP operator could impose some contract</w:t>
      </w:r>
      <w:r w:rsidRPr="00BC1ABD">
        <w:rPr>
          <w:rFonts w:cs="Arial"/>
          <w:sz w:val="24"/>
          <w:szCs w:val="24"/>
          <w:lang w:val="en-GB"/>
        </w:rPr>
        <w:t xml:space="preserve"> terms on the provision of wholesale services that are not necessary for the provision of </w:t>
      </w:r>
      <w:r w:rsidR="00DE3C33">
        <w:rPr>
          <w:rFonts w:cs="Arial"/>
          <w:sz w:val="24"/>
          <w:szCs w:val="24"/>
          <w:lang w:val="en-GB"/>
        </w:rPr>
        <w:t xml:space="preserve">the </w:t>
      </w:r>
      <w:r w:rsidRPr="00BC1ABD">
        <w:rPr>
          <w:rFonts w:cs="Arial"/>
          <w:sz w:val="24"/>
          <w:szCs w:val="24"/>
          <w:lang w:val="en-GB"/>
        </w:rPr>
        <w:t xml:space="preserve">wholesale services, but they obviously raise the costs of providing the service and waste the time of existing and potential competitors </w:t>
      </w:r>
      <w:r w:rsidR="00DE3C33">
        <w:rPr>
          <w:rFonts w:cs="Arial"/>
          <w:sz w:val="24"/>
          <w:szCs w:val="24"/>
          <w:lang w:val="en-GB"/>
        </w:rPr>
        <w:t>at</w:t>
      </w:r>
      <w:r w:rsidRPr="00BC1ABD">
        <w:rPr>
          <w:rFonts w:cs="Arial"/>
          <w:sz w:val="24"/>
          <w:szCs w:val="24"/>
          <w:lang w:val="en-GB"/>
        </w:rPr>
        <w:t xml:space="preserve"> the wholesale and retail market. </w:t>
      </w:r>
      <w:r w:rsidR="00D054B0" w:rsidRPr="00BC1ABD">
        <w:rPr>
          <w:rFonts w:cs="Arial"/>
          <w:sz w:val="24"/>
          <w:szCs w:val="24"/>
          <w:lang w:val="en-GB"/>
        </w:rPr>
        <w:t xml:space="preserve">In other words any contract terms which require a particular behaviour of the downstream competitor, which </w:t>
      </w:r>
      <w:r w:rsidR="00DE3C33">
        <w:rPr>
          <w:rFonts w:cs="Arial"/>
          <w:sz w:val="24"/>
          <w:szCs w:val="24"/>
          <w:lang w:val="en-GB"/>
        </w:rPr>
        <w:t>are</w:t>
      </w:r>
      <w:r w:rsidR="00D054B0" w:rsidRPr="00BC1ABD">
        <w:rPr>
          <w:rFonts w:cs="Arial"/>
          <w:sz w:val="24"/>
          <w:szCs w:val="24"/>
          <w:lang w:val="en-GB"/>
        </w:rPr>
        <w:t xml:space="preserve"> unnecessary for the provision of the upstream product but raises rivals’ costs or restricts rivals’ sales.</w:t>
      </w:r>
    </w:p>
    <w:p w14:paraId="49EC464D" w14:textId="77777777" w:rsidR="00B82E76" w:rsidRPr="00BC1ABD" w:rsidRDefault="00B82E76" w:rsidP="005F192F">
      <w:pPr>
        <w:spacing w:line="259" w:lineRule="auto"/>
        <w:jc w:val="both"/>
        <w:rPr>
          <w:rFonts w:cs="Arial"/>
          <w:sz w:val="24"/>
          <w:szCs w:val="24"/>
          <w:lang w:val="en-GB"/>
        </w:rPr>
      </w:pPr>
      <w:r w:rsidRPr="00BC1ABD">
        <w:rPr>
          <w:rFonts w:cs="Arial"/>
          <w:sz w:val="24"/>
          <w:szCs w:val="24"/>
          <w:lang w:val="en-GB"/>
        </w:rPr>
        <w:t>T</w:t>
      </w:r>
      <w:r w:rsidR="00AF7275" w:rsidRPr="00BC1ABD">
        <w:rPr>
          <w:rFonts w:cs="Arial"/>
          <w:sz w:val="24"/>
          <w:szCs w:val="24"/>
          <w:lang w:val="en-GB"/>
        </w:rPr>
        <w:t>his is one of the areas where abuse is most common</w:t>
      </w:r>
      <w:r w:rsidRPr="00BC1ABD">
        <w:rPr>
          <w:rFonts w:cs="Arial"/>
          <w:sz w:val="24"/>
          <w:szCs w:val="24"/>
          <w:lang w:val="en-GB"/>
        </w:rPr>
        <w:t xml:space="preserve"> in developing markets</w:t>
      </w:r>
      <w:r w:rsidR="00AF7275" w:rsidRPr="00BC1ABD">
        <w:rPr>
          <w:rFonts w:cs="Arial"/>
          <w:sz w:val="24"/>
          <w:szCs w:val="24"/>
          <w:lang w:val="en-GB"/>
        </w:rPr>
        <w:t>, in the sense of</w:t>
      </w:r>
      <w:r w:rsidRPr="00BC1ABD">
        <w:rPr>
          <w:rFonts w:cs="Arial"/>
          <w:sz w:val="24"/>
          <w:szCs w:val="24"/>
          <w:lang w:val="en-GB"/>
        </w:rPr>
        <w:t>:</w:t>
      </w:r>
    </w:p>
    <w:p w14:paraId="0851C155" w14:textId="70DA6DDC" w:rsidR="00B82E76" w:rsidRPr="00BC1ABD" w:rsidRDefault="00DE3C33">
      <w:pPr>
        <w:pStyle w:val="ListParagraph"/>
        <w:numPr>
          <w:ilvl w:val="0"/>
          <w:numId w:val="16"/>
        </w:numPr>
        <w:spacing w:line="259" w:lineRule="auto"/>
        <w:jc w:val="both"/>
        <w:rPr>
          <w:rFonts w:cs="Arial"/>
          <w:sz w:val="24"/>
          <w:szCs w:val="24"/>
          <w:lang w:val="en-GB"/>
        </w:rPr>
      </w:pPr>
      <w:r>
        <w:rPr>
          <w:rFonts w:cs="Arial"/>
          <w:sz w:val="24"/>
          <w:szCs w:val="24"/>
          <w:lang w:val="en-GB"/>
        </w:rPr>
        <w:t>I</w:t>
      </w:r>
      <w:r w:rsidR="00AF7275" w:rsidRPr="00BC1ABD">
        <w:rPr>
          <w:rFonts w:cs="Arial"/>
          <w:sz w:val="24"/>
          <w:szCs w:val="24"/>
          <w:lang w:val="en-GB"/>
        </w:rPr>
        <w:t xml:space="preserve">mposing various forms of unjustified payment security instruments, with regard to terms, conditions and amount; </w:t>
      </w:r>
    </w:p>
    <w:p w14:paraId="437286B0" w14:textId="06B59540" w:rsidR="00B82E76" w:rsidRPr="00BC1ABD" w:rsidRDefault="00DE3C33">
      <w:pPr>
        <w:pStyle w:val="ListParagraph"/>
        <w:numPr>
          <w:ilvl w:val="0"/>
          <w:numId w:val="16"/>
        </w:numPr>
        <w:spacing w:line="259" w:lineRule="auto"/>
        <w:jc w:val="both"/>
        <w:rPr>
          <w:rFonts w:cs="Arial"/>
          <w:sz w:val="24"/>
          <w:szCs w:val="24"/>
          <w:lang w:val="en-GB"/>
        </w:rPr>
      </w:pPr>
      <w:r>
        <w:rPr>
          <w:rFonts w:cs="Arial"/>
          <w:sz w:val="24"/>
          <w:szCs w:val="24"/>
          <w:lang w:val="en-GB"/>
        </w:rPr>
        <w:t>I</w:t>
      </w:r>
      <w:r w:rsidR="00AF7275" w:rsidRPr="00BC1ABD">
        <w:rPr>
          <w:rFonts w:cs="Arial"/>
          <w:sz w:val="24"/>
          <w:szCs w:val="24"/>
          <w:lang w:val="en-GB"/>
        </w:rPr>
        <w:t xml:space="preserve">mposing the use of more expensive technologies and/or materials; </w:t>
      </w:r>
    </w:p>
    <w:p w14:paraId="1BA5D93E" w14:textId="7F2B6355" w:rsidR="00B82E76" w:rsidRPr="00BC1ABD" w:rsidRDefault="00DE3C33">
      <w:pPr>
        <w:pStyle w:val="ListParagraph"/>
        <w:numPr>
          <w:ilvl w:val="0"/>
          <w:numId w:val="16"/>
        </w:numPr>
        <w:spacing w:line="259" w:lineRule="auto"/>
        <w:jc w:val="both"/>
        <w:rPr>
          <w:rFonts w:cs="Arial"/>
          <w:sz w:val="24"/>
          <w:szCs w:val="24"/>
          <w:lang w:val="en-GB"/>
        </w:rPr>
      </w:pPr>
      <w:r>
        <w:rPr>
          <w:rFonts w:cs="Arial"/>
          <w:sz w:val="24"/>
          <w:szCs w:val="24"/>
          <w:lang w:val="en-GB"/>
        </w:rPr>
        <w:t>I</w:t>
      </w:r>
      <w:r w:rsidR="00AF7275" w:rsidRPr="00BC1ABD">
        <w:rPr>
          <w:rFonts w:cs="Arial"/>
          <w:sz w:val="24"/>
          <w:szCs w:val="24"/>
          <w:lang w:val="en-GB"/>
        </w:rPr>
        <w:t xml:space="preserve">mposing the choice of external contractors; </w:t>
      </w:r>
    </w:p>
    <w:p w14:paraId="448BE80E" w14:textId="4F204F44" w:rsidR="00B82E76" w:rsidRPr="00BC1ABD" w:rsidRDefault="00DE3C33">
      <w:pPr>
        <w:pStyle w:val="ListParagraph"/>
        <w:numPr>
          <w:ilvl w:val="0"/>
          <w:numId w:val="16"/>
        </w:numPr>
        <w:spacing w:line="259" w:lineRule="auto"/>
        <w:jc w:val="both"/>
        <w:rPr>
          <w:rFonts w:cs="Arial"/>
          <w:sz w:val="24"/>
          <w:szCs w:val="24"/>
          <w:lang w:val="en-GB"/>
        </w:rPr>
      </w:pPr>
      <w:r>
        <w:rPr>
          <w:rFonts w:cs="Arial"/>
          <w:sz w:val="24"/>
          <w:szCs w:val="24"/>
          <w:lang w:val="en-GB"/>
        </w:rPr>
        <w:t>R</w:t>
      </w:r>
      <w:r w:rsidR="00AF7275" w:rsidRPr="00BC1ABD">
        <w:rPr>
          <w:rFonts w:cs="Arial"/>
          <w:sz w:val="24"/>
          <w:szCs w:val="24"/>
          <w:lang w:val="en-GB"/>
        </w:rPr>
        <w:t>equesting information beyond</w:t>
      </w:r>
      <w:r>
        <w:rPr>
          <w:rFonts w:cs="Arial"/>
          <w:sz w:val="24"/>
          <w:szCs w:val="24"/>
          <w:lang w:val="en-GB"/>
        </w:rPr>
        <w:t xml:space="preserve"> that which</w:t>
      </w:r>
      <w:r w:rsidR="00AF7275" w:rsidRPr="00BC1ABD">
        <w:rPr>
          <w:rFonts w:cs="Arial"/>
          <w:sz w:val="24"/>
          <w:szCs w:val="24"/>
          <w:lang w:val="en-GB"/>
        </w:rPr>
        <w:t xml:space="preserve"> is necessary to provide the wholesale service</w:t>
      </w:r>
      <w:r>
        <w:rPr>
          <w:rFonts w:cs="Arial"/>
          <w:sz w:val="24"/>
          <w:szCs w:val="24"/>
          <w:lang w:val="en-GB"/>
        </w:rPr>
        <w:t>.</w:t>
      </w:r>
      <w:r w:rsidR="00AF7275" w:rsidRPr="00BC1ABD">
        <w:rPr>
          <w:rFonts w:cs="Arial"/>
          <w:sz w:val="24"/>
          <w:szCs w:val="24"/>
          <w:lang w:val="en-GB"/>
        </w:rPr>
        <w:t xml:space="preserve"> </w:t>
      </w:r>
    </w:p>
    <w:p w14:paraId="46523455" w14:textId="77777777" w:rsidR="000A52C9" w:rsidRPr="00BC1ABD" w:rsidRDefault="00AF7275" w:rsidP="00B82E76">
      <w:pPr>
        <w:spacing w:line="259" w:lineRule="auto"/>
        <w:jc w:val="both"/>
        <w:rPr>
          <w:rFonts w:cs="Arial"/>
          <w:sz w:val="24"/>
          <w:szCs w:val="24"/>
          <w:lang w:val="en-GB"/>
        </w:rPr>
      </w:pPr>
      <w:r w:rsidRPr="00BC1ABD">
        <w:rPr>
          <w:rFonts w:cs="Arial"/>
          <w:sz w:val="24"/>
          <w:szCs w:val="24"/>
          <w:lang w:val="en-GB"/>
        </w:rPr>
        <w:t xml:space="preserve">Examples for such </w:t>
      </w:r>
      <w:r w:rsidR="00D054B0" w:rsidRPr="00BC1ABD">
        <w:rPr>
          <w:rFonts w:cs="Arial"/>
          <w:sz w:val="24"/>
          <w:szCs w:val="24"/>
          <w:lang w:val="en-GB"/>
        </w:rPr>
        <w:t xml:space="preserve">unjustified claims are </w:t>
      </w:r>
      <w:r w:rsidRPr="00BC1ABD">
        <w:rPr>
          <w:rFonts w:cs="Arial"/>
          <w:sz w:val="24"/>
          <w:szCs w:val="24"/>
          <w:lang w:val="en-GB"/>
        </w:rPr>
        <w:t xml:space="preserve">bank guarantees, </w:t>
      </w:r>
      <w:r w:rsidR="00D054B0" w:rsidRPr="00BC1ABD">
        <w:rPr>
          <w:rFonts w:cs="Arial"/>
          <w:sz w:val="24"/>
          <w:szCs w:val="24"/>
          <w:lang w:val="en-GB"/>
        </w:rPr>
        <w:t xml:space="preserve">instruments of </w:t>
      </w:r>
      <w:r w:rsidRPr="00BC1ABD">
        <w:rPr>
          <w:rFonts w:cs="Arial"/>
          <w:sz w:val="24"/>
          <w:szCs w:val="24"/>
          <w:lang w:val="en-GB"/>
        </w:rPr>
        <w:t>security payments, or information requirements</w:t>
      </w:r>
      <w:r w:rsidR="00D054B0" w:rsidRPr="00BC1ABD">
        <w:rPr>
          <w:rFonts w:cs="Arial"/>
          <w:sz w:val="24"/>
          <w:szCs w:val="24"/>
          <w:lang w:val="en-GB"/>
        </w:rPr>
        <w:t xml:space="preserve"> (</w:t>
      </w:r>
      <w:r w:rsidRPr="00BC1ABD">
        <w:rPr>
          <w:rFonts w:cs="Arial"/>
          <w:sz w:val="24"/>
          <w:szCs w:val="24"/>
          <w:lang w:val="en-GB"/>
        </w:rPr>
        <w:t>for example data about the competitors’ customers beyond the extent which might be economically or technically justified in certain cases</w:t>
      </w:r>
      <w:r w:rsidR="00D054B0" w:rsidRPr="00BC1ABD">
        <w:rPr>
          <w:rFonts w:cs="Arial"/>
          <w:sz w:val="24"/>
          <w:szCs w:val="24"/>
          <w:lang w:val="en-GB"/>
        </w:rPr>
        <w:t>)</w:t>
      </w:r>
      <w:r w:rsidRPr="00BC1ABD">
        <w:rPr>
          <w:rFonts w:cs="Arial"/>
          <w:sz w:val="24"/>
          <w:szCs w:val="24"/>
          <w:lang w:val="en-GB"/>
        </w:rPr>
        <w:t xml:space="preserve">. </w:t>
      </w:r>
    </w:p>
    <w:p w14:paraId="5AAE7326" w14:textId="6D35C907" w:rsidR="00D054B0" w:rsidRPr="00BC1ABD" w:rsidRDefault="000B2F9B" w:rsidP="000B2F9B">
      <w:pPr>
        <w:spacing w:line="259" w:lineRule="auto"/>
        <w:jc w:val="both"/>
        <w:rPr>
          <w:rFonts w:cs="Arial"/>
          <w:sz w:val="24"/>
          <w:szCs w:val="24"/>
          <w:lang w:val="en-GB"/>
        </w:rPr>
      </w:pPr>
      <w:r w:rsidRPr="00BC1ABD">
        <w:rPr>
          <w:rFonts w:cs="Arial"/>
          <w:sz w:val="24"/>
          <w:szCs w:val="24"/>
          <w:lang w:val="en-GB"/>
        </w:rPr>
        <w:t xml:space="preserve">ComCom is of the view that in the absence of regulation, </w:t>
      </w:r>
      <w:r w:rsidR="00DE3C33">
        <w:rPr>
          <w:rFonts w:cs="Arial"/>
          <w:sz w:val="24"/>
          <w:szCs w:val="24"/>
          <w:lang w:val="en-GB"/>
        </w:rPr>
        <w:t>the</w:t>
      </w:r>
      <w:r w:rsidR="00DE3C33" w:rsidRPr="00BC1ABD">
        <w:rPr>
          <w:rFonts w:cs="Arial"/>
          <w:sz w:val="24"/>
          <w:szCs w:val="24"/>
          <w:lang w:val="en-GB"/>
        </w:rPr>
        <w:t xml:space="preserve"> </w:t>
      </w:r>
      <w:r w:rsidRPr="00BC1ABD">
        <w:rPr>
          <w:rFonts w:cs="Arial"/>
          <w:sz w:val="24"/>
          <w:szCs w:val="24"/>
          <w:lang w:val="en-GB"/>
        </w:rPr>
        <w:t>SMP operator could have the incentive to</w:t>
      </w:r>
      <w:r w:rsidR="00AF7275" w:rsidRPr="00BC1ABD">
        <w:rPr>
          <w:rFonts w:cs="Arial"/>
          <w:sz w:val="24"/>
          <w:szCs w:val="24"/>
          <w:lang w:val="en-GB"/>
        </w:rPr>
        <w:t xml:space="preserve"> </w:t>
      </w:r>
      <w:r w:rsidR="00D054B0" w:rsidRPr="00BC1ABD">
        <w:rPr>
          <w:rFonts w:cs="Arial"/>
          <w:sz w:val="24"/>
          <w:szCs w:val="24"/>
          <w:lang w:val="en-GB"/>
        </w:rPr>
        <w:t>impose most of above-mentioned contract terms in order to raise the costs of access</w:t>
      </w:r>
      <w:r w:rsidR="00DE3C33">
        <w:rPr>
          <w:rFonts w:cs="Arial"/>
          <w:sz w:val="24"/>
          <w:szCs w:val="24"/>
          <w:lang w:val="en-GB"/>
        </w:rPr>
        <w:t>-</w:t>
      </w:r>
      <w:r w:rsidR="00D054B0" w:rsidRPr="00BC1ABD">
        <w:rPr>
          <w:rFonts w:cs="Arial"/>
          <w:sz w:val="24"/>
          <w:szCs w:val="24"/>
          <w:lang w:val="en-GB"/>
        </w:rPr>
        <w:t xml:space="preserve">seekers and </w:t>
      </w:r>
      <w:r w:rsidR="00DE3C33">
        <w:rPr>
          <w:rFonts w:cs="Arial"/>
          <w:sz w:val="24"/>
          <w:szCs w:val="24"/>
          <w:lang w:val="en-GB"/>
        </w:rPr>
        <w:t xml:space="preserve">in </w:t>
      </w:r>
      <w:r w:rsidR="00D054B0" w:rsidRPr="00BC1ABD">
        <w:rPr>
          <w:rFonts w:cs="Arial"/>
          <w:sz w:val="24"/>
          <w:szCs w:val="24"/>
          <w:lang w:val="en-GB"/>
        </w:rPr>
        <w:t>that way di</w:t>
      </w:r>
      <w:r w:rsidR="001E2F5E">
        <w:rPr>
          <w:rFonts w:cs="Arial"/>
          <w:sz w:val="24"/>
          <w:szCs w:val="24"/>
          <w:lang w:val="en-GB"/>
        </w:rPr>
        <w:t>sadvantage</w:t>
      </w:r>
      <w:r w:rsidR="00D054B0" w:rsidRPr="00BC1ABD">
        <w:rPr>
          <w:rFonts w:cs="Arial"/>
          <w:sz w:val="24"/>
          <w:szCs w:val="24"/>
          <w:lang w:val="en-GB"/>
        </w:rPr>
        <w:t xml:space="preserve"> them to compete </w:t>
      </w:r>
      <w:r w:rsidR="001E2F5E">
        <w:rPr>
          <w:rFonts w:cs="Arial"/>
          <w:sz w:val="24"/>
          <w:szCs w:val="24"/>
          <w:lang w:val="en-GB"/>
        </w:rPr>
        <w:t>in</w:t>
      </w:r>
      <w:r w:rsidR="00D054B0" w:rsidRPr="00BC1ABD">
        <w:rPr>
          <w:rFonts w:cs="Arial"/>
          <w:sz w:val="24"/>
          <w:szCs w:val="24"/>
          <w:lang w:val="en-GB"/>
        </w:rPr>
        <w:t xml:space="preserve"> </w:t>
      </w:r>
      <w:r w:rsidR="00DE3C33">
        <w:rPr>
          <w:rFonts w:cs="Arial"/>
          <w:sz w:val="24"/>
          <w:szCs w:val="24"/>
          <w:lang w:val="en-GB"/>
        </w:rPr>
        <w:t xml:space="preserve">the </w:t>
      </w:r>
      <w:r w:rsidR="00D054B0" w:rsidRPr="00BC1ABD">
        <w:rPr>
          <w:rFonts w:cs="Arial"/>
          <w:sz w:val="24"/>
          <w:szCs w:val="24"/>
          <w:lang w:val="en-GB"/>
        </w:rPr>
        <w:t xml:space="preserve">downstream retail market. The same unjustified claims could be used to get the information on competitors that could be </w:t>
      </w:r>
      <w:r w:rsidR="00AF7275" w:rsidRPr="00BC1ABD">
        <w:rPr>
          <w:rFonts w:cs="Arial"/>
          <w:sz w:val="24"/>
          <w:szCs w:val="24"/>
          <w:lang w:val="en-GB"/>
        </w:rPr>
        <w:t>use</w:t>
      </w:r>
      <w:r w:rsidR="00D054B0" w:rsidRPr="00BC1ABD">
        <w:rPr>
          <w:rFonts w:cs="Arial"/>
          <w:sz w:val="24"/>
          <w:szCs w:val="24"/>
          <w:lang w:val="en-GB"/>
        </w:rPr>
        <w:t>d by the retail arm of the SMP operator.</w:t>
      </w:r>
      <w:r w:rsidR="00AF7275" w:rsidRPr="00BC1ABD">
        <w:rPr>
          <w:rFonts w:cs="Arial"/>
          <w:sz w:val="24"/>
          <w:szCs w:val="24"/>
          <w:lang w:val="en-GB"/>
        </w:rPr>
        <w:t xml:space="preserve"> </w:t>
      </w:r>
    </w:p>
    <w:p w14:paraId="71846393" w14:textId="436DF68C" w:rsidR="00633EA0" w:rsidRPr="00BC1ABD" w:rsidRDefault="00D054B0" w:rsidP="00633EA0">
      <w:pPr>
        <w:spacing w:line="259" w:lineRule="auto"/>
        <w:jc w:val="both"/>
        <w:rPr>
          <w:rFonts w:cs="Arial"/>
          <w:sz w:val="24"/>
          <w:szCs w:val="24"/>
          <w:lang w:val="en-GB"/>
        </w:rPr>
      </w:pPr>
      <w:r w:rsidRPr="00BC1ABD">
        <w:rPr>
          <w:rFonts w:cs="Arial"/>
          <w:sz w:val="24"/>
          <w:szCs w:val="24"/>
          <w:lang w:val="en-GB"/>
        </w:rPr>
        <w:t xml:space="preserve">All </w:t>
      </w:r>
      <w:r w:rsidR="001E2F5E">
        <w:rPr>
          <w:rFonts w:cs="Arial"/>
          <w:sz w:val="24"/>
          <w:szCs w:val="24"/>
          <w:lang w:val="en-GB"/>
        </w:rPr>
        <w:t>unjustified claims</w:t>
      </w:r>
      <w:r w:rsidRPr="00BC1ABD">
        <w:rPr>
          <w:rFonts w:cs="Arial"/>
          <w:sz w:val="24"/>
          <w:szCs w:val="24"/>
          <w:lang w:val="en-GB"/>
        </w:rPr>
        <w:t xml:space="preserve"> could</w:t>
      </w:r>
      <w:r w:rsidR="00AF7275" w:rsidRPr="00BC1ABD">
        <w:rPr>
          <w:rFonts w:cs="Arial"/>
          <w:sz w:val="24"/>
          <w:szCs w:val="24"/>
          <w:lang w:val="en-GB"/>
        </w:rPr>
        <w:t xml:space="preserve"> represent the transfer of market power</w:t>
      </w:r>
      <w:r w:rsidRPr="00BC1ABD">
        <w:rPr>
          <w:rFonts w:cs="Arial"/>
          <w:sz w:val="24"/>
          <w:szCs w:val="24"/>
          <w:lang w:val="en-GB"/>
        </w:rPr>
        <w:t xml:space="preserve"> from </w:t>
      </w:r>
      <w:r w:rsidR="001E2F5E">
        <w:rPr>
          <w:rFonts w:cs="Arial"/>
          <w:sz w:val="24"/>
          <w:szCs w:val="24"/>
          <w:lang w:val="en-GB"/>
        </w:rPr>
        <w:t xml:space="preserve">the </w:t>
      </w:r>
      <w:r w:rsidRPr="00BC1ABD">
        <w:rPr>
          <w:rFonts w:cs="Arial"/>
          <w:sz w:val="24"/>
          <w:szCs w:val="24"/>
          <w:lang w:val="en-GB"/>
        </w:rPr>
        <w:t xml:space="preserve">wholesale to </w:t>
      </w:r>
      <w:r w:rsidR="001E2F5E">
        <w:rPr>
          <w:rFonts w:cs="Arial"/>
          <w:sz w:val="24"/>
          <w:szCs w:val="24"/>
          <w:lang w:val="en-GB"/>
        </w:rPr>
        <w:t xml:space="preserve">the </w:t>
      </w:r>
      <w:r w:rsidRPr="00BC1ABD">
        <w:rPr>
          <w:rFonts w:cs="Arial"/>
          <w:sz w:val="24"/>
          <w:szCs w:val="24"/>
          <w:lang w:val="en-GB"/>
        </w:rPr>
        <w:t>retail market</w:t>
      </w:r>
      <w:r w:rsidR="000B2F9B" w:rsidRPr="00BC1ABD">
        <w:rPr>
          <w:rFonts w:cs="Arial"/>
          <w:sz w:val="24"/>
          <w:szCs w:val="24"/>
          <w:lang w:val="en-GB"/>
        </w:rPr>
        <w:t>.</w:t>
      </w:r>
      <w:r w:rsidR="00633EA0" w:rsidRPr="00BC1ABD">
        <w:rPr>
          <w:rFonts w:cs="Arial"/>
          <w:sz w:val="24"/>
          <w:szCs w:val="24"/>
          <w:lang w:val="en-GB"/>
        </w:rPr>
        <w:t xml:space="preserve"> </w:t>
      </w:r>
    </w:p>
    <w:p w14:paraId="7EECF862" w14:textId="77777777" w:rsidR="00B271E6"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4" w:name="_Toc169258996"/>
      <w:r w:rsidRPr="00BC1ABD">
        <w:rPr>
          <w:rFonts w:asciiTheme="minorHAnsi" w:hAnsiTheme="minorHAnsi" w:cstheme="minorHAnsi"/>
          <w:b w:val="0"/>
          <w:bCs w:val="0"/>
          <w:sz w:val="24"/>
          <w:szCs w:val="24"/>
          <w:lang w:val="en-GB"/>
        </w:rPr>
        <w:t>Unjustified use of information about competitors</w:t>
      </w:r>
      <w:bookmarkEnd w:id="344"/>
    </w:p>
    <w:p w14:paraId="6401BCB6" w14:textId="66EA9631" w:rsidR="00E8529D" w:rsidRPr="00BC1ABD" w:rsidRDefault="00E8529D" w:rsidP="003D772D">
      <w:pPr>
        <w:spacing w:before="240"/>
        <w:jc w:val="both"/>
        <w:rPr>
          <w:rFonts w:cs="Arial"/>
          <w:sz w:val="24"/>
          <w:szCs w:val="24"/>
          <w:lang w:val="en-GB"/>
        </w:rPr>
      </w:pPr>
      <w:r w:rsidRPr="00BC1ABD">
        <w:rPr>
          <w:rFonts w:cs="Arial"/>
          <w:sz w:val="24"/>
          <w:szCs w:val="24"/>
          <w:lang w:val="en-GB"/>
        </w:rPr>
        <w:t>This competition problem</w:t>
      </w:r>
      <w:r w:rsidR="0041085E" w:rsidRPr="00BC1ABD">
        <w:rPr>
          <w:rFonts w:cs="Arial"/>
          <w:sz w:val="24"/>
          <w:szCs w:val="24"/>
          <w:lang w:val="en-GB"/>
        </w:rPr>
        <w:t xml:space="preserve"> is closely related to unjustified </w:t>
      </w:r>
      <w:r w:rsidRPr="00BC1ABD">
        <w:rPr>
          <w:rFonts w:cs="Arial"/>
          <w:sz w:val="24"/>
          <w:szCs w:val="24"/>
          <w:lang w:val="en-GB"/>
        </w:rPr>
        <w:t>claims</w:t>
      </w:r>
      <w:r w:rsidR="0041085E" w:rsidRPr="00BC1ABD">
        <w:rPr>
          <w:rFonts w:cs="Arial"/>
          <w:sz w:val="24"/>
          <w:szCs w:val="24"/>
          <w:lang w:val="en-GB"/>
        </w:rPr>
        <w:t>.</w:t>
      </w:r>
      <w:r w:rsidR="0041085E" w:rsidRPr="00BC1ABD">
        <w:rPr>
          <w:lang w:val="en-GB"/>
        </w:rPr>
        <w:t xml:space="preserve"> </w:t>
      </w:r>
      <w:r w:rsidR="0041085E" w:rsidRPr="00BC1ABD">
        <w:rPr>
          <w:rFonts w:cs="Arial"/>
          <w:sz w:val="24"/>
          <w:szCs w:val="24"/>
          <w:lang w:val="en-GB"/>
        </w:rPr>
        <w:t>In this case</w:t>
      </w:r>
      <w:r w:rsidRPr="00BC1ABD">
        <w:rPr>
          <w:lang w:val="en-GB"/>
        </w:rPr>
        <w:t xml:space="preserve"> </w:t>
      </w:r>
      <w:r w:rsidRPr="00BC1ABD">
        <w:rPr>
          <w:rFonts w:cs="Arial"/>
          <w:sz w:val="24"/>
          <w:szCs w:val="24"/>
          <w:lang w:val="en-GB"/>
        </w:rPr>
        <w:t xml:space="preserve">customer data that </w:t>
      </w:r>
      <w:r w:rsidR="001E2F5E">
        <w:rPr>
          <w:rFonts w:cs="Arial"/>
          <w:sz w:val="24"/>
          <w:szCs w:val="24"/>
          <w:lang w:val="en-GB"/>
        </w:rPr>
        <w:t>is</w:t>
      </w:r>
      <w:r w:rsidRPr="00BC1ABD">
        <w:rPr>
          <w:rFonts w:cs="Arial"/>
          <w:sz w:val="24"/>
          <w:szCs w:val="24"/>
          <w:lang w:val="en-GB"/>
        </w:rPr>
        <w:t xml:space="preserve"> requested beyond </w:t>
      </w:r>
      <w:r w:rsidR="001E2F5E">
        <w:rPr>
          <w:rFonts w:cs="Arial"/>
          <w:sz w:val="24"/>
          <w:szCs w:val="24"/>
          <w:lang w:val="en-GB"/>
        </w:rPr>
        <w:t>that which</w:t>
      </w:r>
      <w:r w:rsidRPr="00BC1ABD">
        <w:rPr>
          <w:rFonts w:cs="Arial"/>
          <w:sz w:val="24"/>
          <w:szCs w:val="24"/>
          <w:lang w:val="en-GB"/>
        </w:rPr>
        <w:t xml:space="preserve"> is necessary to provide the wholesale service, may be used by the SMP operator to target </w:t>
      </w:r>
      <w:r w:rsidR="001E2F5E">
        <w:rPr>
          <w:rFonts w:cs="Arial"/>
          <w:sz w:val="24"/>
          <w:szCs w:val="24"/>
          <w:lang w:val="en-GB"/>
        </w:rPr>
        <w:t xml:space="preserve">a </w:t>
      </w:r>
      <w:r w:rsidRPr="00BC1ABD">
        <w:rPr>
          <w:rFonts w:cs="Arial"/>
          <w:sz w:val="24"/>
          <w:szCs w:val="24"/>
          <w:lang w:val="en-GB"/>
        </w:rPr>
        <w:t xml:space="preserve">competitors’ customers with tailor-made retail offers and induce them to </w:t>
      </w:r>
      <w:r w:rsidR="001E2F5E">
        <w:rPr>
          <w:rFonts w:cs="Arial"/>
          <w:sz w:val="24"/>
          <w:szCs w:val="24"/>
          <w:lang w:val="en-GB"/>
        </w:rPr>
        <w:t>remain with the SMP operator</w:t>
      </w:r>
      <w:r w:rsidRPr="00BC1ABD">
        <w:rPr>
          <w:rFonts w:cs="Arial"/>
          <w:sz w:val="24"/>
          <w:szCs w:val="24"/>
          <w:lang w:val="en-GB"/>
        </w:rPr>
        <w:t>.</w:t>
      </w:r>
    </w:p>
    <w:p w14:paraId="31B18EB9" w14:textId="28626B2E" w:rsidR="00E8529D" w:rsidRPr="00BC1ABD" w:rsidRDefault="005F192F" w:rsidP="00E8529D">
      <w:pPr>
        <w:spacing w:before="240"/>
        <w:jc w:val="both"/>
        <w:rPr>
          <w:rFonts w:cs="Arial"/>
          <w:sz w:val="24"/>
          <w:szCs w:val="24"/>
          <w:lang w:val="en-GB"/>
        </w:rPr>
      </w:pPr>
      <w:r w:rsidRPr="00BC1ABD">
        <w:rPr>
          <w:rFonts w:cs="Arial"/>
          <w:sz w:val="24"/>
          <w:szCs w:val="24"/>
          <w:lang w:val="en-GB"/>
        </w:rPr>
        <w:t xml:space="preserve">ComCom is of the view that in the absence of regulation, </w:t>
      </w:r>
      <w:r w:rsidR="001E2F5E">
        <w:rPr>
          <w:rFonts w:cs="Arial"/>
          <w:sz w:val="24"/>
          <w:szCs w:val="24"/>
          <w:lang w:val="en-GB"/>
        </w:rPr>
        <w:t>the</w:t>
      </w:r>
      <w:r w:rsidRPr="00BC1ABD">
        <w:rPr>
          <w:rFonts w:cs="Arial"/>
          <w:sz w:val="24"/>
          <w:szCs w:val="24"/>
          <w:lang w:val="en-GB"/>
        </w:rPr>
        <w:t xml:space="preserve"> SMP operator could have the incentive to </w:t>
      </w:r>
      <w:r w:rsidR="0041085E" w:rsidRPr="00BC1ABD">
        <w:rPr>
          <w:rFonts w:cs="Arial"/>
          <w:sz w:val="24"/>
          <w:szCs w:val="24"/>
          <w:lang w:val="en-GB"/>
        </w:rPr>
        <w:t xml:space="preserve">unjustifiably use of information about competitors. </w:t>
      </w:r>
      <w:r w:rsidR="00E8529D" w:rsidRPr="00BC1ABD">
        <w:rPr>
          <w:rFonts w:cs="Arial"/>
          <w:sz w:val="24"/>
          <w:szCs w:val="24"/>
          <w:lang w:val="en-GB"/>
        </w:rPr>
        <w:t>That</w:t>
      </w:r>
      <w:r w:rsidR="0041085E" w:rsidRPr="00BC1ABD">
        <w:rPr>
          <w:rFonts w:cs="Arial"/>
          <w:sz w:val="24"/>
          <w:szCs w:val="24"/>
          <w:lang w:val="en-GB"/>
        </w:rPr>
        <w:t xml:space="preserve"> could refer to a situation where, based on information obtained in the process of using wholesale services, </w:t>
      </w:r>
      <w:r w:rsidR="001E2F5E">
        <w:rPr>
          <w:rFonts w:cs="Arial"/>
          <w:sz w:val="24"/>
          <w:szCs w:val="24"/>
          <w:lang w:val="en-GB"/>
        </w:rPr>
        <w:t>the SMP</w:t>
      </w:r>
      <w:r w:rsidR="001E2F5E" w:rsidRPr="00BC1ABD">
        <w:rPr>
          <w:rFonts w:cs="Arial"/>
          <w:sz w:val="24"/>
          <w:szCs w:val="24"/>
          <w:lang w:val="en-GB"/>
        </w:rPr>
        <w:t xml:space="preserve"> </w:t>
      </w:r>
      <w:r w:rsidR="0041085E" w:rsidRPr="00BC1ABD">
        <w:rPr>
          <w:rFonts w:cs="Arial"/>
          <w:sz w:val="24"/>
          <w:szCs w:val="24"/>
          <w:lang w:val="en-GB"/>
        </w:rPr>
        <w:t>o</w:t>
      </w:r>
      <w:r w:rsidR="001E2F5E">
        <w:rPr>
          <w:rFonts w:cs="Arial"/>
          <w:sz w:val="24"/>
          <w:szCs w:val="24"/>
          <w:lang w:val="en-GB"/>
        </w:rPr>
        <w:t>perator</w:t>
      </w:r>
      <w:r w:rsidR="0041085E" w:rsidRPr="00BC1ABD">
        <w:rPr>
          <w:rFonts w:cs="Arial"/>
          <w:sz w:val="24"/>
          <w:szCs w:val="24"/>
          <w:lang w:val="en-GB"/>
        </w:rPr>
        <w:t xml:space="preserve"> can discover the business plans of their competitors and share them with their </w:t>
      </w:r>
      <w:r w:rsidR="001E2F5E">
        <w:rPr>
          <w:rFonts w:cs="Arial"/>
          <w:sz w:val="24"/>
          <w:szCs w:val="24"/>
          <w:lang w:val="en-GB"/>
        </w:rPr>
        <w:t xml:space="preserve">own </w:t>
      </w:r>
      <w:r w:rsidR="0041085E" w:rsidRPr="00BC1ABD">
        <w:rPr>
          <w:rFonts w:cs="Arial"/>
          <w:sz w:val="24"/>
          <w:szCs w:val="24"/>
          <w:lang w:val="en-GB"/>
        </w:rPr>
        <w:t xml:space="preserve">retail </w:t>
      </w:r>
      <w:r w:rsidR="00E8529D" w:rsidRPr="00BC1ABD">
        <w:rPr>
          <w:rFonts w:cs="Arial"/>
          <w:sz w:val="24"/>
          <w:szCs w:val="24"/>
          <w:lang w:val="en-GB"/>
        </w:rPr>
        <w:t>arm</w:t>
      </w:r>
      <w:r w:rsidR="0041085E" w:rsidRPr="00BC1ABD">
        <w:rPr>
          <w:rFonts w:cs="Arial"/>
          <w:sz w:val="24"/>
          <w:szCs w:val="24"/>
          <w:lang w:val="en-GB"/>
        </w:rPr>
        <w:t xml:space="preserve"> with the aim of competing at the retail level. </w:t>
      </w:r>
      <w:r w:rsidR="00E8529D" w:rsidRPr="00BC1ABD">
        <w:rPr>
          <w:rFonts w:cs="Arial"/>
          <w:sz w:val="24"/>
          <w:szCs w:val="24"/>
          <w:lang w:val="en-GB"/>
        </w:rPr>
        <w:t xml:space="preserve">For instance, this could be </w:t>
      </w:r>
      <w:r w:rsidR="00BA130C">
        <w:rPr>
          <w:rFonts w:cs="Arial"/>
          <w:sz w:val="24"/>
          <w:szCs w:val="24"/>
          <w:lang w:val="en-GB"/>
        </w:rPr>
        <w:t xml:space="preserve">the </w:t>
      </w:r>
      <w:r w:rsidR="00E8529D" w:rsidRPr="00BC1ABD">
        <w:rPr>
          <w:rFonts w:cs="Arial"/>
          <w:sz w:val="24"/>
          <w:szCs w:val="24"/>
          <w:lang w:val="en-GB"/>
        </w:rPr>
        <w:t>case with</w:t>
      </w:r>
      <w:r w:rsidR="0041085E" w:rsidRPr="00BC1ABD">
        <w:rPr>
          <w:rFonts w:cs="Arial"/>
          <w:sz w:val="24"/>
          <w:szCs w:val="24"/>
          <w:lang w:val="en-GB"/>
        </w:rPr>
        <w:t xml:space="preserve"> areas in the</w:t>
      </w:r>
      <w:r w:rsidR="00E8529D" w:rsidRPr="00BC1ABD">
        <w:rPr>
          <w:rFonts w:cs="Arial"/>
          <w:sz w:val="24"/>
          <w:szCs w:val="24"/>
          <w:lang w:val="en-GB"/>
        </w:rPr>
        <w:t xml:space="preserve"> SMP operator’s</w:t>
      </w:r>
      <w:r w:rsidR="0041085E" w:rsidRPr="00BC1ABD">
        <w:rPr>
          <w:rFonts w:cs="Arial"/>
          <w:sz w:val="24"/>
          <w:szCs w:val="24"/>
          <w:lang w:val="en-GB"/>
        </w:rPr>
        <w:t xml:space="preserve"> network where </w:t>
      </w:r>
      <w:r w:rsidR="00BA130C">
        <w:rPr>
          <w:rFonts w:cs="Arial"/>
          <w:sz w:val="24"/>
          <w:szCs w:val="24"/>
          <w:lang w:val="en-GB"/>
        </w:rPr>
        <w:t xml:space="preserve">the </w:t>
      </w:r>
      <w:r w:rsidR="0041085E" w:rsidRPr="00BC1ABD">
        <w:rPr>
          <w:rFonts w:cs="Arial"/>
          <w:sz w:val="24"/>
          <w:szCs w:val="24"/>
          <w:lang w:val="en-GB"/>
        </w:rPr>
        <w:t xml:space="preserve">wholesale </w:t>
      </w:r>
      <w:r w:rsidR="00E8529D" w:rsidRPr="00BC1ABD">
        <w:rPr>
          <w:rFonts w:cs="Arial"/>
          <w:sz w:val="24"/>
          <w:szCs w:val="24"/>
          <w:lang w:val="en-GB"/>
        </w:rPr>
        <w:t xml:space="preserve">central </w:t>
      </w:r>
      <w:r w:rsidR="0041085E" w:rsidRPr="00BC1ABD">
        <w:rPr>
          <w:rFonts w:cs="Arial"/>
          <w:sz w:val="24"/>
          <w:szCs w:val="24"/>
          <w:lang w:val="en-GB"/>
        </w:rPr>
        <w:t xml:space="preserve">access service (bitstream access) </w:t>
      </w:r>
      <w:r w:rsidR="00E8529D" w:rsidRPr="00BC1ABD">
        <w:rPr>
          <w:rFonts w:cs="Arial"/>
          <w:sz w:val="24"/>
          <w:szCs w:val="24"/>
          <w:lang w:val="en-GB"/>
        </w:rPr>
        <w:t xml:space="preserve">or local access service </w:t>
      </w:r>
      <w:r w:rsidR="0041085E" w:rsidRPr="00BC1ABD">
        <w:rPr>
          <w:rFonts w:cs="Arial"/>
          <w:sz w:val="24"/>
          <w:szCs w:val="24"/>
          <w:lang w:val="en-GB"/>
        </w:rPr>
        <w:t>is requested</w:t>
      </w:r>
      <w:r w:rsidR="00E8529D" w:rsidRPr="00BC1ABD">
        <w:rPr>
          <w:rFonts w:cs="Arial"/>
          <w:sz w:val="24"/>
          <w:szCs w:val="24"/>
          <w:lang w:val="en-GB"/>
        </w:rPr>
        <w:t xml:space="preserve">, so </w:t>
      </w:r>
      <w:r w:rsidR="00BA130C">
        <w:rPr>
          <w:rFonts w:cs="Arial"/>
          <w:sz w:val="24"/>
          <w:szCs w:val="24"/>
          <w:lang w:val="en-GB"/>
        </w:rPr>
        <w:t xml:space="preserve">the </w:t>
      </w:r>
      <w:r w:rsidR="00E8529D" w:rsidRPr="00BC1ABD">
        <w:rPr>
          <w:rFonts w:cs="Arial"/>
          <w:sz w:val="24"/>
          <w:szCs w:val="24"/>
          <w:lang w:val="en-GB"/>
        </w:rPr>
        <w:t>SMP operator could define and target</w:t>
      </w:r>
      <w:r w:rsidR="0041085E" w:rsidRPr="00BC1ABD">
        <w:rPr>
          <w:rFonts w:cs="Arial"/>
          <w:sz w:val="24"/>
          <w:szCs w:val="24"/>
          <w:lang w:val="en-GB"/>
        </w:rPr>
        <w:t xml:space="preserve"> potential groups of end users.</w:t>
      </w:r>
    </w:p>
    <w:p w14:paraId="03BD2BAC" w14:textId="06B94F9B" w:rsidR="003D772D" w:rsidRPr="00BC1ABD" w:rsidRDefault="00E8529D" w:rsidP="002D520F">
      <w:pPr>
        <w:spacing w:line="259" w:lineRule="auto"/>
        <w:jc w:val="both"/>
        <w:rPr>
          <w:lang w:val="en-GB"/>
        </w:rPr>
      </w:pPr>
      <w:r w:rsidRPr="00C16040">
        <w:rPr>
          <w:rFonts w:cs="Arial"/>
          <w:sz w:val="24"/>
          <w:szCs w:val="24"/>
          <w:highlight w:val="yellow"/>
          <w:lang w:val="en-GB"/>
        </w:rPr>
        <w:t>In the absence of regulation (</w:t>
      </w:r>
      <w:r w:rsidR="00BA130C" w:rsidRPr="00C16040">
        <w:rPr>
          <w:rFonts w:cs="Arial"/>
          <w:sz w:val="24"/>
          <w:szCs w:val="24"/>
          <w:highlight w:val="yellow"/>
          <w:lang w:val="en-GB"/>
        </w:rPr>
        <w:t>to p</w:t>
      </w:r>
      <w:r w:rsidRPr="00C16040">
        <w:rPr>
          <w:rFonts w:cs="Arial"/>
          <w:sz w:val="24"/>
          <w:szCs w:val="24"/>
          <w:highlight w:val="yellow"/>
          <w:lang w:val="en-GB"/>
        </w:rPr>
        <w:t xml:space="preserve">revent margin squeeze </w:t>
      </w:r>
      <w:r w:rsidR="00BA130C" w:rsidRPr="00C16040">
        <w:rPr>
          <w:rFonts w:cs="Arial"/>
          <w:sz w:val="24"/>
          <w:szCs w:val="24"/>
          <w:highlight w:val="yellow"/>
          <w:lang w:val="en-GB"/>
        </w:rPr>
        <w:t>from</w:t>
      </w:r>
      <w:r w:rsidRPr="00C16040">
        <w:rPr>
          <w:rFonts w:cs="Arial"/>
          <w:sz w:val="24"/>
          <w:szCs w:val="24"/>
          <w:highlight w:val="yellow"/>
          <w:lang w:val="en-GB"/>
        </w:rPr>
        <w:t xml:space="preserve"> happen</w:t>
      </w:r>
      <w:r w:rsidR="00BA130C" w:rsidRPr="00C16040">
        <w:rPr>
          <w:rFonts w:cs="Arial"/>
          <w:sz w:val="24"/>
          <w:szCs w:val="24"/>
          <w:highlight w:val="yellow"/>
          <w:lang w:val="en-GB"/>
        </w:rPr>
        <w:t>ing</w:t>
      </w:r>
      <w:r w:rsidRPr="00C16040">
        <w:rPr>
          <w:rFonts w:cs="Arial"/>
          <w:sz w:val="24"/>
          <w:szCs w:val="24"/>
          <w:highlight w:val="yellow"/>
          <w:lang w:val="en-GB"/>
        </w:rPr>
        <w:t xml:space="preserve">) </w:t>
      </w:r>
      <w:r w:rsidR="00BA130C" w:rsidRPr="00C16040">
        <w:rPr>
          <w:rFonts w:cs="Arial"/>
          <w:sz w:val="24"/>
          <w:szCs w:val="24"/>
          <w:highlight w:val="yellow"/>
          <w:lang w:val="en-GB"/>
        </w:rPr>
        <w:t xml:space="preserve">the </w:t>
      </w:r>
      <w:r w:rsidRPr="00C16040">
        <w:rPr>
          <w:rFonts w:cs="Arial"/>
          <w:sz w:val="24"/>
          <w:szCs w:val="24"/>
          <w:highlight w:val="yellow"/>
          <w:lang w:val="en-GB"/>
        </w:rPr>
        <w:t xml:space="preserve">retail arm of </w:t>
      </w:r>
      <w:r w:rsidR="00BA130C" w:rsidRPr="00C16040">
        <w:rPr>
          <w:rFonts w:cs="Arial"/>
          <w:sz w:val="24"/>
          <w:szCs w:val="24"/>
          <w:highlight w:val="yellow"/>
          <w:lang w:val="en-GB"/>
        </w:rPr>
        <w:t xml:space="preserve">the </w:t>
      </w:r>
      <w:r w:rsidRPr="00C16040">
        <w:rPr>
          <w:rFonts w:cs="Arial"/>
          <w:sz w:val="24"/>
          <w:szCs w:val="24"/>
          <w:highlight w:val="yellow"/>
          <w:lang w:val="en-GB"/>
        </w:rPr>
        <w:t xml:space="preserve">SMP </w:t>
      </w:r>
      <w:r w:rsidR="0041085E" w:rsidRPr="00C16040">
        <w:rPr>
          <w:rFonts w:cs="Arial"/>
          <w:sz w:val="24"/>
          <w:szCs w:val="24"/>
          <w:highlight w:val="yellow"/>
          <w:lang w:val="en-GB"/>
        </w:rPr>
        <w:t xml:space="preserve">operator could offer targeted discounts for </w:t>
      </w:r>
      <w:r w:rsidR="00BA130C" w:rsidRPr="00C16040">
        <w:rPr>
          <w:rFonts w:cs="Arial"/>
          <w:sz w:val="24"/>
          <w:szCs w:val="24"/>
          <w:highlight w:val="yellow"/>
          <w:lang w:val="en-GB"/>
        </w:rPr>
        <w:t>end-</w:t>
      </w:r>
      <w:r w:rsidR="0041085E" w:rsidRPr="00C16040">
        <w:rPr>
          <w:rFonts w:cs="Arial"/>
          <w:sz w:val="24"/>
          <w:szCs w:val="24"/>
          <w:highlight w:val="yellow"/>
          <w:lang w:val="en-GB"/>
        </w:rPr>
        <w:t xml:space="preserve">users in certain areas </w:t>
      </w:r>
      <w:r w:rsidRPr="00C16040">
        <w:rPr>
          <w:rFonts w:cs="Arial"/>
          <w:sz w:val="24"/>
          <w:szCs w:val="24"/>
          <w:highlight w:val="yellow"/>
          <w:lang w:val="en-GB"/>
        </w:rPr>
        <w:t xml:space="preserve">in order to motivate them not to switch operators, which could lead to a decrease in </w:t>
      </w:r>
      <w:r w:rsidR="00BA130C" w:rsidRPr="00C16040">
        <w:rPr>
          <w:rFonts w:cs="Arial"/>
          <w:sz w:val="24"/>
          <w:szCs w:val="24"/>
          <w:highlight w:val="yellow"/>
          <w:lang w:val="en-GB"/>
        </w:rPr>
        <w:t xml:space="preserve">a </w:t>
      </w:r>
      <w:r w:rsidRPr="00C16040">
        <w:rPr>
          <w:rFonts w:cs="Arial"/>
          <w:sz w:val="24"/>
          <w:szCs w:val="24"/>
          <w:highlight w:val="yellow"/>
          <w:lang w:val="en-GB"/>
        </w:rPr>
        <w:t>competitor</w:t>
      </w:r>
      <w:r w:rsidR="00BA130C" w:rsidRPr="00C16040">
        <w:rPr>
          <w:rFonts w:cs="Arial"/>
          <w:sz w:val="24"/>
          <w:szCs w:val="24"/>
          <w:highlight w:val="yellow"/>
          <w:lang w:val="en-GB"/>
        </w:rPr>
        <w:t>’s</w:t>
      </w:r>
      <w:r w:rsidRPr="00C16040">
        <w:rPr>
          <w:rFonts w:cs="Arial"/>
          <w:sz w:val="24"/>
          <w:szCs w:val="24"/>
          <w:highlight w:val="yellow"/>
          <w:lang w:val="en-GB"/>
        </w:rPr>
        <w:t xml:space="preserve"> retail revenues or to an increase in </w:t>
      </w:r>
      <w:r w:rsidR="00BA130C" w:rsidRPr="00C16040">
        <w:rPr>
          <w:rFonts w:cs="Arial"/>
          <w:sz w:val="24"/>
          <w:szCs w:val="24"/>
          <w:highlight w:val="yellow"/>
          <w:lang w:val="en-GB"/>
        </w:rPr>
        <w:t xml:space="preserve">a </w:t>
      </w:r>
      <w:r w:rsidRPr="00C16040">
        <w:rPr>
          <w:rFonts w:cs="Arial"/>
          <w:sz w:val="24"/>
          <w:szCs w:val="24"/>
          <w:highlight w:val="yellow"/>
          <w:lang w:val="en-GB"/>
        </w:rPr>
        <w:t>competitor</w:t>
      </w:r>
      <w:r w:rsidR="00BA130C" w:rsidRPr="00C16040">
        <w:rPr>
          <w:rFonts w:cs="Arial"/>
          <w:sz w:val="24"/>
          <w:szCs w:val="24"/>
          <w:highlight w:val="yellow"/>
          <w:lang w:val="en-GB"/>
        </w:rPr>
        <w:t>’</w:t>
      </w:r>
      <w:r w:rsidRPr="00C16040">
        <w:rPr>
          <w:rFonts w:cs="Arial"/>
          <w:sz w:val="24"/>
          <w:szCs w:val="24"/>
          <w:highlight w:val="yellow"/>
          <w:lang w:val="en-GB"/>
        </w:rPr>
        <w:t>s costs (</w:t>
      </w:r>
      <w:r w:rsidR="00BA130C" w:rsidRPr="00C16040">
        <w:rPr>
          <w:rFonts w:cs="Arial"/>
          <w:sz w:val="24"/>
          <w:szCs w:val="24"/>
          <w:highlight w:val="yellow"/>
          <w:lang w:val="en-GB"/>
        </w:rPr>
        <w:t xml:space="preserve">for example by having to incur </w:t>
      </w:r>
      <w:r w:rsidRPr="00C16040">
        <w:rPr>
          <w:rFonts w:cs="Arial"/>
          <w:sz w:val="24"/>
          <w:szCs w:val="24"/>
          <w:highlight w:val="yellow"/>
          <w:lang w:val="en-GB"/>
        </w:rPr>
        <w:t>additional marketing costs to attract users).</w:t>
      </w:r>
    </w:p>
    <w:p w14:paraId="0B411E82" w14:textId="77777777" w:rsidR="00B271E6"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5" w:name="_Toc169258997"/>
      <w:r w:rsidRPr="00BC1ABD">
        <w:rPr>
          <w:rFonts w:asciiTheme="minorHAnsi" w:hAnsiTheme="minorHAnsi" w:cstheme="minorHAnsi"/>
          <w:b w:val="0"/>
          <w:bCs w:val="0"/>
          <w:sz w:val="24"/>
          <w:szCs w:val="24"/>
          <w:lang w:val="en-GB"/>
        </w:rPr>
        <w:t>Discrimination by quality of service</w:t>
      </w:r>
      <w:bookmarkEnd w:id="345"/>
    </w:p>
    <w:p w14:paraId="5C3C1D78" w14:textId="560A4EBD" w:rsidR="00735D94" w:rsidRPr="00BC1ABD" w:rsidRDefault="00735D94" w:rsidP="003D772D">
      <w:pPr>
        <w:spacing w:before="240"/>
        <w:jc w:val="both"/>
        <w:rPr>
          <w:sz w:val="24"/>
          <w:szCs w:val="24"/>
          <w:lang w:val="en-GB"/>
        </w:rPr>
      </w:pPr>
      <w:r w:rsidRPr="00C16040">
        <w:rPr>
          <w:sz w:val="24"/>
          <w:szCs w:val="24"/>
          <w:highlight w:val="yellow"/>
          <w:lang w:val="en-GB"/>
        </w:rPr>
        <w:t xml:space="preserve">This </w:t>
      </w:r>
      <w:r w:rsidR="00D02FF2" w:rsidRPr="00C16040">
        <w:rPr>
          <w:sz w:val="24"/>
          <w:szCs w:val="24"/>
          <w:highlight w:val="yellow"/>
          <w:lang w:val="en-GB"/>
        </w:rPr>
        <w:t xml:space="preserve">competition problem happens when </w:t>
      </w:r>
      <w:r w:rsidR="00BA130C" w:rsidRPr="00C16040">
        <w:rPr>
          <w:sz w:val="24"/>
          <w:szCs w:val="24"/>
          <w:highlight w:val="yellow"/>
          <w:lang w:val="en-GB"/>
        </w:rPr>
        <w:t xml:space="preserve">an </w:t>
      </w:r>
      <w:r w:rsidR="00D02FF2" w:rsidRPr="00C16040">
        <w:rPr>
          <w:sz w:val="24"/>
          <w:szCs w:val="24"/>
          <w:highlight w:val="yellow"/>
          <w:lang w:val="en-GB"/>
        </w:rPr>
        <w:t xml:space="preserve">SMP </w:t>
      </w:r>
      <w:r w:rsidRPr="00C16040">
        <w:rPr>
          <w:sz w:val="24"/>
          <w:szCs w:val="24"/>
          <w:highlight w:val="yellow"/>
          <w:lang w:val="en-GB"/>
        </w:rPr>
        <w:t>operator</w:t>
      </w:r>
      <w:r w:rsidR="00D02FF2" w:rsidRPr="00C16040">
        <w:rPr>
          <w:sz w:val="24"/>
          <w:szCs w:val="24"/>
          <w:highlight w:val="yellow"/>
          <w:lang w:val="en-GB"/>
        </w:rPr>
        <w:t xml:space="preserve">, by discriminating in terms </w:t>
      </w:r>
      <w:r w:rsidR="00BA130C" w:rsidRPr="00C16040">
        <w:rPr>
          <w:sz w:val="24"/>
          <w:szCs w:val="24"/>
          <w:highlight w:val="yellow"/>
          <w:lang w:val="en-GB"/>
        </w:rPr>
        <w:t>of the quality of service provided to a competitor using wholesale access</w:t>
      </w:r>
      <w:r w:rsidR="00D02FF2" w:rsidRPr="00C16040">
        <w:rPr>
          <w:sz w:val="24"/>
          <w:szCs w:val="24"/>
          <w:highlight w:val="yellow"/>
          <w:lang w:val="en-GB"/>
        </w:rPr>
        <w:t xml:space="preserve">, </w:t>
      </w:r>
      <w:r w:rsidRPr="00C16040">
        <w:rPr>
          <w:sz w:val="24"/>
          <w:szCs w:val="24"/>
          <w:highlight w:val="yellow"/>
          <w:lang w:val="en-GB"/>
        </w:rPr>
        <w:t>increase</w:t>
      </w:r>
      <w:r w:rsidR="00BA130C" w:rsidRPr="00C16040">
        <w:rPr>
          <w:sz w:val="24"/>
          <w:szCs w:val="24"/>
          <w:highlight w:val="yellow"/>
          <w:lang w:val="en-GB"/>
        </w:rPr>
        <w:t>s</w:t>
      </w:r>
      <w:r w:rsidRPr="00C16040">
        <w:rPr>
          <w:sz w:val="24"/>
          <w:szCs w:val="24"/>
          <w:highlight w:val="yellow"/>
          <w:lang w:val="en-GB"/>
        </w:rPr>
        <w:t xml:space="preserve"> </w:t>
      </w:r>
      <w:r w:rsidR="00E44D58" w:rsidRPr="00C16040">
        <w:rPr>
          <w:sz w:val="24"/>
          <w:szCs w:val="24"/>
          <w:highlight w:val="yellow"/>
          <w:lang w:val="en-GB"/>
        </w:rPr>
        <w:t>the</w:t>
      </w:r>
      <w:r w:rsidRPr="00C16040">
        <w:rPr>
          <w:sz w:val="24"/>
          <w:szCs w:val="24"/>
          <w:highlight w:val="yellow"/>
          <w:lang w:val="en-GB"/>
        </w:rPr>
        <w:t xml:space="preserve"> competitor</w:t>
      </w:r>
      <w:r w:rsidR="00E44D58" w:rsidRPr="00C16040">
        <w:rPr>
          <w:sz w:val="24"/>
          <w:szCs w:val="24"/>
          <w:highlight w:val="yellow"/>
          <w:lang w:val="en-GB"/>
        </w:rPr>
        <w:t>’</w:t>
      </w:r>
      <w:r w:rsidRPr="00C16040">
        <w:rPr>
          <w:sz w:val="24"/>
          <w:szCs w:val="24"/>
          <w:highlight w:val="yellow"/>
          <w:lang w:val="en-GB"/>
        </w:rPr>
        <w:t>s costs or reduc</w:t>
      </w:r>
      <w:r w:rsidR="00BA130C" w:rsidRPr="00C16040">
        <w:rPr>
          <w:sz w:val="24"/>
          <w:szCs w:val="24"/>
          <w:highlight w:val="yellow"/>
          <w:lang w:val="en-GB"/>
        </w:rPr>
        <w:t>es</w:t>
      </w:r>
      <w:r w:rsidRPr="00C16040">
        <w:rPr>
          <w:sz w:val="24"/>
          <w:szCs w:val="24"/>
          <w:highlight w:val="yellow"/>
          <w:lang w:val="en-GB"/>
        </w:rPr>
        <w:t xml:space="preserve"> </w:t>
      </w:r>
      <w:r w:rsidR="00BA130C" w:rsidRPr="00C16040">
        <w:rPr>
          <w:sz w:val="24"/>
          <w:szCs w:val="24"/>
          <w:highlight w:val="yellow"/>
          <w:lang w:val="en-GB"/>
        </w:rPr>
        <w:t>the</w:t>
      </w:r>
      <w:r w:rsidRPr="00C16040">
        <w:rPr>
          <w:sz w:val="24"/>
          <w:szCs w:val="24"/>
          <w:highlight w:val="yellow"/>
          <w:lang w:val="en-GB"/>
        </w:rPr>
        <w:t xml:space="preserve"> competitor</w:t>
      </w:r>
      <w:r w:rsidR="00E44D58" w:rsidRPr="00C16040">
        <w:rPr>
          <w:sz w:val="24"/>
          <w:szCs w:val="24"/>
          <w:highlight w:val="yellow"/>
          <w:lang w:val="en-GB"/>
        </w:rPr>
        <w:t>’</w:t>
      </w:r>
      <w:r w:rsidRPr="00C16040">
        <w:rPr>
          <w:sz w:val="24"/>
          <w:szCs w:val="24"/>
          <w:highlight w:val="yellow"/>
          <w:lang w:val="en-GB"/>
        </w:rPr>
        <w:t>s earnings at the retail level.</w:t>
      </w:r>
    </w:p>
    <w:p w14:paraId="09435FEF" w14:textId="1041F727" w:rsidR="005614C6" w:rsidRPr="00BC1ABD" w:rsidRDefault="005614C6" w:rsidP="005614C6">
      <w:pPr>
        <w:spacing w:before="240"/>
        <w:jc w:val="both"/>
        <w:rPr>
          <w:sz w:val="24"/>
          <w:szCs w:val="24"/>
          <w:lang w:val="en-GB"/>
        </w:rPr>
      </w:pPr>
      <w:r w:rsidRPr="00BC1ABD">
        <w:rPr>
          <w:sz w:val="24"/>
          <w:szCs w:val="24"/>
          <w:lang w:val="en-GB"/>
        </w:rPr>
        <w:t xml:space="preserve">The level of QoS could be influenced in </w:t>
      </w:r>
      <w:r w:rsidR="00BA130C">
        <w:rPr>
          <w:sz w:val="24"/>
          <w:szCs w:val="24"/>
          <w:lang w:val="en-GB"/>
        </w:rPr>
        <w:t xml:space="preserve">the </w:t>
      </w:r>
      <w:r w:rsidRPr="00BC1ABD">
        <w:rPr>
          <w:sz w:val="24"/>
          <w:szCs w:val="24"/>
          <w:lang w:val="en-GB"/>
        </w:rPr>
        <w:t>following ways:</w:t>
      </w:r>
    </w:p>
    <w:p w14:paraId="78C41768" w14:textId="4DB33B08" w:rsidR="005614C6" w:rsidRPr="00BC1ABD" w:rsidRDefault="00BA130C">
      <w:pPr>
        <w:pStyle w:val="ListParagraph"/>
        <w:numPr>
          <w:ilvl w:val="0"/>
          <w:numId w:val="7"/>
        </w:numPr>
        <w:spacing w:before="240"/>
        <w:jc w:val="both"/>
        <w:rPr>
          <w:sz w:val="24"/>
          <w:szCs w:val="24"/>
          <w:lang w:val="en-GB"/>
        </w:rPr>
      </w:pPr>
      <w:r>
        <w:rPr>
          <w:sz w:val="24"/>
          <w:szCs w:val="24"/>
          <w:lang w:val="en-GB"/>
        </w:rPr>
        <w:t>I</w:t>
      </w:r>
      <w:r w:rsidR="005614C6" w:rsidRPr="00BC1ABD">
        <w:rPr>
          <w:sz w:val="24"/>
          <w:szCs w:val="24"/>
          <w:lang w:val="en-GB"/>
        </w:rPr>
        <w:t>ntentionally providing services of questionable quality,</w:t>
      </w:r>
    </w:p>
    <w:p w14:paraId="15C2EAD8" w14:textId="6FEC6DA8" w:rsidR="005614C6" w:rsidRPr="00BC1ABD" w:rsidRDefault="00BA130C">
      <w:pPr>
        <w:pStyle w:val="ListParagraph"/>
        <w:numPr>
          <w:ilvl w:val="0"/>
          <w:numId w:val="7"/>
        </w:numPr>
        <w:spacing w:before="240"/>
        <w:jc w:val="both"/>
        <w:rPr>
          <w:sz w:val="24"/>
          <w:szCs w:val="24"/>
          <w:lang w:val="en-GB"/>
        </w:rPr>
      </w:pPr>
      <w:r>
        <w:rPr>
          <w:sz w:val="24"/>
          <w:szCs w:val="24"/>
          <w:lang w:val="en-GB"/>
        </w:rPr>
        <w:t>R</w:t>
      </w:r>
      <w:r w:rsidR="005614C6" w:rsidRPr="00BC1ABD">
        <w:rPr>
          <w:sz w:val="24"/>
          <w:szCs w:val="24"/>
          <w:lang w:val="en-GB"/>
        </w:rPr>
        <w:t>efusal of services due to unclear and unbalanced criteria,</w:t>
      </w:r>
    </w:p>
    <w:p w14:paraId="71B80FE5" w14:textId="5C37B85F" w:rsidR="005614C6" w:rsidRPr="00BC1ABD" w:rsidRDefault="00BA130C">
      <w:pPr>
        <w:pStyle w:val="ListParagraph"/>
        <w:numPr>
          <w:ilvl w:val="0"/>
          <w:numId w:val="7"/>
        </w:numPr>
        <w:spacing w:before="240"/>
        <w:jc w:val="both"/>
        <w:rPr>
          <w:sz w:val="24"/>
          <w:szCs w:val="24"/>
          <w:lang w:val="en-GB"/>
        </w:rPr>
      </w:pPr>
      <w:r>
        <w:rPr>
          <w:sz w:val="24"/>
          <w:szCs w:val="24"/>
          <w:lang w:val="en-GB"/>
        </w:rPr>
        <w:t>S</w:t>
      </w:r>
      <w:r w:rsidR="005614C6" w:rsidRPr="00BC1ABD">
        <w:rPr>
          <w:sz w:val="24"/>
          <w:szCs w:val="24"/>
          <w:lang w:val="en-GB"/>
        </w:rPr>
        <w:t xml:space="preserve">lower fault repair procedures than the ones used by retail am of </w:t>
      </w:r>
      <w:r w:rsidR="002E0768">
        <w:rPr>
          <w:sz w:val="24"/>
          <w:szCs w:val="24"/>
          <w:lang w:val="en-GB"/>
        </w:rPr>
        <w:t xml:space="preserve">the </w:t>
      </w:r>
      <w:r w:rsidR="005614C6" w:rsidRPr="00BC1ABD">
        <w:rPr>
          <w:sz w:val="24"/>
          <w:szCs w:val="24"/>
          <w:lang w:val="en-GB"/>
        </w:rPr>
        <w:t>SMP operator.</w:t>
      </w:r>
    </w:p>
    <w:p w14:paraId="3D46C392" w14:textId="3AA845EC" w:rsidR="00272189" w:rsidRPr="00BC1ABD" w:rsidRDefault="00735D94" w:rsidP="00735D94">
      <w:pPr>
        <w:spacing w:before="240"/>
        <w:jc w:val="both"/>
        <w:rPr>
          <w:sz w:val="24"/>
          <w:szCs w:val="24"/>
          <w:lang w:val="en-GB"/>
        </w:rPr>
      </w:pPr>
      <w:r w:rsidRPr="00BC1ABD">
        <w:rPr>
          <w:sz w:val="24"/>
          <w:szCs w:val="24"/>
          <w:lang w:val="en-GB"/>
        </w:rPr>
        <w:t>In the absence of regulation</w:t>
      </w:r>
      <w:r w:rsidR="00272189" w:rsidRPr="00BC1ABD">
        <w:rPr>
          <w:sz w:val="24"/>
          <w:szCs w:val="24"/>
          <w:lang w:val="en-GB"/>
        </w:rPr>
        <w:t xml:space="preserve"> </w:t>
      </w:r>
      <w:r w:rsidR="00E44D58">
        <w:rPr>
          <w:sz w:val="24"/>
          <w:szCs w:val="24"/>
          <w:lang w:val="en-GB"/>
        </w:rPr>
        <w:t xml:space="preserve">the </w:t>
      </w:r>
      <w:r w:rsidR="00272189" w:rsidRPr="00BC1ABD">
        <w:rPr>
          <w:sz w:val="24"/>
          <w:szCs w:val="24"/>
          <w:lang w:val="en-GB"/>
        </w:rPr>
        <w:t>SMP operator</w:t>
      </w:r>
      <w:r w:rsidRPr="00BC1ABD">
        <w:rPr>
          <w:sz w:val="24"/>
          <w:szCs w:val="24"/>
          <w:lang w:val="en-GB"/>
        </w:rPr>
        <w:t xml:space="preserve"> </w:t>
      </w:r>
      <w:r w:rsidR="00272189" w:rsidRPr="00BC1ABD">
        <w:rPr>
          <w:sz w:val="24"/>
          <w:szCs w:val="24"/>
          <w:lang w:val="en-GB"/>
        </w:rPr>
        <w:t>could</w:t>
      </w:r>
      <w:r w:rsidRPr="00BC1ABD">
        <w:rPr>
          <w:sz w:val="24"/>
          <w:szCs w:val="24"/>
          <w:lang w:val="en-GB"/>
        </w:rPr>
        <w:t xml:space="preserve"> provide wholesale </w:t>
      </w:r>
      <w:r w:rsidR="00272189" w:rsidRPr="00BC1ABD">
        <w:rPr>
          <w:sz w:val="24"/>
          <w:szCs w:val="24"/>
          <w:lang w:val="en-GB"/>
        </w:rPr>
        <w:t xml:space="preserve">central and local access </w:t>
      </w:r>
      <w:r w:rsidRPr="00BC1ABD">
        <w:rPr>
          <w:sz w:val="24"/>
          <w:szCs w:val="24"/>
          <w:lang w:val="en-GB"/>
        </w:rPr>
        <w:t xml:space="preserve">services with a significantly lower level of </w:t>
      </w:r>
      <w:r w:rsidR="00272189" w:rsidRPr="00BC1ABD">
        <w:rPr>
          <w:sz w:val="24"/>
          <w:szCs w:val="24"/>
          <w:lang w:val="en-GB"/>
        </w:rPr>
        <w:t>QoS</w:t>
      </w:r>
      <w:r w:rsidRPr="00BC1ABD">
        <w:rPr>
          <w:sz w:val="24"/>
          <w:szCs w:val="24"/>
          <w:lang w:val="en-GB"/>
        </w:rPr>
        <w:t xml:space="preserve"> than the services they provide to their </w:t>
      </w:r>
      <w:r w:rsidR="00E44D58">
        <w:rPr>
          <w:sz w:val="24"/>
          <w:szCs w:val="24"/>
          <w:lang w:val="en-GB"/>
        </w:rPr>
        <w:t xml:space="preserve">own </w:t>
      </w:r>
      <w:r w:rsidRPr="00BC1ABD">
        <w:rPr>
          <w:sz w:val="24"/>
          <w:szCs w:val="24"/>
          <w:lang w:val="en-GB"/>
        </w:rPr>
        <w:t xml:space="preserve">retail </w:t>
      </w:r>
      <w:r w:rsidR="00272189" w:rsidRPr="00BC1ABD">
        <w:rPr>
          <w:sz w:val="24"/>
          <w:szCs w:val="24"/>
          <w:lang w:val="en-GB"/>
        </w:rPr>
        <w:t>arm</w:t>
      </w:r>
      <w:r w:rsidRPr="00BC1ABD">
        <w:rPr>
          <w:sz w:val="24"/>
          <w:szCs w:val="24"/>
          <w:lang w:val="en-GB"/>
        </w:rPr>
        <w:t xml:space="preserve">. Since users </w:t>
      </w:r>
      <w:r w:rsidR="00272189" w:rsidRPr="00BC1ABD">
        <w:rPr>
          <w:sz w:val="24"/>
          <w:szCs w:val="24"/>
          <w:lang w:val="en-GB"/>
        </w:rPr>
        <w:t xml:space="preserve">of higher speeds </w:t>
      </w:r>
      <w:r w:rsidRPr="00BC1ABD">
        <w:rPr>
          <w:sz w:val="24"/>
          <w:szCs w:val="24"/>
          <w:lang w:val="en-GB"/>
        </w:rPr>
        <w:t xml:space="preserve">are sensitive to the </w:t>
      </w:r>
      <w:r w:rsidR="00272189" w:rsidRPr="00BC1ABD">
        <w:rPr>
          <w:sz w:val="24"/>
          <w:szCs w:val="24"/>
          <w:lang w:val="en-GB"/>
        </w:rPr>
        <w:t>QoS related to speeds</w:t>
      </w:r>
      <w:r w:rsidRPr="00BC1ABD">
        <w:rPr>
          <w:sz w:val="24"/>
          <w:szCs w:val="24"/>
          <w:lang w:val="en-GB"/>
        </w:rPr>
        <w:t xml:space="preserve">, </w:t>
      </w:r>
      <w:r w:rsidR="00E44D58">
        <w:rPr>
          <w:sz w:val="24"/>
          <w:szCs w:val="24"/>
          <w:lang w:val="en-GB"/>
        </w:rPr>
        <w:t xml:space="preserve">a </w:t>
      </w:r>
      <w:r w:rsidRPr="00BC1ABD">
        <w:rPr>
          <w:sz w:val="24"/>
          <w:szCs w:val="24"/>
          <w:lang w:val="en-GB"/>
        </w:rPr>
        <w:t xml:space="preserve">reduced </w:t>
      </w:r>
      <w:r w:rsidR="00272189" w:rsidRPr="00BC1ABD">
        <w:rPr>
          <w:sz w:val="24"/>
          <w:szCs w:val="24"/>
          <w:lang w:val="en-GB"/>
        </w:rPr>
        <w:t>QoS</w:t>
      </w:r>
      <w:r w:rsidRPr="00BC1ABD">
        <w:rPr>
          <w:sz w:val="24"/>
          <w:szCs w:val="24"/>
          <w:lang w:val="en-GB"/>
        </w:rPr>
        <w:t xml:space="preserve"> </w:t>
      </w:r>
      <w:r w:rsidR="00272189" w:rsidRPr="00BC1ABD">
        <w:rPr>
          <w:sz w:val="24"/>
          <w:szCs w:val="24"/>
          <w:lang w:val="en-GB"/>
        </w:rPr>
        <w:t>could</w:t>
      </w:r>
      <w:r w:rsidRPr="00BC1ABD">
        <w:rPr>
          <w:sz w:val="24"/>
          <w:szCs w:val="24"/>
          <w:lang w:val="en-GB"/>
        </w:rPr>
        <w:t xml:space="preserve"> affect competition</w:t>
      </w:r>
      <w:r w:rsidR="00272189" w:rsidRPr="00BC1ABD">
        <w:rPr>
          <w:sz w:val="24"/>
          <w:szCs w:val="24"/>
          <w:lang w:val="en-GB"/>
        </w:rPr>
        <w:t xml:space="preserve"> on </w:t>
      </w:r>
      <w:r w:rsidR="00E44D58">
        <w:rPr>
          <w:sz w:val="24"/>
          <w:szCs w:val="24"/>
          <w:lang w:val="en-GB"/>
        </w:rPr>
        <w:t xml:space="preserve">the </w:t>
      </w:r>
      <w:r w:rsidR="00272189" w:rsidRPr="00BC1ABD">
        <w:rPr>
          <w:sz w:val="24"/>
          <w:szCs w:val="24"/>
          <w:lang w:val="en-GB"/>
        </w:rPr>
        <w:t>downstream retail higher</w:t>
      </w:r>
      <w:r w:rsidR="00E44D58">
        <w:rPr>
          <w:sz w:val="24"/>
          <w:szCs w:val="24"/>
          <w:lang w:val="en-GB"/>
        </w:rPr>
        <w:t>-</w:t>
      </w:r>
      <w:r w:rsidR="00272189" w:rsidRPr="00BC1ABD">
        <w:rPr>
          <w:sz w:val="24"/>
          <w:szCs w:val="24"/>
          <w:lang w:val="en-GB"/>
        </w:rPr>
        <w:t xml:space="preserve">speed broadband access market. The problem is even </w:t>
      </w:r>
      <w:r w:rsidR="00592449">
        <w:rPr>
          <w:sz w:val="24"/>
          <w:szCs w:val="24"/>
          <w:lang w:val="en-GB"/>
        </w:rPr>
        <w:t>larger</w:t>
      </w:r>
      <w:r w:rsidR="00272189" w:rsidRPr="00BC1ABD">
        <w:rPr>
          <w:sz w:val="24"/>
          <w:szCs w:val="24"/>
          <w:lang w:val="en-GB"/>
        </w:rPr>
        <w:t xml:space="preserve"> if </w:t>
      </w:r>
      <w:r w:rsidR="00E44D58">
        <w:rPr>
          <w:sz w:val="24"/>
          <w:szCs w:val="24"/>
          <w:lang w:val="en-GB"/>
        </w:rPr>
        <w:t xml:space="preserve">a wholesale </w:t>
      </w:r>
      <w:r w:rsidR="00272189" w:rsidRPr="00BC1ABD">
        <w:rPr>
          <w:sz w:val="24"/>
          <w:szCs w:val="24"/>
          <w:lang w:val="en-GB"/>
        </w:rPr>
        <w:t>access seeker</w:t>
      </w:r>
      <w:r w:rsidRPr="00BC1ABD">
        <w:rPr>
          <w:sz w:val="24"/>
          <w:szCs w:val="24"/>
          <w:lang w:val="en-GB"/>
        </w:rPr>
        <w:t xml:space="preserve"> exclusively </w:t>
      </w:r>
      <w:r w:rsidR="00272189" w:rsidRPr="00BC1ABD">
        <w:rPr>
          <w:sz w:val="24"/>
          <w:szCs w:val="24"/>
          <w:lang w:val="en-GB"/>
        </w:rPr>
        <w:t xml:space="preserve">provides retail services </w:t>
      </w:r>
      <w:r w:rsidRPr="00BC1ABD">
        <w:rPr>
          <w:sz w:val="24"/>
          <w:szCs w:val="24"/>
          <w:lang w:val="en-GB"/>
        </w:rPr>
        <w:t xml:space="preserve">through wholesale </w:t>
      </w:r>
      <w:r w:rsidR="00E44D58">
        <w:rPr>
          <w:sz w:val="24"/>
          <w:szCs w:val="24"/>
          <w:lang w:val="en-GB"/>
        </w:rPr>
        <w:t xml:space="preserve">the </w:t>
      </w:r>
      <w:r w:rsidRPr="00BC1ABD">
        <w:rPr>
          <w:sz w:val="24"/>
          <w:szCs w:val="24"/>
          <w:lang w:val="en-GB"/>
        </w:rPr>
        <w:t>access services</w:t>
      </w:r>
      <w:r w:rsidR="00272189" w:rsidRPr="00BC1ABD">
        <w:rPr>
          <w:sz w:val="24"/>
          <w:szCs w:val="24"/>
          <w:lang w:val="en-GB"/>
        </w:rPr>
        <w:t xml:space="preserve"> of </w:t>
      </w:r>
      <w:r w:rsidR="00E44D58">
        <w:rPr>
          <w:sz w:val="24"/>
          <w:szCs w:val="24"/>
          <w:lang w:val="en-GB"/>
        </w:rPr>
        <w:t xml:space="preserve">the </w:t>
      </w:r>
      <w:r w:rsidR="00272189" w:rsidRPr="00BC1ABD">
        <w:rPr>
          <w:sz w:val="24"/>
          <w:szCs w:val="24"/>
          <w:lang w:val="en-GB"/>
        </w:rPr>
        <w:t>SMP operator</w:t>
      </w:r>
      <w:r w:rsidRPr="00BC1ABD">
        <w:rPr>
          <w:sz w:val="24"/>
          <w:szCs w:val="24"/>
          <w:lang w:val="en-GB"/>
        </w:rPr>
        <w:t xml:space="preserve">. </w:t>
      </w:r>
    </w:p>
    <w:p w14:paraId="5EC989C9" w14:textId="5D74CBF1" w:rsidR="00735D94" w:rsidRPr="00BC1ABD" w:rsidRDefault="00735D94" w:rsidP="00735D94">
      <w:pPr>
        <w:spacing w:before="240"/>
        <w:jc w:val="both"/>
        <w:rPr>
          <w:sz w:val="24"/>
          <w:szCs w:val="24"/>
          <w:lang w:val="en-GB"/>
        </w:rPr>
      </w:pPr>
      <w:r w:rsidRPr="00BC1ABD">
        <w:rPr>
          <w:sz w:val="24"/>
          <w:szCs w:val="24"/>
          <w:lang w:val="en-GB"/>
        </w:rPr>
        <w:t xml:space="preserve">The aforementioned </w:t>
      </w:r>
      <w:r w:rsidR="005614C6" w:rsidRPr="00BC1ABD">
        <w:rPr>
          <w:sz w:val="24"/>
          <w:szCs w:val="24"/>
          <w:lang w:val="en-GB"/>
        </w:rPr>
        <w:t xml:space="preserve">behaviour </w:t>
      </w:r>
      <w:r w:rsidRPr="00BC1ABD">
        <w:rPr>
          <w:sz w:val="24"/>
          <w:szCs w:val="24"/>
          <w:lang w:val="en-GB"/>
        </w:rPr>
        <w:t xml:space="preserve">would certainly lead to a loss of trust of the end users, which in the worst case may lead to the termination of the contract and a decrease in </w:t>
      </w:r>
      <w:r w:rsidR="00E44D58">
        <w:rPr>
          <w:sz w:val="24"/>
          <w:szCs w:val="24"/>
          <w:lang w:val="en-GB"/>
        </w:rPr>
        <w:t xml:space="preserve">the </w:t>
      </w:r>
      <w:r w:rsidRPr="00BC1ABD">
        <w:rPr>
          <w:sz w:val="24"/>
          <w:szCs w:val="24"/>
          <w:lang w:val="en-GB"/>
        </w:rPr>
        <w:t>income</w:t>
      </w:r>
      <w:r w:rsidR="005614C6" w:rsidRPr="00BC1ABD">
        <w:rPr>
          <w:sz w:val="24"/>
          <w:szCs w:val="24"/>
          <w:lang w:val="en-GB"/>
        </w:rPr>
        <w:t xml:space="preserve"> of access seekers</w:t>
      </w:r>
      <w:r w:rsidRPr="00BC1ABD">
        <w:rPr>
          <w:sz w:val="24"/>
          <w:szCs w:val="24"/>
          <w:lang w:val="en-GB"/>
        </w:rPr>
        <w:t xml:space="preserve">. </w:t>
      </w:r>
      <w:r w:rsidR="009C01DE" w:rsidRPr="00BC1ABD">
        <w:rPr>
          <w:sz w:val="24"/>
          <w:szCs w:val="24"/>
          <w:lang w:val="en-GB"/>
        </w:rPr>
        <w:t xml:space="preserve">The loss of trust will require additional engagement in the work of customer services or technicians and thus increase </w:t>
      </w:r>
      <w:r w:rsidR="00E44D58">
        <w:rPr>
          <w:sz w:val="24"/>
          <w:szCs w:val="24"/>
          <w:lang w:val="en-GB"/>
        </w:rPr>
        <w:t>the</w:t>
      </w:r>
      <w:r w:rsidR="009C01DE" w:rsidRPr="00BC1ABD">
        <w:rPr>
          <w:sz w:val="24"/>
          <w:szCs w:val="24"/>
          <w:lang w:val="en-GB"/>
        </w:rPr>
        <w:t xml:space="preserve"> costs of existing or potential competitors</w:t>
      </w:r>
      <w:r w:rsidR="00E44D58">
        <w:rPr>
          <w:sz w:val="24"/>
          <w:szCs w:val="24"/>
          <w:lang w:val="en-GB"/>
        </w:rPr>
        <w:t>.</w:t>
      </w:r>
    </w:p>
    <w:p w14:paraId="74B7C460" w14:textId="745605AD" w:rsidR="00735D94" w:rsidRPr="00BC1ABD" w:rsidRDefault="009C01DE" w:rsidP="003D772D">
      <w:pPr>
        <w:spacing w:before="240"/>
        <w:jc w:val="both"/>
        <w:rPr>
          <w:sz w:val="24"/>
          <w:szCs w:val="24"/>
          <w:lang w:val="en-GB"/>
        </w:rPr>
      </w:pPr>
      <w:r w:rsidRPr="00BC1ABD">
        <w:rPr>
          <w:sz w:val="24"/>
          <w:szCs w:val="24"/>
          <w:lang w:val="en-GB"/>
        </w:rPr>
        <w:t xml:space="preserve">In </w:t>
      </w:r>
      <w:r w:rsidR="00E44D58">
        <w:rPr>
          <w:sz w:val="24"/>
          <w:szCs w:val="24"/>
          <w:lang w:val="en-GB"/>
        </w:rPr>
        <w:t xml:space="preserve">the </w:t>
      </w:r>
      <w:r w:rsidRPr="00BC1ABD">
        <w:rPr>
          <w:sz w:val="24"/>
          <w:szCs w:val="24"/>
          <w:lang w:val="en-GB"/>
        </w:rPr>
        <w:t xml:space="preserve">absence of regulation, </w:t>
      </w:r>
      <w:r w:rsidR="00E44D58">
        <w:rPr>
          <w:sz w:val="24"/>
          <w:szCs w:val="24"/>
          <w:lang w:val="en-GB"/>
        </w:rPr>
        <w:t xml:space="preserve">the </w:t>
      </w:r>
      <w:r w:rsidRPr="00BC1ABD">
        <w:rPr>
          <w:sz w:val="24"/>
          <w:szCs w:val="24"/>
          <w:lang w:val="en-GB"/>
        </w:rPr>
        <w:t xml:space="preserve">SMP operator could deliberately </w:t>
      </w:r>
      <w:r w:rsidR="00735D94" w:rsidRPr="00BC1ABD">
        <w:rPr>
          <w:sz w:val="24"/>
          <w:szCs w:val="24"/>
          <w:lang w:val="en-GB"/>
        </w:rPr>
        <w:t xml:space="preserve">affect the </w:t>
      </w:r>
      <w:r w:rsidR="00E44D58">
        <w:rPr>
          <w:sz w:val="24"/>
          <w:szCs w:val="24"/>
          <w:lang w:val="en-GB"/>
        </w:rPr>
        <w:t>quality of service</w:t>
      </w:r>
      <w:r w:rsidRPr="00BC1ABD">
        <w:rPr>
          <w:sz w:val="24"/>
          <w:szCs w:val="24"/>
          <w:lang w:val="en-GB"/>
        </w:rPr>
        <w:t xml:space="preserve"> by </w:t>
      </w:r>
      <w:r w:rsidR="00E44D58">
        <w:rPr>
          <w:sz w:val="24"/>
          <w:szCs w:val="24"/>
          <w:lang w:val="en-GB"/>
        </w:rPr>
        <w:t>taking longer for</w:t>
      </w:r>
      <w:r w:rsidRPr="00BC1ABD">
        <w:rPr>
          <w:sz w:val="24"/>
          <w:szCs w:val="24"/>
          <w:lang w:val="en-GB"/>
        </w:rPr>
        <w:t xml:space="preserve"> fault repair</w:t>
      </w:r>
      <w:r w:rsidR="00E44D58">
        <w:rPr>
          <w:sz w:val="24"/>
          <w:szCs w:val="24"/>
          <w:lang w:val="en-GB"/>
        </w:rPr>
        <w:t xml:space="preserve">s </w:t>
      </w:r>
      <w:r w:rsidR="00735D94" w:rsidRPr="00BC1ABD">
        <w:rPr>
          <w:sz w:val="24"/>
          <w:szCs w:val="24"/>
          <w:lang w:val="en-GB"/>
        </w:rPr>
        <w:t xml:space="preserve">than </w:t>
      </w:r>
      <w:r w:rsidR="00E44D58">
        <w:rPr>
          <w:sz w:val="24"/>
          <w:szCs w:val="24"/>
          <w:lang w:val="en-GB"/>
        </w:rPr>
        <w:t xml:space="preserve">the time taken for </w:t>
      </w:r>
      <w:r w:rsidRPr="00BC1ABD">
        <w:rPr>
          <w:sz w:val="24"/>
          <w:szCs w:val="24"/>
          <w:lang w:val="en-GB"/>
        </w:rPr>
        <w:t>the end</w:t>
      </w:r>
      <w:r w:rsidR="00E44D58">
        <w:rPr>
          <w:sz w:val="24"/>
          <w:szCs w:val="24"/>
          <w:lang w:val="en-GB"/>
        </w:rPr>
        <w:t>-</w:t>
      </w:r>
      <w:r w:rsidRPr="00BC1ABD">
        <w:rPr>
          <w:sz w:val="24"/>
          <w:szCs w:val="24"/>
          <w:lang w:val="en-GB"/>
        </w:rPr>
        <w:t xml:space="preserve">users of </w:t>
      </w:r>
      <w:r w:rsidR="00E44D58">
        <w:rPr>
          <w:sz w:val="24"/>
          <w:szCs w:val="24"/>
          <w:lang w:val="en-GB"/>
        </w:rPr>
        <w:t>its own</w:t>
      </w:r>
      <w:r w:rsidRPr="00BC1ABD">
        <w:rPr>
          <w:sz w:val="24"/>
          <w:szCs w:val="24"/>
          <w:lang w:val="en-GB"/>
        </w:rPr>
        <w:t xml:space="preserve"> retail arm.</w:t>
      </w:r>
      <w:r w:rsidR="00735D94" w:rsidRPr="00BC1ABD">
        <w:rPr>
          <w:sz w:val="24"/>
          <w:szCs w:val="24"/>
          <w:lang w:val="en-GB"/>
        </w:rPr>
        <w:t xml:space="preserve"> Furthermore,</w:t>
      </w:r>
      <w:r w:rsidRPr="00BC1ABD">
        <w:rPr>
          <w:sz w:val="24"/>
          <w:szCs w:val="24"/>
          <w:lang w:val="en-GB"/>
        </w:rPr>
        <w:t xml:space="preserve"> </w:t>
      </w:r>
      <w:r w:rsidR="00E44D58">
        <w:rPr>
          <w:sz w:val="24"/>
          <w:szCs w:val="24"/>
          <w:lang w:val="en-GB"/>
        </w:rPr>
        <w:t xml:space="preserve">the </w:t>
      </w:r>
      <w:r w:rsidRPr="00BC1ABD">
        <w:rPr>
          <w:sz w:val="24"/>
          <w:szCs w:val="24"/>
          <w:lang w:val="en-GB"/>
        </w:rPr>
        <w:t>SMP operator,</w:t>
      </w:r>
      <w:r w:rsidR="00735D94" w:rsidRPr="00BC1ABD">
        <w:rPr>
          <w:sz w:val="24"/>
          <w:szCs w:val="24"/>
          <w:lang w:val="en-GB"/>
        </w:rPr>
        <w:t xml:space="preserve"> in </w:t>
      </w:r>
      <w:r w:rsidR="00E44D58">
        <w:rPr>
          <w:sz w:val="24"/>
          <w:szCs w:val="24"/>
          <w:lang w:val="en-GB"/>
        </w:rPr>
        <w:t xml:space="preserve">the </w:t>
      </w:r>
      <w:r w:rsidR="00735D94" w:rsidRPr="00BC1ABD">
        <w:rPr>
          <w:sz w:val="24"/>
          <w:szCs w:val="24"/>
          <w:lang w:val="en-GB"/>
        </w:rPr>
        <w:t>case of problems in the network, could give priority to its own data traffic,</w:t>
      </w:r>
      <w:r w:rsidR="00E44D58">
        <w:rPr>
          <w:sz w:val="24"/>
          <w:szCs w:val="24"/>
          <w:lang w:val="en-GB"/>
        </w:rPr>
        <w:t xml:space="preserve"> protecting</w:t>
      </w:r>
      <w:r w:rsidR="00735D94" w:rsidRPr="00BC1ABD">
        <w:rPr>
          <w:sz w:val="24"/>
          <w:szCs w:val="24"/>
          <w:lang w:val="en-GB"/>
        </w:rPr>
        <w:t xml:space="preserve"> its own broadband services (VOIP, IPTV, VoD) to the detriment of the broadband services of other operators.</w:t>
      </w:r>
    </w:p>
    <w:p w14:paraId="48F58758" w14:textId="77777777" w:rsidR="00B271E6" w:rsidRPr="00BC1ABD" w:rsidRDefault="00083DEE" w:rsidP="00B22D08">
      <w:pPr>
        <w:pStyle w:val="Heading2"/>
        <w:numPr>
          <w:ilvl w:val="1"/>
          <w:numId w:val="88"/>
        </w:numPr>
        <w:spacing w:after="240"/>
        <w:rPr>
          <w:lang w:val="en-GB"/>
        </w:rPr>
      </w:pPr>
      <w:bookmarkStart w:id="346" w:name="_Toc169258998"/>
      <w:r w:rsidRPr="00BC1ABD">
        <w:rPr>
          <w:lang w:val="en-GB"/>
        </w:rPr>
        <w:t>Leveraging by means of pricing</w:t>
      </w:r>
      <w:bookmarkEnd w:id="346"/>
    </w:p>
    <w:p w14:paraId="0E56072D" w14:textId="77777777" w:rsidR="005F192F"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7" w:name="_Toc169258999"/>
      <w:r w:rsidRPr="00BC1ABD">
        <w:rPr>
          <w:rFonts w:asciiTheme="minorHAnsi" w:hAnsiTheme="minorHAnsi" w:cstheme="minorHAnsi"/>
          <w:b w:val="0"/>
          <w:bCs w:val="0"/>
          <w:sz w:val="24"/>
          <w:szCs w:val="24"/>
          <w:lang w:val="en-GB"/>
        </w:rPr>
        <w:t>Price discrimination</w:t>
      </w:r>
      <w:bookmarkEnd w:id="347"/>
    </w:p>
    <w:p w14:paraId="155DF269" w14:textId="37560799" w:rsidR="005F192F" w:rsidRPr="00BC1ABD" w:rsidRDefault="0030123E" w:rsidP="006E66E5">
      <w:pPr>
        <w:spacing w:before="240"/>
        <w:jc w:val="both"/>
        <w:rPr>
          <w:sz w:val="24"/>
          <w:szCs w:val="24"/>
          <w:lang w:val="en-GB"/>
        </w:rPr>
      </w:pPr>
      <w:r w:rsidRPr="00BC1ABD">
        <w:rPr>
          <w:sz w:val="24"/>
          <w:szCs w:val="24"/>
          <w:lang w:val="en-GB"/>
        </w:rPr>
        <w:t>Price discrimination</w:t>
      </w:r>
      <w:r w:rsidR="006E66E5" w:rsidRPr="00BC1ABD">
        <w:rPr>
          <w:sz w:val="24"/>
          <w:szCs w:val="24"/>
          <w:lang w:val="en-GB"/>
        </w:rPr>
        <w:t xml:space="preserve"> </w:t>
      </w:r>
      <w:r w:rsidRPr="00BC1ABD">
        <w:rPr>
          <w:sz w:val="24"/>
          <w:szCs w:val="24"/>
          <w:lang w:val="en-GB"/>
        </w:rPr>
        <w:t xml:space="preserve">is a </w:t>
      </w:r>
      <w:r w:rsidR="006E66E5" w:rsidRPr="00BC1ABD">
        <w:rPr>
          <w:sz w:val="24"/>
          <w:szCs w:val="24"/>
          <w:lang w:val="en-GB"/>
        </w:rPr>
        <w:t xml:space="preserve">competition </w:t>
      </w:r>
      <w:r w:rsidRPr="00BC1ABD">
        <w:rPr>
          <w:sz w:val="24"/>
          <w:szCs w:val="24"/>
          <w:lang w:val="en-GB"/>
        </w:rPr>
        <w:t xml:space="preserve">problem </w:t>
      </w:r>
      <w:r w:rsidR="006E66E5" w:rsidRPr="00BC1ABD">
        <w:rPr>
          <w:sz w:val="24"/>
          <w:szCs w:val="24"/>
          <w:lang w:val="en-GB"/>
        </w:rPr>
        <w:t xml:space="preserve">that </w:t>
      </w:r>
      <w:r w:rsidRPr="00BC1ABD">
        <w:rPr>
          <w:sz w:val="24"/>
          <w:szCs w:val="24"/>
          <w:lang w:val="en-GB"/>
        </w:rPr>
        <w:t>happens when</w:t>
      </w:r>
      <w:r w:rsidR="00E44D58">
        <w:rPr>
          <w:sz w:val="24"/>
          <w:szCs w:val="24"/>
          <w:lang w:val="en-GB"/>
        </w:rPr>
        <w:t>,</w:t>
      </w:r>
      <w:r w:rsidR="006E66E5" w:rsidRPr="00BC1ABD">
        <w:rPr>
          <w:sz w:val="24"/>
          <w:szCs w:val="24"/>
          <w:lang w:val="en-GB"/>
        </w:rPr>
        <w:t xml:space="preserve"> in the absence of regulation</w:t>
      </w:r>
      <w:r w:rsidRPr="00BC1ABD">
        <w:rPr>
          <w:sz w:val="24"/>
          <w:szCs w:val="24"/>
          <w:lang w:val="en-GB"/>
        </w:rPr>
        <w:t xml:space="preserve">, </w:t>
      </w:r>
      <w:r w:rsidR="00E44D58">
        <w:rPr>
          <w:sz w:val="24"/>
          <w:szCs w:val="24"/>
          <w:lang w:val="en-GB"/>
        </w:rPr>
        <w:t xml:space="preserve">an </w:t>
      </w:r>
      <w:r w:rsidRPr="00BC1ABD">
        <w:rPr>
          <w:sz w:val="24"/>
          <w:szCs w:val="24"/>
          <w:lang w:val="en-GB"/>
        </w:rPr>
        <w:t xml:space="preserve">SMP operator </w:t>
      </w:r>
      <w:r w:rsidR="006E66E5" w:rsidRPr="00BC1ABD">
        <w:rPr>
          <w:sz w:val="24"/>
          <w:szCs w:val="24"/>
          <w:lang w:val="en-GB"/>
        </w:rPr>
        <w:t>offer</w:t>
      </w:r>
      <w:r w:rsidRPr="00BC1ABD">
        <w:rPr>
          <w:sz w:val="24"/>
          <w:szCs w:val="24"/>
          <w:lang w:val="en-GB"/>
        </w:rPr>
        <w:t>s</w:t>
      </w:r>
      <w:r w:rsidR="006E66E5" w:rsidRPr="00BC1ABD">
        <w:rPr>
          <w:sz w:val="24"/>
          <w:szCs w:val="24"/>
          <w:lang w:val="en-GB"/>
        </w:rPr>
        <w:t xml:space="preserve"> different prices for </w:t>
      </w:r>
      <w:r w:rsidRPr="00BC1ABD">
        <w:rPr>
          <w:sz w:val="24"/>
          <w:szCs w:val="24"/>
          <w:lang w:val="en-GB"/>
        </w:rPr>
        <w:t>same</w:t>
      </w:r>
      <w:r w:rsidR="006E66E5" w:rsidRPr="00BC1ABD">
        <w:rPr>
          <w:sz w:val="24"/>
          <w:szCs w:val="24"/>
          <w:lang w:val="en-GB"/>
        </w:rPr>
        <w:t xml:space="preserve"> wholesale service</w:t>
      </w:r>
      <w:r w:rsidRPr="00BC1ABD">
        <w:rPr>
          <w:sz w:val="24"/>
          <w:szCs w:val="24"/>
          <w:lang w:val="en-GB"/>
        </w:rPr>
        <w:t xml:space="preserve">s to different operators and different prices to access seekers from the ones it calculates in </w:t>
      </w:r>
      <w:r w:rsidR="00E44D58">
        <w:rPr>
          <w:sz w:val="24"/>
          <w:szCs w:val="24"/>
          <w:lang w:val="en-GB"/>
        </w:rPr>
        <w:t xml:space="preserve">the </w:t>
      </w:r>
      <w:r w:rsidRPr="00BC1ABD">
        <w:rPr>
          <w:sz w:val="24"/>
          <w:szCs w:val="24"/>
          <w:lang w:val="en-GB"/>
        </w:rPr>
        <w:t xml:space="preserve">retail tariffs of its </w:t>
      </w:r>
      <w:r w:rsidR="00E44D58">
        <w:rPr>
          <w:sz w:val="24"/>
          <w:szCs w:val="24"/>
          <w:lang w:val="en-GB"/>
        </w:rPr>
        <w:t xml:space="preserve">own </w:t>
      </w:r>
      <w:r w:rsidRPr="00BC1ABD">
        <w:rPr>
          <w:sz w:val="24"/>
          <w:szCs w:val="24"/>
          <w:lang w:val="en-GB"/>
        </w:rPr>
        <w:t xml:space="preserve">retail arm (transfer prices). </w:t>
      </w:r>
      <w:r w:rsidR="005F192F" w:rsidRPr="00BC1ABD">
        <w:rPr>
          <w:rFonts w:cs="Arial"/>
          <w:sz w:val="24"/>
          <w:szCs w:val="24"/>
          <w:lang w:val="en-GB"/>
        </w:rPr>
        <w:t xml:space="preserve">Price discrimination can be used by </w:t>
      </w:r>
      <w:r w:rsidR="00E44D58">
        <w:rPr>
          <w:rFonts w:cs="Arial"/>
          <w:sz w:val="24"/>
          <w:szCs w:val="24"/>
          <w:lang w:val="en-GB"/>
        </w:rPr>
        <w:t xml:space="preserve">the </w:t>
      </w:r>
      <w:r w:rsidRPr="00BC1ABD">
        <w:rPr>
          <w:rFonts w:cs="Arial"/>
          <w:sz w:val="24"/>
          <w:szCs w:val="24"/>
          <w:lang w:val="en-GB"/>
        </w:rPr>
        <w:t xml:space="preserve">SMP operator (being also </w:t>
      </w:r>
      <w:r w:rsidR="00E44D58">
        <w:rPr>
          <w:rFonts w:cs="Arial"/>
          <w:sz w:val="24"/>
          <w:szCs w:val="24"/>
          <w:lang w:val="en-GB"/>
        </w:rPr>
        <w:t xml:space="preserve">a </w:t>
      </w:r>
      <w:r w:rsidR="005F192F" w:rsidRPr="00BC1ABD">
        <w:rPr>
          <w:rFonts w:cs="Arial"/>
          <w:sz w:val="24"/>
          <w:szCs w:val="24"/>
          <w:lang w:val="en-GB"/>
        </w:rPr>
        <w:t xml:space="preserve">vertically integrated </w:t>
      </w:r>
      <w:r w:rsidRPr="00BC1ABD">
        <w:rPr>
          <w:rFonts w:cs="Arial"/>
          <w:sz w:val="24"/>
          <w:szCs w:val="24"/>
          <w:lang w:val="en-GB"/>
        </w:rPr>
        <w:t>operator)</w:t>
      </w:r>
      <w:r w:rsidR="005F192F" w:rsidRPr="00BC1ABD">
        <w:rPr>
          <w:rFonts w:cs="Arial"/>
          <w:sz w:val="24"/>
          <w:szCs w:val="24"/>
          <w:lang w:val="en-GB"/>
        </w:rPr>
        <w:t xml:space="preserve"> on the wholesale market to raise its rivals’ costs </w:t>
      </w:r>
      <w:r w:rsidRPr="00BC1ABD">
        <w:rPr>
          <w:rFonts w:cs="Arial"/>
          <w:sz w:val="24"/>
          <w:szCs w:val="24"/>
          <w:lang w:val="en-GB"/>
        </w:rPr>
        <w:t xml:space="preserve">on </w:t>
      </w:r>
      <w:r w:rsidR="00E44D58">
        <w:rPr>
          <w:rFonts w:cs="Arial"/>
          <w:sz w:val="24"/>
          <w:szCs w:val="24"/>
          <w:lang w:val="en-GB"/>
        </w:rPr>
        <w:t xml:space="preserve">the </w:t>
      </w:r>
      <w:r w:rsidR="005F192F" w:rsidRPr="00BC1ABD">
        <w:rPr>
          <w:rFonts w:cs="Arial"/>
          <w:sz w:val="24"/>
          <w:szCs w:val="24"/>
          <w:lang w:val="en-GB"/>
        </w:rPr>
        <w:t xml:space="preserve">downstream </w:t>
      </w:r>
      <w:r w:rsidRPr="00BC1ABD">
        <w:rPr>
          <w:rFonts w:cs="Arial"/>
          <w:sz w:val="24"/>
          <w:szCs w:val="24"/>
          <w:lang w:val="en-GB"/>
        </w:rPr>
        <w:t xml:space="preserve">retail market, by charging a higher price (which usually is above costs) to downstream competitors than </w:t>
      </w:r>
      <w:r w:rsidR="00E44D58">
        <w:rPr>
          <w:rFonts w:cs="Arial"/>
          <w:sz w:val="24"/>
          <w:szCs w:val="24"/>
          <w:lang w:val="en-GB"/>
        </w:rPr>
        <w:t xml:space="preserve">the equivalent price </w:t>
      </w:r>
      <w:r w:rsidRPr="00BC1ABD">
        <w:rPr>
          <w:rFonts w:cs="Arial"/>
          <w:sz w:val="24"/>
          <w:szCs w:val="24"/>
          <w:lang w:val="en-GB"/>
        </w:rPr>
        <w:t xml:space="preserve">to its retail arm, </w:t>
      </w:r>
      <w:r w:rsidR="005F192F" w:rsidRPr="00BC1ABD">
        <w:rPr>
          <w:rFonts w:cs="Arial"/>
          <w:sz w:val="24"/>
          <w:szCs w:val="24"/>
          <w:lang w:val="en-GB"/>
        </w:rPr>
        <w:t xml:space="preserve">and </w:t>
      </w:r>
      <w:r w:rsidRPr="00BC1ABD">
        <w:rPr>
          <w:rFonts w:cs="Arial"/>
          <w:sz w:val="24"/>
          <w:szCs w:val="24"/>
          <w:lang w:val="en-GB"/>
        </w:rPr>
        <w:t>that way causing a</w:t>
      </w:r>
      <w:r w:rsidR="005F192F" w:rsidRPr="00BC1ABD">
        <w:rPr>
          <w:rFonts w:cs="Arial"/>
          <w:sz w:val="24"/>
          <w:szCs w:val="24"/>
          <w:lang w:val="en-GB"/>
        </w:rPr>
        <w:t xml:space="preserve"> margin squeeze.</w:t>
      </w:r>
    </w:p>
    <w:p w14:paraId="50296E4D" w14:textId="74E41056" w:rsidR="005F192F" w:rsidRPr="00BC1ABD" w:rsidRDefault="005F192F" w:rsidP="002D520F">
      <w:pPr>
        <w:spacing w:before="240"/>
        <w:jc w:val="both"/>
        <w:rPr>
          <w:rFonts w:cs="Arial"/>
          <w:sz w:val="24"/>
          <w:szCs w:val="24"/>
          <w:lang w:val="en-GB"/>
        </w:rPr>
      </w:pPr>
      <w:r w:rsidRPr="00BC1ABD">
        <w:rPr>
          <w:sz w:val="24"/>
          <w:szCs w:val="24"/>
          <w:lang w:val="en-GB"/>
        </w:rPr>
        <w:t>ComCom is of the view that in the absence of regulation,</w:t>
      </w:r>
      <w:r w:rsidR="00E44D58">
        <w:rPr>
          <w:sz w:val="24"/>
          <w:szCs w:val="24"/>
          <w:lang w:val="en-GB"/>
        </w:rPr>
        <w:t xml:space="preserve"> the</w:t>
      </w:r>
      <w:r w:rsidRPr="00BC1ABD">
        <w:rPr>
          <w:sz w:val="24"/>
          <w:szCs w:val="24"/>
          <w:lang w:val="en-GB"/>
        </w:rPr>
        <w:t xml:space="preserve"> SMP operator could have the incentive to</w:t>
      </w:r>
      <w:r w:rsidR="006E66E5" w:rsidRPr="00BC1ABD">
        <w:rPr>
          <w:sz w:val="24"/>
          <w:szCs w:val="24"/>
          <w:lang w:val="en-GB"/>
        </w:rPr>
        <w:t xml:space="preserve">, by applying price discrimination, offer a wholesale bitstream </w:t>
      </w:r>
      <w:r w:rsidR="0030123E" w:rsidRPr="00BC1ABD">
        <w:rPr>
          <w:sz w:val="24"/>
          <w:szCs w:val="24"/>
          <w:lang w:val="en-GB"/>
        </w:rPr>
        <w:t xml:space="preserve">central </w:t>
      </w:r>
      <w:r w:rsidR="006E66E5" w:rsidRPr="00BC1ABD">
        <w:rPr>
          <w:sz w:val="24"/>
          <w:szCs w:val="24"/>
          <w:lang w:val="en-GB"/>
        </w:rPr>
        <w:t xml:space="preserve">access </w:t>
      </w:r>
      <w:r w:rsidR="0030123E" w:rsidRPr="00BC1ABD">
        <w:rPr>
          <w:sz w:val="24"/>
          <w:szCs w:val="24"/>
          <w:lang w:val="en-GB"/>
        </w:rPr>
        <w:t xml:space="preserve">and local access </w:t>
      </w:r>
      <w:r w:rsidR="006E66E5" w:rsidRPr="00BC1ABD">
        <w:rPr>
          <w:sz w:val="24"/>
          <w:szCs w:val="24"/>
          <w:lang w:val="en-GB"/>
        </w:rPr>
        <w:t>service</w:t>
      </w:r>
      <w:r w:rsidR="0030123E" w:rsidRPr="00BC1ABD">
        <w:rPr>
          <w:sz w:val="24"/>
          <w:szCs w:val="24"/>
          <w:lang w:val="en-GB"/>
        </w:rPr>
        <w:t>s</w:t>
      </w:r>
      <w:r w:rsidR="006E66E5" w:rsidRPr="00BC1ABD">
        <w:rPr>
          <w:sz w:val="24"/>
          <w:szCs w:val="24"/>
          <w:lang w:val="en-GB"/>
        </w:rPr>
        <w:t xml:space="preserve"> to operators with whom it competes on the </w:t>
      </w:r>
      <w:r w:rsidR="0030123E" w:rsidRPr="00BC1ABD">
        <w:rPr>
          <w:sz w:val="24"/>
          <w:szCs w:val="24"/>
          <w:lang w:val="en-GB"/>
        </w:rPr>
        <w:t>downstream</w:t>
      </w:r>
      <w:r w:rsidR="006E66E5" w:rsidRPr="00BC1ABD">
        <w:rPr>
          <w:sz w:val="24"/>
          <w:szCs w:val="24"/>
          <w:lang w:val="en-GB"/>
        </w:rPr>
        <w:t xml:space="preserve"> retail market at prices higher </w:t>
      </w:r>
      <w:r w:rsidR="00543A3A" w:rsidRPr="00BC1ABD">
        <w:rPr>
          <w:sz w:val="24"/>
          <w:szCs w:val="24"/>
          <w:lang w:val="en-GB"/>
        </w:rPr>
        <w:t xml:space="preserve">(excessive prices) </w:t>
      </w:r>
      <w:r w:rsidR="006E66E5" w:rsidRPr="00BC1ABD">
        <w:rPr>
          <w:sz w:val="24"/>
          <w:szCs w:val="24"/>
          <w:lang w:val="en-GB"/>
        </w:rPr>
        <w:t xml:space="preserve">than those at which it provides the same service to its </w:t>
      </w:r>
      <w:r w:rsidR="00E44D58">
        <w:rPr>
          <w:sz w:val="24"/>
          <w:szCs w:val="24"/>
          <w:lang w:val="en-GB"/>
        </w:rPr>
        <w:t xml:space="preserve">own </w:t>
      </w:r>
      <w:r w:rsidR="006E66E5" w:rsidRPr="00BC1ABD">
        <w:rPr>
          <w:sz w:val="24"/>
          <w:szCs w:val="24"/>
          <w:lang w:val="en-GB"/>
        </w:rPr>
        <w:t xml:space="preserve">retail </w:t>
      </w:r>
      <w:r w:rsidR="0030123E" w:rsidRPr="00BC1ABD">
        <w:rPr>
          <w:sz w:val="24"/>
          <w:szCs w:val="24"/>
          <w:lang w:val="en-GB"/>
        </w:rPr>
        <w:t>arm</w:t>
      </w:r>
      <w:r w:rsidR="006E66E5" w:rsidRPr="00BC1ABD">
        <w:rPr>
          <w:sz w:val="24"/>
          <w:szCs w:val="24"/>
          <w:lang w:val="en-GB"/>
        </w:rPr>
        <w:t>.</w:t>
      </w:r>
    </w:p>
    <w:p w14:paraId="607956BD" w14:textId="6030E35B" w:rsidR="00B271E6"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8" w:name="_Toc169259000"/>
      <w:r w:rsidRPr="00BC1ABD">
        <w:rPr>
          <w:rFonts w:asciiTheme="minorHAnsi" w:hAnsiTheme="minorHAnsi" w:cstheme="minorHAnsi"/>
          <w:b w:val="0"/>
          <w:bCs w:val="0"/>
          <w:sz w:val="24"/>
          <w:szCs w:val="24"/>
          <w:lang w:val="en-GB"/>
        </w:rPr>
        <w:t>Cross subsidi</w:t>
      </w:r>
      <w:r w:rsidR="002E7EAF">
        <w:rPr>
          <w:rFonts w:asciiTheme="minorHAnsi" w:hAnsiTheme="minorHAnsi" w:cstheme="minorHAnsi"/>
          <w:b w:val="0"/>
          <w:bCs w:val="0"/>
          <w:sz w:val="24"/>
          <w:szCs w:val="24"/>
          <w:lang w:val="en-GB"/>
        </w:rPr>
        <w:t>s</w:t>
      </w:r>
      <w:r w:rsidRPr="00BC1ABD">
        <w:rPr>
          <w:rFonts w:asciiTheme="minorHAnsi" w:hAnsiTheme="minorHAnsi" w:cstheme="minorHAnsi"/>
          <w:b w:val="0"/>
          <w:bCs w:val="0"/>
          <w:sz w:val="24"/>
          <w:szCs w:val="24"/>
          <w:lang w:val="en-GB"/>
        </w:rPr>
        <w:t>ing</w:t>
      </w:r>
      <w:bookmarkEnd w:id="348"/>
    </w:p>
    <w:p w14:paraId="52F47910" w14:textId="36C03E3F" w:rsidR="00FF4D16" w:rsidRDefault="00421160" w:rsidP="005F192F">
      <w:pPr>
        <w:spacing w:line="259" w:lineRule="auto"/>
        <w:jc w:val="both"/>
        <w:rPr>
          <w:rFonts w:cs="Arial"/>
          <w:sz w:val="24"/>
          <w:szCs w:val="24"/>
          <w:lang w:val="en-GB"/>
        </w:rPr>
      </w:pPr>
      <w:r w:rsidRPr="00BC1ABD">
        <w:rPr>
          <w:rFonts w:cs="Arial"/>
          <w:sz w:val="24"/>
          <w:szCs w:val="24"/>
          <w:lang w:val="en-GB"/>
        </w:rPr>
        <w:t>The competition problem related to c</w:t>
      </w:r>
      <w:r w:rsidR="00044922" w:rsidRPr="00BC1ABD">
        <w:rPr>
          <w:rFonts w:cs="Arial"/>
          <w:sz w:val="24"/>
          <w:szCs w:val="24"/>
          <w:lang w:val="en-GB"/>
        </w:rPr>
        <w:t xml:space="preserve">ross-subsidisation </w:t>
      </w:r>
      <w:r w:rsidRPr="00BC1ABD">
        <w:rPr>
          <w:rFonts w:cs="Arial"/>
          <w:sz w:val="24"/>
          <w:szCs w:val="24"/>
          <w:lang w:val="en-GB"/>
        </w:rPr>
        <w:t>happens when there are</w:t>
      </w:r>
      <w:r w:rsidR="00044922" w:rsidRPr="00BC1ABD">
        <w:rPr>
          <w:rFonts w:cs="Arial"/>
          <w:sz w:val="24"/>
          <w:szCs w:val="24"/>
          <w:lang w:val="en-GB"/>
        </w:rPr>
        <w:t xml:space="preserve"> two prices in two markets. Whereas in one market (the SMP market) a price above costs is charged, in the other market (the market where the SMP-position is leveraged </w:t>
      </w:r>
      <w:r w:rsidR="00E44D58">
        <w:rPr>
          <w:rFonts w:cs="Arial"/>
          <w:sz w:val="24"/>
          <w:szCs w:val="24"/>
          <w:lang w:val="en-GB"/>
        </w:rPr>
        <w:t>in</w:t>
      </w:r>
      <w:r w:rsidR="00044922" w:rsidRPr="00BC1ABD">
        <w:rPr>
          <w:rFonts w:cs="Arial"/>
          <w:sz w:val="24"/>
          <w:szCs w:val="24"/>
          <w:lang w:val="en-GB"/>
        </w:rPr>
        <w:t xml:space="preserve">to) a price below costs (predatory pricing) is charged. An operator with </w:t>
      </w:r>
      <w:r w:rsidR="00E44D58">
        <w:rPr>
          <w:rFonts w:cs="Arial"/>
          <w:sz w:val="24"/>
          <w:szCs w:val="24"/>
          <w:lang w:val="en-GB"/>
        </w:rPr>
        <w:t>SMP</w:t>
      </w:r>
      <w:r w:rsidR="00044922" w:rsidRPr="00BC1ABD">
        <w:rPr>
          <w:rFonts w:cs="Arial"/>
          <w:sz w:val="24"/>
          <w:szCs w:val="24"/>
          <w:lang w:val="en-GB"/>
        </w:rPr>
        <w:t xml:space="preserve"> in a particular wholesale market could, in the absence of regulation, charge above cost wholesale </w:t>
      </w:r>
      <w:r w:rsidR="00FF4D16">
        <w:rPr>
          <w:rFonts w:cs="Arial"/>
          <w:sz w:val="24"/>
          <w:szCs w:val="24"/>
          <w:lang w:val="en-GB"/>
        </w:rPr>
        <w:t>prices</w:t>
      </w:r>
      <w:r w:rsidR="00044922" w:rsidRPr="00BC1ABD">
        <w:rPr>
          <w:rFonts w:cs="Arial"/>
          <w:sz w:val="24"/>
          <w:szCs w:val="24"/>
          <w:lang w:val="en-GB"/>
        </w:rPr>
        <w:t xml:space="preserve"> and below cost in the related retail market, which would lead to price squeezing problems for its retail-level counterparts that use wholesale services as inputs. In this way, the operator could transfer </w:t>
      </w:r>
      <w:r w:rsidR="00FF4D16">
        <w:rPr>
          <w:rFonts w:cs="Arial"/>
          <w:sz w:val="24"/>
          <w:szCs w:val="24"/>
          <w:lang w:val="en-GB"/>
        </w:rPr>
        <w:t>its</w:t>
      </w:r>
      <w:r w:rsidR="00FF4D16" w:rsidRPr="00BC1ABD">
        <w:rPr>
          <w:rFonts w:cs="Arial"/>
          <w:sz w:val="24"/>
          <w:szCs w:val="24"/>
          <w:lang w:val="en-GB"/>
        </w:rPr>
        <w:t xml:space="preserve"> </w:t>
      </w:r>
      <w:r w:rsidR="00044922" w:rsidRPr="00BC1ABD">
        <w:rPr>
          <w:rFonts w:cs="Arial"/>
          <w:sz w:val="24"/>
          <w:szCs w:val="24"/>
          <w:lang w:val="en-GB"/>
        </w:rPr>
        <w:t>market power from the wholesale market to the related retail market.</w:t>
      </w:r>
    </w:p>
    <w:p w14:paraId="2A01778A" w14:textId="22855206" w:rsidR="00044922" w:rsidRPr="00BC1ABD" w:rsidRDefault="00044922" w:rsidP="005F192F">
      <w:pPr>
        <w:spacing w:line="259" w:lineRule="auto"/>
        <w:jc w:val="both"/>
        <w:rPr>
          <w:rFonts w:cs="Arial"/>
          <w:sz w:val="24"/>
          <w:szCs w:val="24"/>
          <w:lang w:val="en-GB"/>
        </w:rPr>
      </w:pPr>
      <w:r w:rsidRPr="00BC1ABD">
        <w:rPr>
          <w:rFonts w:cs="Arial"/>
          <w:sz w:val="24"/>
          <w:szCs w:val="24"/>
          <w:lang w:val="en-GB"/>
        </w:rPr>
        <w:t>Cross-subsidisation is not anti-competitive in itself. However, if one price is excessive and the other price is predatory, it can be used to leverage market power and foreclose a related, potentially competitive</w:t>
      </w:r>
      <w:r w:rsidR="00FF4D16">
        <w:rPr>
          <w:rFonts w:cs="Arial"/>
          <w:sz w:val="24"/>
          <w:szCs w:val="24"/>
          <w:lang w:val="en-GB"/>
        </w:rPr>
        <w:t>,</w:t>
      </w:r>
      <w:r w:rsidRPr="00BC1ABD">
        <w:rPr>
          <w:rFonts w:cs="Arial"/>
          <w:sz w:val="24"/>
          <w:szCs w:val="24"/>
          <w:lang w:val="en-GB"/>
        </w:rPr>
        <w:t xml:space="preserve"> market. If the market where the high price is charged is a wholesale market and the market where the predatory price is charged is a retail market and the </w:t>
      </w:r>
      <w:r w:rsidR="00421160" w:rsidRPr="00BC1ABD">
        <w:rPr>
          <w:rFonts w:cs="Arial"/>
          <w:sz w:val="24"/>
          <w:szCs w:val="24"/>
          <w:lang w:val="en-GB"/>
        </w:rPr>
        <w:t>SMP operator</w:t>
      </w:r>
      <w:r w:rsidRPr="00BC1ABD">
        <w:rPr>
          <w:rFonts w:cs="Arial"/>
          <w:sz w:val="24"/>
          <w:szCs w:val="24"/>
          <w:lang w:val="en-GB"/>
        </w:rPr>
        <w:t xml:space="preserve"> is vertically integrated</w:t>
      </w:r>
      <w:r w:rsidR="00421160" w:rsidRPr="00BC1ABD">
        <w:rPr>
          <w:rFonts w:cs="Arial"/>
          <w:sz w:val="24"/>
          <w:szCs w:val="24"/>
          <w:lang w:val="en-GB"/>
        </w:rPr>
        <w:t xml:space="preserve">, </w:t>
      </w:r>
      <w:r w:rsidRPr="00BC1ABD">
        <w:rPr>
          <w:rFonts w:cs="Arial"/>
          <w:sz w:val="24"/>
          <w:szCs w:val="24"/>
          <w:lang w:val="en-GB"/>
        </w:rPr>
        <w:t>cross-subsidisation will result in a margin squeeze.</w:t>
      </w:r>
    </w:p>
    <w:p w14:paraId="1553ABAC" w14:textId="391BFD3E" w:rsidR="00594375" w:rsidRPr="00BC1ABD" w:rsidRDefault="005F192F" w:rsidP="00BE2187">
      <w:pPr>
        <w:spacing w:line="259" w:lineRule="auto"/>
        <w:jc w:val="both"/>
        <w:rPr>
          <w:rFonts w:cs="Arial"/>
          <w:sz w:val="24"/>
          <w:szCs w:val="24"/>
          <w:lang w:val="en-GB"/>
        </w:rPr>
      </w:pPr>
      <w:r w:rsidRPr="00BC1ABD">
        <w:rPr>
          <w:rFonts w:cs="Arial"/>
          <w:sz w:val="24"/>
          <w:szCs w:val="24"/>
          <w:lang w:val="en-GB"/>
        </w:rPr>
        <w:t xml:space="preserve">ComCom is of the view that in the absence of regulation, </w:t>
      </w:r>
      <w:r w:rsidR="00FF4D16">
        <w:rPr>
          <w:rFonts w:cs="Arial"/>
          <w:sz w:val="24"/>
          <w:szCs w:val="24"/>
          <w:lang w:val="en-GB"/>
        </w:rPr>
        <w:t>the</w:t>
      </w:r>
      <w:r w:rsidRPr="00BC1ABD">
        <w:rPr>
          <w:rFonts w:cs="Arial"/>
          <w:sz w:val="24"/>
          <w:szCs w:val="24"/>
          <w:lang w:val="en-GB"/>
        </w:rPr>
        <w:t xml:space="preserve"> SMP operator could have the incentive to </w:t>
      </w:r>
      <w:r w:rsidR="00044922" w:rsidRPr="00BC1ABD">
        <w:rPr>
          <w:rFonts w:cs="Arial"/>
          <w:sz w:val="24"/>
          <w:szCs w:val="24"/>
          <w:lang w:val="en-GB"/>
        </w:rPr>
        <w:t xml:space="preserve">offer wholesale </w:t>
      </w:r>
      <w:r w:rsidR="00421160" w:rsidRPr="00BC1ABD">
        <w:rPr>
          <w:rFonts w:cs="Arial"/>
          <w:sz w:val="24"/>
          <w:szCs w:val="24"/>
          <w:lang w:val="en-GB"/>
        </w:rPr>
        <w:t xml:space="preserve">central </w:t>
      </w:r>
      <w:r w:rsidR="00044922" w:rsidRPr="00BC1ABD">
        <w:rPr>
          <w:rFonts w:cs="Arial"/>
          <w:sz w:val="24"/>
          <w:szCs w:val="24"/>
          <w:lang w:val="en-GB"/>
        </w:rPr>
        <w:t xml:space="preserve">access services (bitstream access) </w:t>
      </w:r>
      <w:r w:rsidR="00421160" w:rsidRPr="00BC1ABD">
        <w:rPr>
          <w:rFonts w:cs="Arial"/>
          <w:sz w:val="24"/>
          <w:szCs w:val="24"/>
          <w:lang w:val="en-GB"/>
        </w:rPr>
        <w:t>and local access services</w:t>
      </w:r>
      <w:r w:rsidR="00044922" w:rsidRPr="00BC1ABD">
        <w:rPr>
          <w:rFonts w:cs="Arial"/>
          <w:sz w:val="24"/>
          <w:szCs w:val="24"/>
          <w:lang w:val="en-GB"/>
        </w:rPr>
        <w:t xml:space="preserve"> above cost, thereby increasing the costs of operators using the </w:t>
      </w:r>
      <w:r w:rsidR="00FF4D16">
        <w:rPr>
          <w:rFonts w:cs="Arial"/>
          <w:sz w:val="24"/>
          <w:szCs w:val="24"/>
          <w:lang w:val="en-GB"/>
        </w:rPr>
        <w:t>wholesale</w:t>
      </w:r>
      <w:r w:rsidR="00044922" w:rsidRPr="00BC1ABD">
        <w:rPr>
          <w:rFonts w:cs="Arial"/>
          <w:sz w:val="24"/>
          <w:szCs w:val="24"/>
          <w:lang w:val="en-GB"/>
        </w:rPr>
        <w:t xml:space="preserve"> services, while at the same time offering retail services (broadband Internet access, pay TV, etc.) at prices that are below cost. This would consequently lead to squeezing out the competitors' margins at the retail level, making losses and exiting the market.</w:t>
      </w:r>
    </w:p>
    <w:p w14:paraId="45EDA459" w14:textId="77777777" w:rsidR="005F192F" w:rsidRPr="00BC1ABD" w:rsidRDefault="00B271E6" w:rsidP="003A3EF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49" w:name="_Toc169259001"/>
      <w:r w:rsidRPr="00BC1ABD">
        <w:rPr>
          <w:rFonts w:asciiTheme="minorHAnsi" w:hAnsiTheme="minorHAnsi" w:cstheme="minorHAnsi"/>
          <w:b w:val="0"/>
          <w:bCs w:val="0"/>
          <w:sz w:val="24"/>
          <w:szCs w:val="24"/>
          <w:lang w:val="en-GB"/>
        </w:rPr>
        <w:t>Predatory</w:t>
      </w:r>
      <w:r w:rsidR="00376D7F" w:rsidRPr="00BC1ABD">
        <w:rPr>
          <w:rFonts w:asciiTheme="minorHAnsi" w:hAnsiTheme="minorHAnsi" w:cstheme="minorHAnsi"/>
          <w:b w:val="0"/>
          <w:bCs w:val="0"/>
          <w:sz w:val="24"/>
          <w:szCs w:val="24"/>
          <w:lang w:val="en-GB"/>
        </w:rPr>
        <w:t xml:space="preserve"> </w:t>
      </w:r>
      <w:r w:rsidRPr="00BC1ABD">
        <w:rPr>
          <w:rFonts w:asciiTheme="minorHAnsi" w:hAnsiTheme="minorHAnsi" w:cstheme="minorHAnsi"/>
          <w:b w:val="0"/>
          <w:bCs w:val="0"/>
          <w:sz w:val="24"/>
          <w:szCs w:val="24"/>
          <w:lang w:val="en-GB"/>
        </w:rPr>
        <w:t>pricing</w:t>
      </w:r>
      <w:bookmarkEnd w:id="349"/>
    </w:p>
    <w:p w14:paraId="48C6D362" w14:textId="08FBD121" w:rsidR="001B7F4F" w:rsidRPr="00BC1ABD" w:rsidRDefault="001B7F4F" w:rsidP="005F192F">
      <w:pPr>
        <w:spacing w:line="259" w:lineRule="auto"/>
        <w:jc w:val="both"/>
        <w:rPr>
          <w:rFonts w:cs="Arial"/>
          <w:sz w:val="24"/>
          <w:szCs w:val="24"/>
          <w:lang w:val="en-GB"/>
        </w:rPr>
      </w:pPr>
      <w:r w:rsidRPr="00BC1ABD">
        <w:rPr>
          <w:rFonts w:cs="Arial"/>
          <w:sz w:val="24"/>
          <w:szCs w:val="24"/>
          <w:lang w:val="en-GB"/>
        </w:rPr>
        <w:t>The competition problem related to p</w:t>
      </w:r>
      <w:r w:rsidR="005F192F" w:rsidRPr="00BC1ABD">
        <w:rPr>
          <w:rFonts w:cs="Arial"/>
          <w:sz w:val="24"/>
          <w:szCs w:val="24"/>
          <w:lang w:val="en-GB"/>
        </w:rPr>
        <w:t xml:space="preserve">redatory pricing occurs, inter alia, where a dominant firm sells a service below </w:t>
      </w:r>
      <w:r w:rsidR="00FF4D16">
        <w:rPr>
          <w:rFonts w:cs="Arial"/>
          <w:sz w:val="24"/>
          <w:szCs w:val="24"/>
          <w:lang w:val="en-GB"/>
        </w:rPr>
        <w:t xml:space="preserve">its </w:t>
      </w:r>
      <w:r w:rsidR="005F192F" w:rsidRPr="00BC1ABD">
        <w:rPr>
          <w:rFonts w:cs="Arial"/>
          <w:sz w:val="24"/>
          <w:szCs w:val="24"/>
          <w:lang w:val="en-GB"/>
        </w:rPr>
        <w:t>costs of production for a sustained period of time, with the intention of deterring entry, or putting a rival out of business, enabling the dominant firm to further increase its market power and later its accumulated profits.</w:t>
      </w:r>
    </w:p>
    <w:p w14:paraId="0EA82368" w14:textId="3F928E6B" w:rsidR="001B7F4F" w:rsidRPr="00BC1ABD" w:rsidRDefault="00FF4D16" w:rsidP="005F192F">
      <w:pPr>
        <w:spacing w:line="259" w:lineRule="auto"/>
        <w:jc w:val="both"/>
        <w:rPr>
          <w:rFonts w:cs="Arial"/>
          <w:sz w:val="24"/>
          <w:szCs w:val="24"/>
          <w:lang w:val="en-GB"/>
        </w:rPr>
      </w:pPr>
      <w:r>
        <w:rPr>
          <w:rFonts w:cs="Arial"/>
          <w:sz w:val="24"/>
          <w:szCs w:val="24"/>
          <w:lang w:val="en-GB"/>
        </w:rPr>
        <w:t>P</w:t>
      </w:r>
      <w:r w:rsidR="005F192F" w:rsidRPr="00BC1ABD">
        <w:rPr>
          <w:rFonts w:cs="Arial"/>
          <w:sz w:val="24"/>
          <w:szCs w:val="24"/>
          <w:lang w:val="en-GB"/>
        </w:rPr>
        <w:t xml:space="preserve">redatory pricing has the following characteristics: </w:t>
      </w:r>
    </w:p>
    <w:p w14:paraId="63630739" w14:textId="4CFA1136" w:rsidR="001B7F4F" w:rsidRPr="00BC1ABD" w:rsidRDefault="00FF4D16">
      <w:pPr>
        <w:pStyle w:val="ListParagraph"/>
        <w:numPr>
          <w:ilvl w:val="0"/>
          <w:numId w:val="17"/>
        </w:numPr>
        <w:spacing w:line="259" w:lineRule="auto"/>
        <w:jc w:val="both"/>
        <w:rPr>
          <w:rFonts w:cs="Arial"/>
          <w:sz w:val="24"/>
          <w:szCs w:val="24"/>
          <w:lang w:val="en-GB"/>
        </w:rPr>
      </w:pPr>
      <w:r>
        <w:rPr>
          <w:rFonts w:cs="Arial"/>
          <w:sz w:val="24"/>
          <w:szCs w:val="24"/>
          <w:lang w:val="en-GB"/>
        </w:rPr>
        <w:t>T</w:t>
      </w:r>
      <w:r w:rsidR="005F192F" w:rsidRPr="00BC1ABD">
        <w:rPr>
          <w:rFonts w:cs="Arial"/>
          <w:sz w:val="24"/>
          <w:szCs w:val="24"/>
          <w:lang w:val="en-GB"/>
        </w:rPr>
        <w:t>he price charged is below costs</w:t>
      </w:r>
      <w:r>
        <w:rPr>
          <w:rFonts w:cs="Arial"/>
          <w:sz w:val="24"/>
          <w:szCs w:val="24"/>
          <w:lang w:val="en-GB"/>
        </w:rPr>
        <w:t>;</w:t>
      </w:r>
      <w:r w:rsidR="005F192F" w:rsidRPr="00BC1ABD">
        <w:rPr>
          <w:rFonts w:cs="Arial"/>
          <w:sz w:val="24"/>
          <w:szCs w:val="24"/>
          <w:lang w:val="en-GB"/>
        </w:rPr>
        <w:t xml:space="preserve"> </w:t>
      </w:r>
    </w:p>
    <w:p w14:paraId="6919099E" w14:textId="3073250D" w:rsidR="001B7F4F" w:rsidRPr="00BC1ABD" w:rsidRDefault="00FF4D16">
      <w:pPr>
        <w:pStyle w:val="ListParagraph"/>
        <w:numPr>
          <w:ilvl w:val="0"/>
          <w:numId w:val="17"/>
        </w:numPr>
        <w:spacing w:line="259" w:lineRule="auto"/>
        <w:jc w:val="both"/>
        <w:rPr>
          <w:rFonts w:cs="Arial"/>
          <w:sz w:val="24"/>
          <w:szCs w:val="24"/>
          <w:lang w:val="en-GB"/>
        </w:rPr>
      </w:pPr>
      <w:r>
        <w:rPr>
          <w:rFonts w:cs="Arial"/>
          <w:sz w:val="24"/>
          <w:szCs w:val="24"/>
          <w:lang w:val="en-GB"/>
        </w:rPr>
        <w:t>C</w:t>
      </w:r>
      <w:r w:rsidR="005F192F" w:rsidRPr="00BC1ABD">
        <w:rPr>
          <w:rFonts w:cs="Arial"/>
          <w:sz w:val="24"/>
          <w:szCs w:val="24"/>
          <w:lang w:val="en-GB"/>
        </w:rPr>
        <w:t xml:space="preserve">ompetitors are either driven out of the market or excluded, and </w:t>
      </w:r>
    </w:p>
    <w:p w14:paraId="0092F288" w14:textId="48333E1E" w:rsidR="001B7F4F" w:rsidRPr="00BC1ABD" w:rsidRDefault="00FF4D16">
      <w:pPr>
        <w:pStyle w:val="ListParagraph"/>
        <w:numPr>
          <w:ilvl w:val="0"/>
          <w:numId w:val="17"/>
        </w:numPr>
        <w:spacing w:line="259" w:lineRule="auto"/>
        <w:jc w:val="both"/>
        <w:rPr>
          <w:rFonts w:cs="Arial"/>
          <w:sz w:val="24"/>
          <w:szCs w:val="24"/>
          <w:lang w:val="en-GB"/>
        </w:rPr>
      </w:pPr>
      <w:r>
        <w:rPr>
          <w:rFonts w:cs="Arial"/>
          <w:sz w:val="24"/>
          <w:szCs w:val="24"/>
          <w:lang w:val="en-GB"/>
        </w:rPr>
        <w:t>T</w:t>
      </w:r>
      <w:r w:rsidR="005F192F" w:rsidRPr="00BC1ABD">
        <w:rPr>
          <w:rFonts w:cs="Arial"/>
          <w:sz w:val="24"/>
          <w:szCs w:val="24"/>
          <w:lang w:val="en-GB"/>
        </w:rPr>
        <w:t xml:space="preserve">he </w:t>
      </w:r>
      <w:r>
        <w:rPr>
          <w:rFonts w:cs="Arial"/>
          <w:sz w:val="24"/>
          <w:szCs w:val="24"/>
          <w:lang w:val="en-GB"/>
        </w:rPr>
        <w:t>predator</w:t>
      </w:r>
      <w:r w:rsidR="005F192F" w:rsidRPr="00BC1ABD">
        <w:rPr>
          <w:rFonts w:cs="Arial"/>
          <w:sz w:val="24"/>
          <w:szCs w:val="24"/>
          <w:lang w:val="en-GB"/>
        </w:rPr>
        <w:t xml:space="preserve"> is able to recoup its losses. </w:t>
      </w:r>
    </w:p>
    <w:p w14:paraId="206EEFC0" w14:textId="71FE3FEB" w:rsidR="005F192F" w:rsidRPr="00BC1ABD" w:rsidRDefault="005F192F" w:rsidP="001B7F4F">
      <w:pPr>
        <w:spacing w:line="259" w:lineRule="auto"/>
        <w:jc w:val="both"/>
        <w:rPr>
          <w:rFonts w:cs="Arial"/>
          <w:sz w:val="24"/>
          <w:szCs w:val="24"/>
          <w:lang w:val="en-GB"/>
        </w:rPr>
      </w:pPr>
      <w:r w:rsidRPr="00BC1ABD">
        <w:rPr>
          <w:rFonts w:cs="Arial"/>
          <w:sz w:val="24"/>
          <w:szCs w:val="24"/>
          <w:lang w:val="en-GB"/>
        </w:rPr>
        <w:t xml:space="preserve">Predation thus involves a trade-off for the predator between the short-run and the long-run. Consumers will benefit in the short run from low prices but will suffer in the long run from the elimination of competitors. In practice, predation is hard to prove, especially in dynamic markets with high fixed costs, multi-product firms and long-run business cases. </w:t>
      </w:r>
      <w:r w:rsidR="001B7F4F" w:rsidRPr="00BC1ABD">
        <w:rPr>
          <w:rFonts w:cs="Arial"/>
          <w:sz w:val="24"/>
          <w:szCs w:val="24"/>
          <w:lang w:val="en-GB"/>
        </w:rPr>
        <w:t xml:space="preserve">A vertically integrated operator with SMP on </w:t>
      </w:r>
      <w:r w:rsidR="00FF4D16">
        <w:rPr>
          <w:rFonts w:cs="Arial"/>
          <w:sz w:val="24"/>
          <w:szCs w:val="24"/>
          <w:lang w:val="en-GB"/>
        </w:rPr>
        <w:t xml:space="preserve">a </w:t>
      </w:r>
      <w:r w:rsidR="001B7F4F" w:rsidRPr="00BC1ABD">
        <w:rPr>
          <w:rFonts w:cs="Arial"/>
          <w:sz w:val="24"/>
          <w:szCs w:val="24"/>
          <w:lang w:val="en-GB"/>
        </w:rPr>
        <w:t>wholesale mar</w:t>
      </w:r>
      <w:r w:rsidR="00FF4D16">
        <w:rPr>
          <w:rFonts w:cs="Arial"/>
          <w:sz w:val="24"/>
          <w:szCs w:val="24"/>
          <w:lang w:val="en-GB"/>
        </w:rPr>
        <w:t>ket</w:t>
      </w:r>
      <w:r w:rsidR="001B7F4F" w:rsidRPr="00BC1ABD">
        <w:rPr>
          <w:rFonts w:cs="Arial"/>
          <w:sz w:val="24"/>
          <w:szCs w:val="24"/>
          <w:lang w:val="en-GB"/>
        </w:rPr>
        <w:t xml:space="preserve"> </w:t>
      </w:r>
      <w:r w:rsidR="00FF4D16">
        <w:rPr>
          <w:rFonts w:cs="Arial"/>
          <w:sz w:val="24"/>
          <w:szCs w:val="24"/>
          <w:lang w:val="en-GB"/>
        </w:rPr>
        <w:t>(</w:t>
      </w:r>
      <w:r w:rsidR="001B7F4F" w:rsidRPr="00BC1ABD">
        <w:rPr>
          <w:rFonts w:cs="Arial"/>
          <w:sz w:val="24"/>
          <w:szCs w:val="24"/>
          <w:lang w:val="en-GB"/>
        </w:rPr>
        <w:t>that provides its retail competitors with a necessary wholesale input</w:t>
      </w:r>
      <w:r w:rsidR="00FF4D16">
        <w:rPr>
          <w:rFonts w:cs="Arial"/>
          <w:sz w:val="24"/>
          <w:szCs w:val="24"/>
          <w:lang w:val="en-GB"/>
        </w:rPr>
        <w:t>)</w:t>
      </w:r>
      <w:r w:rsidR="001B7F4F" w:rsidRPr="00BC1ABD">
        <w:rPr>
          <w:rFonts w:cs="Arial"/>
          <w:sz w:val="24"/>
          <w:szCs w:val="24"/>
          <w:lang w:val="en-GB"/>
        </w:rPr>
        <w:t xml:space="preserve"> could set predatory prices at the retail level in order to subject its competitors to margin pressure, limit their sales, and drive them out of the market</w:t>
      </w:r>
      <w:r w:rsidRPr="00BC1ABD">
        <w:rPr>
          <w:rFonts w:cs="Arial"/>
          <w:sz w:val="24"/>
          <w:szCs w:val="24"/>
          <w:lang w:val="en-GB"/>
        </w:rPr>
        <w:t>.</w:t>
      </w:r>
    </w:p>
    <w:p w14:paraId="5AF04FE6" w14:textId="3CD7FADC" w:rsidR="00DB351C" w:rsidRPr="00BC1ABD" w:rsidRDefault="00DB351C" w:rsidP="005F192F">
      <w:pPr>
        <w:spacing w:line="259" w:lineRule="auto"/>
        <w:jc w:val="both"/>
        <w:rPr>
          <w:rFonts w:cs="Arial"/>
          <w:sz w:val="24"/>
          <w:szCs w:val="24"/>
          <w:lang w:val="en-GB"/>
        </w:rPr>
      </w:pPr>
      <w:r w:rsidRPr="00BC1ABD">
        <w:rPr>
          <w:rFonts w:cs="Arial"/>
          <w:sz w:val="24"/>
          <w:szCs w:val="24"/>
          <w:lang w:val="en-GB"/>
        </w:rPr>
        <w:t xml:space="preserve">When </w:t>
      </w:r>
      <w:r w:rsidR="001B7F4F" w:rsidRPr="00BC1ABD">
        <w:rPr>
          <w:rFonts w:cs="Arial"/>
          <w:sz w:val="24"/>
          <w:szCs w:val="24"/>
          <w:lang w:val="en-GB"/>
        </w:rPr>
        <w:t xml:space="preserve">wholesale </w:t>
      </w:r>
      <w:r w:rsidRPr="00BC1ABD">
        <w:rPr>
          <w:rFonts w:cs="Arial"/>
          <w:sz w:val="24"/>
          <w:szCs w:val="24"/>
          <w:lang w:val="en-GB"/>
        </w:rPr>
        <w:t xml:space="preserve">access prices are regulated, there is </w:t>
      </w:r>
      <w:r w:rsidR="00FF4D16">
        <w:rPr>
          <w:rFonts w:cs="Arial"/>
          <w:sz w:val="24"/>
          <w:szCs w:val="24"/>
          <w:lang w:val="en-GB"/>
        </w:rPr>
        <w:t xml:space="preserve">still </w:t>
      </w:r>
      <w:r w:rsidRPr="00BC1ABD">
        <w:rPr>
          <w:rFonts w:cs="Arial"/>
          <w:sz w:val="24"/>
          <w:szCs w:val="24"/>
          <w:lang w:val="en-GB"/>
        </w:rPr>
        <w:t xml:space="preserve">an opportunity for </w:t>
      </w:r>
      <w:r w:rsidR="00FF4D16">
        <w:rPr>
          <w:rFonts w:cs="Arial"/>
          <w:sz w:val="24"/>
          <w:szCs w:val="24"/>
          <w:lang w:val="en-GB"/>
        </w:rPr>
        <w:t xml:space="preserve">the </w:t>
      </w:r>
      <w:r w:rsidR="001B7F4F" w:rsidRPr="00BC1ABD">
        <w:rPr>
          <w:rFonts w:cs="Arial"/>
          <w:sz w:val="24"/>
          <w:szCs w:val="24"/>
          <w:lang w:val="en-GB"/>
        </w:rPr>
        <w:t xml:space="preserve">SMP </w:t>
      </w:r>
      <w:r w:rsidRPr="00BC1ABD">
        <w:rPr>
          <w:rFonts w:cs="Arial"/>
          <w:sz w:val="24"/>
          <w:szCs w:val="24"/>
          <w:lang w:val="en-GB"/>
        </w:rPr>
        <w:t xml:space="preserve">operator in the wholesale market to impose margin </w:t>
      </w:r>
      <w:r w:rsidR="001B7F4F" w:rsidRPr="00BC1ABD">
        <w:rPr>
          <w:rFonts w:cs="Arial"/>
          <w:sz w:val="24"/>
          <w:szCs w:val="24"/>
          <w:lang w:val="en-GB"/>
        </w:rPr>
        <w:t>squeeze</w:t>
      </w:r>
      <w:r w:rsidRPr="00BC1ABD">
        <w:rPr>
          <w:rFonts w:cs="Arial"/>
          <w:sz w:val="24"/>
          <w:szCs w:val="24"/>
          <w:lang w:val="en-GB"/>
        </w:rPr>
        <w:t xml:space="preserve"> on its competitors at the retail level by charging a low retail price. If </w:t>
      </w:r>
      <w:r w:rsidR="00FF4D16">
        <w:rPr>
          <w:rFonts w:cs="Arial"/>
          <w:sz w:val="24"/>
          <w:szCs w:val="24"/>
          <w:lang w:val="en-GB"/>
        </w:rPr>
        <w:t>the SMP operator makes</w:t>
      </w:r>
      <w:r w:rsidRPr="00BC1ABD">
        <w:rPr>
          <w:rFonts w:cs="Arial"/>
          <w:sz w:val="24"/>
          <w:szCs w:val="24"/>
          <w:lang w:val="en-GB"/>
        </w:rPr>
        <w:t xml:space="preserve"> a loss during a period of predation, </w:t>
      </w:r>
      <w:r w:rsidR="00FF4D16">
        <w:rPr>
          <w:rFonts w:cs="Arial"/>
          <w:sz w:val="24"/>
          <w:szCs w:val="24"/>
          <w:lang w:val="en-GB"/>
        </w:rPr>
        <w:t>the tactic</w:t>
      </w:r>
      <w:r w:rsidRPr="00BC1ABD">
        <w:rPr>
          <w:rFonts w:cs="Arial"/>
          <w:sz w:val="24"/>
          <w:szCs w:val="24"/>
          <w:lang w:val="en-GB"/>
        </w:rPr>
        <w:t xml:space="preserve"> will </w:t>
      </w:r>
      <w:r w:rsidR="00FF4D16">
        <w:rPr>
          <w:rFonts w:cs="Arial"/>
          <w:sz w:val="24"/>
          <w:szCs w:val="24"/>
          <w:lang w:val="en-GB"/>
        </w:rPr>
        <w:t xml:space="preserve">only </w:t>
      </w:r>
      <w:r w:rsidRPr="00BC1ABD">
        <w:rPr>
          <w:rFonts w:cs="Arial"/>
          <w:sz w:val="24"/>
          <w:szCs w:val="24"/>
          <w:lang w:val="en-GB"/>
        </w:rPr>
        <w:t>pay off if, after competitors leave the market, the retail price can be increased again while maintaining barriers to entry.</w:t>
      </w:r>
    </w:p>
    <w:p w14:paraId="503603E8" w14:textId="2D5CEEDF" w:rsidR="00BE2FBA" w:rsidRPr="00BC1ABD" w:rsidRDefault="005F192F" w:rsidP="002D520F">
      <w:pPr>
        <w:spacing w:line="259" w:lineRule="auto"/>
        <w:jc w:val="both"/>
        <w:rPr>
          <w:rFonts w:eastAsia="Times New Roman" w:cs="Calibri"/>
          <w:color w:val="000000"/>
          <w:lang w:val="en-GB" w:eastAsia="hr-HR"/>
        </w:rPr>
      </w:pPr>
      <w:r w:rsidRPr="00BC1ABD">
        <w:rPr>
          <w:rFonts w:cs="Arial"/>
          <w:sz w:val="24"/>
          <w:szCs w:val="24"/>
          <w:lang w:val="en-GB"/>
        </w:rPr>
        <w:t xml:space="preserve">ComCom is of the view that in the absence of regulation, </w:t>
      </w:r>
      <w:r w:rsidR="00EA294A">
        <w:rPr>
          <w:rFonts w:cs="Arial"/>
          <w:sz w:val="24"/>
          <w:szCs w:val="24"/>
          <w:lang w:val="en-GB"/>
        </w:rPr>
        <w:t>the</w:t>
      </w:r>
      <w:r w:rsidRPr="00BC1ABD">
        <w:rPr>
          <w:rFonts w:cs="Arial"/>
          <w:sz w:val="24"/>
          <w:szCs w:val="24"/>
          <w:lang w:val="en-GB"/>
        </w:rPr>
        <w:t xml:space="preserve"> SMP operator could have the incentive to</w:t>
      </w:r>
      <w:r w:rsidR="00DB351C" w:rsidRPr="00BC1ABD">
        <w:rPr>
          <w:rFonts w:cs="Arial"/>
          <w:sz w:val="24"/>
          <w:szCs w:val="24"/>
          <w:lang w:val="en-GB"/>
        </w:rPr>
        <w:t xml:space="preserve"> squeeze out competition from the retail market with retail prices</w:t>
      </w:r>
      <w:r w:rsidR="00EA294A">
        <w:rPr>
          <w:rFonts w:cs="Arial"/>
          <w:sz w:val="24"/>
          <w:szCs w:val="24"/>
          <w:lang w:val="en-GB"/>
        </w:rPr>
        <w:t xml:space="preserve"> that are too low. The SMP operator would do this because</w:t>
      </w:r>
      <w:r w:rsidR="00DB351C" w:rsidRPr="00BC1ABD">
        <w:rPr>
          <w:rFonts w:cs="Arial"/>
          <w:sz w:val="24"/>
          <w:szCs w:val="24"/>
          <w:lang w:val="en-GB"/>
        </w:rPr>
        <w:t xml:space="preserve"> it is a vertically</w:t>
      </w:r>
      <w:r w:rsidR="00EA294A">
        <w:rPr>
          <w:rFonts w:cs="Arial"/>
          <w:sz w:val="24"/>
          <w:szCs w:val="24"/>
          <w:lang w:val="en-GB"/>
        </w:rPr>
        <w:t>-</w:t>
      </w:r>
      <w:r w:rsidR="00DB351C" w:rsidRPr="00BC1ABD">
        <w:rPr>
          <w:rFonts w:cs="Arial"/>
          <w:sz w:val="24"/>
          <w:szCs w:val="24"/>
          <w:lang w:val="en-GB"/>
        </w:rPr>
        <w:t xml:space="preserve">integrated operator that has a dominant position on the market and </w:t>
      </w:r>
      <w:r w:rsidR="00EA294A">
        <w:rPr>
          <w:rFonts w:cs="Arial"/>
          <w:sz w:val="24"/>
          <w:szCs w:val="24"/>
          <w:lang w:val="en-GB"/>
        </w:rPr>
        <w:t xml:space="preserve">the </w:t>
      </w:r>
      <w:r w:rsidR="00DB351C" w:rsidRPr="00BC1ABD">
        <w:rPr>
          <w:rFonts w:cs="Arial"/>
          <w:sz w:val="24"/>
          <w:szCs w:val="24"/>
          <w:lang w:val="en-GB"/>
        </w:rPr>
        <w:t>financial strength that can enable it to bear losses in the short term in order to eliminate competition in the long term</w:t>
      </w:r>
      <w:r w:rsidR="00EA294A">
        <w:rPr>
          <w:rFonts w:cs="Arial"/>
          <w:sz w:val="24"/>
          <w:szCs w:val="24"/>
          <w:lang w:val="en-GB"/>
        </w:rPr>
        <w:t>.</w:t>
      </w:r>
      <w:r w:rsidR="00DB351C" w:rsidRPr="00BC1ABD">
        <w:rPr>
          <w:rFonts w:cs="Arial"/>
          <w:sz w:val="24"/>
          <w:szCs w:val="24"/>
          <w:lang w:val="en-GB"/>
        </w:rPr>
        <w:t xml:space="preserve"> </w:t>
      </w:r>
    </w:p>
    <w:p w14:paraId="4340B93E" w14:textId="77777777" w:rsidR="00BE2FBA" w:rsidRPr="00BC1ABD" w:rsidRDefault="00BE2FBA" w:rsidP="00C07F63">
      <w:pPr>
        <w:spacing w:after="0" w:line="240" w:lineRule="auto"/>
        <w:jc w:val="both"/>
        <w:rPr>
          <w:rFonts w:eastAsia="Times New Roman" w:cs="Calibri"/>
          <w:color w:val="000000"/>
          <w:lang w:val="en-GB" w:eastAsia="hr-HR"/>
        </w:rPr>
      </w:pPr>
    </w:p>
    <w:p w14:paraId="250F50D3" w14:textId="77777777" w:rsidR="008A38A3" w:rsidRPr="00BC1ABD" w:rsidRDefault="008A38A3" w:rsidP="00C07F63">
      <w:pPr>
        <w:spacing w:after="0" w:line="240" w:lineRule="auto"/>
        <w:jc w:val="both"/>
        <w:rPr>
          <w:rFonts w:eastAsia="Times New Roman" w:cs="Calibri"/>
          <w:color w:val="000000"/>
          <w:lang w:val="en-GB" w:eastAsia="hr-HR"/>
        </w:rPr>
      </w:pPr>
    </w:p>
    <w:p w14:paraId="579C6533" w14:textId="77777777" w:rsidR="001B7F4F" w:rsidRPr="00BC1ABD" w:rsidRDefault="001B7F4F" w:rsidP="00C07F63">
      <w:pPr>
        <w:spacing w:after="0" w:line="240" w:lineRule="auto"/>
        <w:jc w:val="both"/>
        <w:rPr>
          <w:rFonts w:eastAsia="Times New Roman" w:cs="Calibri"/>
          <w:color w:val="000000"/>
          <w:lang w:val="en-GB" w:eastAsia="hr-HR"/>
        </w:rPr>
      </w:pPr>
    </w:p>
    <w:p w14:paraId="25E3385C" w14:textId="77777777" w:rsidR="001B7F4F" w:rsidRPr="00BC1ABD" w:rsidRDefault="001B7F4F" w:rsidP="00C07F63">
      <w:pPr>
        <w:spacing w:after="0" w:line="240" w:lineRule="auto"/>
        <w:jc w:val="both"/>
        <w:rPr>
          <w:rFonts w:eastAsia="Times New Roman" w:cs="Calibri"/>
          <w:color w:val="000000"/>
          <w:lang w:val="en-GB" w:eastAsia="hr-HR"/>
        </w:rPr>
      </w:pPr>
    </w:p>
    <w:p w14:paraId="18F5EB4E" w14:textId="77777777" w:rsidR="001B7F4F" w:rsidRPr="00BC1ABD" w:rsidRDefault="001B7F4F" w:rsidP="00C07F63">
      <w:pPr>
        <w:spacing w:after="0" w:line="240" w:lineRule="auto"/>
        <w:jc w:val="both"/>
        <w:rPr>
          <w:rFonts w:eastAsia="Times New Roman" w:cs="Calibri"/>
          <w:color w:val="000000"/>
          <w:lang w:val="en-GB" w:eastAsia="hr-HR"/>
        </w:rPr>
      </w:pPr>
    </w:p>
    <w:p w14:paraId="2D50C68F" w14:textId="77777777" w:rsidR="001B7F4F" w:rsidRPr="00BC1ABD" w:rsidRDefault="001B7F4F" w:rsidP="00C07F63">
      <w:pPr>
        <w:spacing w:after="0" w:line="240" w:lineRule="auto"/>
        <w:jc w:val="both"/>
        <w:rPr>
          <w:rFonts w:eastAsia="Times New Roman" w:cs="Calibri"/>
          <w:color w:val="000000"/>
          <w:lang w:val="en-GB" w:eastAsia="hr-HR"/>
        </w:rPr>
      </w:pPr>
    </w:p>
    <w:p w14:paraId="0EDE30C5" w14:textId="77777777" w:rsidR="001B7F4F" w:rsidRPr="00BC1ABD" w:rsidRDefault="001B7F4F" w:rsidP="00C07F63">
      <w:pPr>
        <w:spacing w:after="0" w:line="240" w:lineRule="auto"/>
        <w:jc w:val="both"/>
        <w:rPr>
          <w:rFonts w:eastAsia="Times New Roman" w:cs="Calibri"/>
          <w:color w:val="000000"/>
          <w:lang w:val="en-GB" w:eastAsia="hr-HR"/>
        </w:rPr>
      </w:pPr>
    </w:p>
    <w:p w14:paraId="7D01C0B7" w14:textId="77777777" w:rsidR="001B7F4F" w:rsidRPr="00BC1ABD" w:rsidRDefault="001B7F4F" w:rsidP="00C07F63">
      <w:pPr>
        <w:spacing w:after="0" w:line="240" w:lineRule="auto"/>
        <w:jc w:val="both"/>
        <w:rPr>
          <w:rFonts w:eastAsia="Times New Roman" w:cs="Calibri"/>
          <w:color w:val="000000"/>
          <w:lang w:val="en-GB" w:eastAsia="hr-HR"/>
        </w:rPr>
      </w:pPr>
    </w:p>
    <w:p w14:paraId="474B33CD" w14:textId="77777777" w:rsidR="001B7F4F" w:rsidRPr="00BC1ABD" w:rsidRDefault="001B7F4F" w:rsidP="00C07F63">
      <w:pPr>
        <w:spacing w:after="0" w:line="240" w:lineRule="auto"/>
        <w:jc w:val="both"/>
        <w:rPr>
          <w:rFonts w:eastAsia="Times New Roman" w:cs="Calibri"/>
          <w:color w:val="000000"/>
          <w:lang w:val="en-GB" w:eastAsia="hr-HR"/>
        </w:rPr>
      </w:pPr>
    </w:p>
    <w:p w14:paraId="2B0F1B1D" w14:textId="77777777" w:rsidR="001B7F4F" w:rsidRPr="00BC1ABD" w:rsidRDefault="001B7F4F" w:rsidP="00C07F63">
      <w:pPr>
        <w:spacing w:after="0" w:line="240" w:lineRule="auto"/>
        <w:jc w:val="both"/>
        <w:rPr>
          <w:rFonts w:eastAsia="Times New Roman" w:cs="Calibri"/>
          <w:color w:val="000000"/>
          <w:lang w:val="en-GB" w:eastAsia="hr-HR"/>
        </w:rPr>
      </w:pPr>
    </w:p>
    <w:p w14:paraId="7D8FE0A1" w14:textId="77777777" w:rsidR="001B7F4F" w:rsidRPr="00BC1ABD" w:rsidRDefault="001B7F4F" w:rsidP="00C07F63">
      <w:pPr>
        <w:spacing w:after="0" w:line="240" w:lineRule="auto"/>
        <w:jc w:val="both"/>
        <w:rPr>
          <w:rFonts w:eastAsia="Times New Roman" w:cs="Calibri"/>
          <w:color w:val="000000"/>
          <w:lang w:val="en-GB" w:eastAsia="hr-HR"/>
        </w:rPr>
      </w:pPr>
    </w:p>
    <w:p w14:paraId="13A96A11" w14:textId="77777777" w:rsidR="001B7F4F" w:rsidRPr="00BC1ABD" w:rsidRDefault="001B7F4F" w:rsidP="00C07F63">
      <w:pPr>
        <w:spacing w:after="0" w:line="240" w:lineRule="auto"/>
        <w:jc w:val="both"/>
        <w:rPr>
          <w:rFonts w:eastAsia="Times New Roman" w:cs="Calibri"/>
          <w:color w:val="000000"/>
          <w:lang w:val="en-GB" w:eastAsia="hr-HR"/>
        </w:rPr>
      </w:pPr>
    </w:p>
    <w:p w14:paraId="6556BF1A" w14:textId="77777777" w:rsidR="001B7F4F" w:rsidRDefault="001B7F4F" w:rsidP="00C07F63">
      <w:pPr>
        <w:spacing w:after="0" w:line="240" w:lineRule="auto"/>
        <w:jc w:val="both"/>
        <w:rPr>
          <w:rFonts w:eastAsia="Times New Roman" w:cs="Calibri"/>
          <w:color w:val="000000"/>
          <w:lang w:val="en-GB" w:eastAsia="hr-HR"/>
        </w:rPr>
      </w:pPr>
    </w:p>
    <w:p w14:paraId="14935B0B" w14:textId="77777777" w:rsidR="00A203D6" w:rsidRDefault="00A203D6" w:rsidP="00C07F63">
      <w:pPr>
        <w:spacing w:after="0" w:line="240" w:lineRule="auto"/>
        <w:jc w:val="both"/>
        <w:rPr>
          <w:rFonts w:eastAsia="Times New Roman" w:cs="Calibri"/>
          <w:color w:val="000000"/>
          <w:lang w:val="en-GB" w:eastAsia="hr-HR"/>
        </w:rPr>
      </w:pPr>
    </w:p>
    <w:p w14:paraId="051597A6" w14:textId="77777777" w:rsidR="00A203D6" w:rsidRDefault="00A203D6" w:rsidP="00C07F63">
      <w:pPr>
        <w:spacing w:after="0" w:line="240" w:lineRule="auto"/>
        <w:jc w:val="both"/>
        <w:rPr>
          <w:rFonts w:eastAsia="Times New Roman" w:cs="Calibri"/>
          <w:color w:val="000000"/>
          <w:lang w:val="en-GB" w:eastAsia="hr-HR"/>
        </w:rPr>
      </w:pPr>
    </w:p>
    <w:p w14:paraId="7E7082E1" w14:textId="77777777" w:rsidR="00A203D6" w:rsidRDefault="00A203D6" w:rsidP="00C07F63">
      <w:pPr>
        <w:spacing w:after="0" w:line="240" w:lineRule="auto"/>
        <w:jc w:val="both"/>
        <w:rPr>
          <w:rFonts w:eastAsia="Times New Roman" w:cs="Calibri"/>
          <w:color w:val="000000"/>
          <w:lang w:val="en-GB" w:eastAsia="hr-HR"/>
        </w:rPr>
      </w:pPr>
    </w:p>
    <w:p w14:paraId="404B74A8" w14:textId="77777777" w:rsidR="00A203D6" w:rsidRDefault="00A203D6" w:rsidP="00C07F63">
      <w:pPr>
        <w:spacing w:after="0" w:line="240" w:lineRule="auto"/>
        <w:jc w:val="both"/>
        <w:rPr>
          <w:rFonts w:eastAsia="Times New Roman" w:cs="Calibri"/>
          <w:color w:val="000000"/>
          <w:lang w:val="en-GB" w:eastAsia="hr-HR"/>
        </w:rPr>
      </w:pPr>
    </w:p>
    <w:p w14:paraId="45B13392" w14:textId="77777777" w:rsidR="00A203D6" w:rsidRDefault="00A203D6" w:rsidP="00C07F63">
      <w:pPr>
        <w:spacing w:after="0" w:line="240" w:lineRule="auto"/>
        <w:jc w:val="both"/>
        <w:rPr>
          <w:rFonts w:eastAsia="Times New Roman" w:cs="Calibri"/>
          <w:color w:val="000000"/>
          <w:lang w:val="en-GB" w:eastAsia="hr-HR"/>
        </w:rPr>
      </w:pPr>
    </w:p>
    <w:p w14:paraId="0C69397D" w14:textId="77777777" w:rsidR="00A203D6" w:rsidRDefault="00A203D6" w:rsidP="00C07F63">
      <w:pPr>
        <w:spacing w:after="0" w:line="240" w:lineRule="auto"/>
        <w:jc w:val="both"/>
        <w:rPr>
          <w:rFonts w:eastAsia="Times New Roman" w:cs="Calibri"/>
          <w:color w:val="000000"/>
          <w:lang w:val="en-GB" w:eastAsia="hr-HR"/>
        </w:rPr>
      </w:pPr>
    </w:p>
    <w:p w14:paraId="6A439F4B" w14:textId="77777777" w:rsidR="00A203D6" w:rsidRDefault="00A203D6" w:rsidP="00C07F63">
      <w:pPr>
        <w:spacing w:after="0" w:line="240" w:lineRule="auto"/>
        <w:jc w:val="both"/>
        <w:rPr>
          <w:rFonts w:eastAsia="Times New Roman" w:cs="Calibri"/>
          <w:color w:val="000000"/>
          <w:lang w:val="en-GB" w:eastAsia="hr-HR"/>
        </w:rPr>
      </w:pPr>
    </w:p>
    <w:p w14:paraId="2716BF64" w14:textId="77777777" w:rsidR="00A203D6" w:rsidRDefault="00A203D6" w:rsidP="00C07F63">
      <w:pPr>
        <w:spacing w:after="0" w:line="240" w:lineRule="auto"/>
        <w:jc w:val="both"/>
        <w:rPr>
          <w:rFonts w:eastAsia="Times New Roman" w:cs="Calibri"/>
          <w:color w:val="000000"/>
          <w:lang w:val="en-GB" w:eastAsia="hr-HR"/>
        </w:rPr>
      </w:pPr>
    </w:p>
    <w:p w14:paraId="1167288B" w14:textId="77777777" w:rsidR="00A203D6" w:rsidRDefault="00A203D6" w:rsidP="00C07F63">
      <w:pPr>
        <w:spacing w:after="0" w:line="240" w:lineRule="auto"/>
        <w:jc w:val="both"/>
        <w:rPr>
          <w:rFonts w:eastAsia="Times New Roman" w:cs="Calibri"/>
          <w:color w:val="000000"/>
          <w:lang w:val="en-GB" w:eastAsia="hr-HR"/>
        </w:rPr>
      </w:pPr>
    </w:p>
    <w:p w14:paraId="70C9018B" w14:textId="77777777" w:rsidR="00A203D6" w:rsidRDefault="00A203D6" w:rsidP="00C07F63">
      <w:pPr>
        <w:spacing w:after="0" w:line="240" w:lineRule="auto"/>
        <w:jc w:val="both"/>
        <w:rPr>
          <w:rFonts w:eastAsia="Times New Roman" w:cs="Calibri"/>
          <w:color w:val="000000"/>
          <w:lang w:val="en-GB" w:eastAsia="hr-HR"/>
        </w:rPr>
      </w:pPr>
    </w:p>
    <w:p w14:paraId="412C82D2" w14:textId="77777777" w:rsidR="00A203D6" w:rsidRDefault="00A203D6" w:rsidP="00C07F63">
      <w:pPr>
        <w:spacing w:after="0" w:line="240" w:lineRule="auto"/>
        <w:jc w:val="both"/>
        <w:rPr>
          <w:rFonts w:eastAsia="Times New Roman" w:cs="Calibri"/>
          <w:color w:val="000000"/>
          <w:lang w:val="en-GB" w:eastAsia="hr-HR"/>
        </w:rPr>
      </w:pPr>
    </w:p>
    <w:p w14:paraId="05AEE981" w14:textId="77777777" w:rsidR="00A203D6" w:rsidRDefault="00A203D6" w:rsidP="00C07F63">
      <w:pPr>
        <w:spacing w:after="0" w:line="240" w:lineRule="auto"/>
        <w:jc w:val="both"/>
        <w:rPr>
          <w:rFonts w:eastAsia="Times New Roman" w:cs="Calibri"/>
          <w:color w:val="000000"/>
          <w:lang w:val="en-GB" w:eastAsia="hr-HR"/>
        </w:rPr>
      </w:pPr>
    </w:p>
    <w:p w14:paraId="51B3E796" w14:textId="77777777" w:rsidR="00A203D6" w:rsidRDefault="00A203D6" w:rsidP="00C07F63">
      <w:pPr>
        <w:spacing w:after="0" w:line="240" w:lineRule="auto"/>
        <w:jc w:val="both"/>
        <w:rPr>
          <w:rFonts w:eastAsia="Times New Roman" w:cs="Calibri"/>
          <w:color w:val="000000"/>
          <w:lang w:val="en-GB" w:eastAsia="hr-HR"/>
        </w:rPr>
      </w:pPr>
    </w:p>
    <w:p w14:paraId="10D7BCA8" w14:textId="77777777" w:rsidR="00A203D6" w:rsidRPr="00BC1ABD" w:rsidRDefault="00A203D6" w:rsidP="00C07F63">
      <w:pPr>
        <w:spacing w:after="0" w:line="240" w:lineRule="auto"/>
        <w:jc w:val="both"/>
        <w:rPr>
          <w:rFonts w:eastAsia="Times New Roman" w:cs="Calibri"/>
          <w:color w:val="000000"/>
          <w:lang w:val="en-GB" w:eastAsia="hr-HR"/>
        </w:rPr>
      </w:pPr>
    </w:p>
    <w:p w14:paraId="4BEE39BD" w14:textId="77777777" w:rsidR="001B7F4F" w:rsidRPr="00BC1ABD" w:rsidRDefault="001B7F4F" w:rsidP="00C07F63">
      <w:pPr>
        <w:spacing w:after="0" w:line="240" w:lineRule="auto"/>
        <w:jc w:val="both"/>
        <w:rPr>
          <w:rFonts w:eastAsia="Times New Roman" w:cs="Calibri"/>
          <w:color w:val="000000"/>
          <w:lang w:val="en-GB" w:eastAsia="hr-HR"/>
        </w:rPr>
      </w:pPr>
    </w:p>
    <w:p w14:paraId="0D29D3B7" w14:textId="77777777" w:rsidR="001B7F4F" w:rsidRPr="00BC1ABD" w:rsidRDefault="001B7F4F" w:rsidP="00C07F63">
      <w:pPr>
        <w:spacing w:after="0" w:line="240" w:lineRule="auto"/>
        <w:jc w:val="both"/>
        <w:rPr>
          <w:rFonts w:eastAsia="Times New Roman" w:cs="Calibri"/>
          <w:color w:val="000000"/>
          <w:lang w:val="en-GB" w:eastAsia="hr-HR"/>
        </w:rPr>
      </w:pPr>
    </w:p>
    <w:p w14:paraId="65A51C4D" w14:textId="77777777" w:rsidR="001B7F4F" w:rsidRPr="00BC1ABD" w:rsidRDefault="001B7F4F" w:rsidP="00C07F63">
      <w:pPr>
        <w:spacing w:after="0" w:line="240" w:lineRule="auto"/>
        <w:jc w:val="both"/>
        <w:rPr>
          <w:rFonts w:eastAsia="Times New Roman" w:cs="Calibri"/>
          <w:color w:val="000000"/>
          <w:lang w:val="en-GB" w:eastAsia="hr-HR"/>
        </w:rPr>
      </w:pPr>
    </w:p>
    <w:p w14:paraId="0A3BA1B9" w14:textId="77777777" w:rsidR="00B271E6" w:rsidRPr="00BC1ABD" w:rsidRDefault="00B271E6" w:rsidP="00AF1FE5">
      <w:pPr>
        <w:pStyle w:val="Heading1"/>
        <w:numPr>
          <w:ilvl w:val="0"/>
          <w:numId w:val="88"/>
        </w:numPr>
        <w:rPr>
          <w:lang w:val="en-GB"/>
        </w:rPr>
      </w:pPr>
      <w:bookmarkStart w:id="350" w:name="_Toc169259002"/>
      <w:r w:rsidRPr="00BC1ABD">
        <w:rPr>
          <w:lang w:val="en-GB"/>
        </w:rPr>
        <w:t>Regulatory</w:t>
      </w:r>
      <w:r w:rsidR="00E97488" w:rsidRPr="00BC1ABD">
        <w:rPr>
          <w:lang w:val="en-GB"/>
        </w:rPr>
        <w:t xml:space="preserve"> remedies</w:t>
      </w:r>
      <w:bookmarkEnd w:id="350"/>
      <w:r w:rsidRPr="00BC1ABD">
        <w:rPr>
          <w:lang w:val="en-GB"/>
        </w:rPr>
        <w:t xml:space="preserve"> </w:t>
      </w:r>
    </w:p>
    <w:p w14:paraId="2CB7F154" w14:textId="31960F9F" w:rsidR="004A09B1" w:rsidRPr="00BC1ABD" w:rsidRDefault="009E4C33" w:rsidP="009E4C33">
      <w:pPr>
        <w:spacing w:line="259" w:lineRule="auto"/>
        <w:jc w:val="both"/>
        <w:rPr>
          <w:rFonts w:cs="Arial"/>
          <w:sz w:val="24"/>
          <w:szCs w:val="24"/>
          <w:lang w:val="en-GB"/>
        </w:rPr>
      </w:pPr>
      <w:r w:rsidRPr="00BC1ABD">
        <w:rPr>
          <w:rFonts w:cs="Arial"/>
          <w:sz w:val="24"/>
          <w:szCs w:val="24"/>
          <w:lang w:val="en-GB"/>
        </w:rPr>
        <w:t xml:space="preserve">As defined </w:t>
      </w:r>
      <w:r w:rsidR="004A09B1" w:rsidRPr="00BC1ABD">
        <w:rPr>
          <w:rFonts w:cs="Arial"/>
          <w:sz w:val="24"/>
          <w:szCs w:val="24"/>
          <w:lang w:val="en-GB"/>
        </w:rPr>
        <w:t>in previous chapters</w:t>
      </w:r>
      <w:r w:rsidRPr="00BC1ABD">
        <w:rPr>
          <w:rFonts w:cs="Arial"/>
          <w:sz w:val="24"/>
          <w:szCs w:val="24"/>
          <w:lang w:val="en-GB"/>
        </w:rPr>
        <w:t xml:space="preserve">, different infrastructure competition </w:t>
      </w:r>
      <w:r w:rsidR="004A09B1" w:rsidRPr="00BC1ABD">
        <w:rPr>
          <w:rFonts w:cs="Arial"/>
          <w:sz w:val="24"/>
          <w:szCs w:val="24"/>
          <w:lang w:val="en-GB"/>
        </w:rPr>
        <w:t xml:space="preserve">as well as different take-up on retail level </w:t>
      </w:r>
      <w:r w:rsidRPr="00BC1ABD">
        <w:rPr>
          <w:rFonts w:cs="Arial"/>
          <w:sz w:val="24"/>
          <w:szCs w:val="24"/>
          <w:lang w:val="en-GB"/>
        </w:rPr>
        <w:t xml:space="preserve">exists in </w:t>
      </w:r>
      <w:r w:rsidR="00163441" w:rsidRPr="00BC1ABD">
        <w:rPr>
          <w:rFonts w:cs="Arial"/>
          <w:sz w:val="24"/>
          <w:szCs w:val="24"/>
          <w:lang w:val="en-GB"/>
        </w:rPr>
        <w:t>Clusters</w:t>
      </w:r>
      <w:r w:rsidR="00F66322" w:rsidRPr="00BC1ABD">
        <w:rPr>
          <w:rFonts w:cs="Arial"/>
          <w:sz w:val="24"/>
          <w:szCs w:val="24"/>
          <w:lang w:val="en-GB"/>
        </w:rPr>
        <w:t xml:space="preserve"> </w:t>
      </w:r>
      <w:r w:rsidRPr="00BC1ABD">
        <w:rPr>
          <w:rFonts w:cs="Arial"/>
          <w:sz w:val="24"/>
          <w:szCs w:val="24"/>
          <w:lang w:val="en-GB"/>
        </w:rPr>
        <w:t>I, II and III</w:t>
      </w:r>
      <w:r w:rsidR="00FC225E">
        <w:rPr>
          <w:rFonts w:cs="Arial"/>
          <w:sz w:val="24"/>
          <w:szCs w:val="24"/>
          <w:lang w:val="en-GB"/>
        </w:rPr>
        <w:t>.</w:t>
      </w:r>
      <w:r w:rsidR="000D0897">
        <w:rPr>
          <w:rFonts w:cs="Arial"/>
          <w:sz w:val="24"/>
          <w:szCs w:val="24"/>
          <w:lang w:val="en-GB"/>
        </w:rPr>
        <w:t xml:space="preserve"> This</w:t>
      </w:r>
      <w:r w:rsidR="00F66322" w:rsidRPr="00BC1ABD">
        <w:rPr>
          <w:rFonts w:cs="Arial"/>
          <w:sz w:val="24"/>
          <w:szCs w:val="24"/>
          <w:lang w:val="en-GB"/>
        </w:rPr>
        <w:t xml:space="preserve"> results </w:t>
      </w:r>
      <w:r w:rsidR="000D0897">
        <w:rPr>
          <w:rFonts w:cs="Arial"/>
          <w:sz w:val="24"/>
          <w:szCs w:val="24"/>
          <w:lang w:val="en-GB"/>
        </w:rPr>
        <w:t>in</w:t>
      </w:r>
      <w:r w:rsidR="00F66322" w:rsidRPr="00BC1ABD">
        <w:rPr>
          <w:rFonts w:cs="Arial"/>
          <w:sz w:val="24"/>
          <w:szCs w:val="24"/>
          <w:lang w:val="en-GB"/>
        </w:rPr>
        <w:t xml:space="preserve"> different level</w:t>
      </w:r>
      <w:r w:rsidR="000D0897">
        <w:rPr>
          <w:rFonts w:cs="Arial"/>
          <w:sz w:val="24"/>
          <w:szCs w:val="24"/>
          <w:lang w:val="en-GB"/>
        </w:rPr>
        <w:t>s</w:t>
      </w:r>
      <w:r w:rsidR="00F66322" w:rsidRPr="00BC1ABD">
        <w:rPr>
          <w:rFonts w:cs="Arial"/>
          <w:sz w:val="24"/>
          <w:szCs w:val="24"/>
          <w:lang w:val="en-GB"/>
        </w:rPr>
        <w:t xml:space="preserve"> of contestability of those </w:t>
      </w:r>
      <w:r w:rsidR="00163441" w:rsidRPr="00BC1ABD">
        <w:rPr>
          <w:rFonts w:cs="Arial"/>
          <w:sz w:val="24"/>
          <w:szCs w:val="24"/>
          <w:lang w:val="en-GB"/>
        </w:rPr>
        <w:t>Clusters</w:t>
      </w:r>
      <w:r w:rsidRPr="00BC1ABD">
        <w:rPr>
          <w:rFonts w:cs="Arial"/>
          <w:sz w:val="24"/>
          <w:szCs w:val="24"/>
          <w:lang w:val="en-GB"/>
        </w:rPr>
        <w:t xml:space="preserve">. The market of wholesale local and central access was defined as national in scope and Magticom is designated as </w:t>
      </w:r>
      <w:r w:rsidR="005D2E52">
        <w:rPr>
          <w:rFonts w:cs="Arial"/>
          <w:sz w:val="24"/>
          <w:szCs w:val="24"/>
          <w:lang w:val="en-GB"/>
        </w:rPr>
        <w:t xml:space="preserve">the </w:t>
      </w:r>
      <w:r w:rsidRPr="00BC1ABD">
        <w:rPr>
          <w:rFonts w:cs="Arial"/>
          <w:sz w:val="24"/>
          <w:szCs w:val="24"/>
          <w:lang w:val="en-GB"/>
        </w:rPr>
        <w:t xml:space="preserve">operator with SMP. This means that Magticom will </w:t>
      </w:r>
      <w:r w:rsidR="005D2E52">
        <w:rPr>
          <w:rFonts w:cs="Arial"/>
          <w:sz w:val="24"/>
          <w:szCs w:val="24"/>
          <w:lang w:val="en-GB"/>
        </w:rPr>
        <w:t xml:space="preserve">have </w:t>
      </w:r>
      <w:r w:rsidRPr="00BC1ABD">
        <w:rPr>
          <w:rFonts w:cs="Arial"/>
          <w:sz w:val="24"/>
          <w:szCs w:val="24"/>
          <w:lang w:val="en-GB"/>
        </w:rPr>
        <w:t xml:space="preserve">at least one regulatory </w:t>
      </w:r>
      <w:r w:rsidR="004A09B1" w:rsidRPr="00BC1ABD">
        <w:rPr>
          <w:rFonts w:cs="Arial"/>
          <w:sz w:val="24"/>
          <w:szCs w:val="24"/>
          <w:lang w:val="en-GB"/>
        </w:rPr>
        <w:t>obligation</w:t>
      </w:r>
      <w:r w:rsidR="005D2E52">
        <w:rPr>
          <w:rFonts w:cs="Arial"/>
          <w:sz w:val="24"/>
          <w:szCs w:val="24"/>
          <w:lang w:val="en-GB"/>
        </w:rPr>
        <w:t xml:space="preserve"> imposed</w:t>
      </w:r>
      <w:r w:rsidRPr="00BC1ABD">
        <w:rPr>
          <w:rFonts w:cs="Arial"/>
          <w:sz w:val="24"/>
          <w:szCs w:val="24"/>
          <w:lang w:val="en-GB"/>
        </w:rPr>
        <w:t xml:space="preserve"> </w:t>
      </w:r>
      <w:r w:rsidR="004A09B1" w:rsidRPr="00BC1ABD">
        <w:rPr>
          <w:rFonts w:cs="Arial"/>
          <w:sz w:val="24"/>
          <w:szCs w:val="24"/>
          <w:lang w:val="en-GB"/>
        </w:rPr>
        <w:t>f</w:t>
      </w:r>
      <w:r w:rsidRPr="00BC1ABD">
        <w:rPr>
          <w:rFonts w:cs="Arial"/>
          <w:sz w:val="24"/>
          <w:szCs w:val="24"/>
          <w:lang w:val="en-GB"/>
        </w:rPr>
        <w:t>r</w:t>
      </w:r>
      <w:r w:rsidR="004A09B1" w:rsidRPr="00BC1ABD">
        <w:rPr>
          <w:rFonts w:cs="Arial"/>
          <w:sz w:val="24"/>
          <w:szCs w:val="24"/>
          <w:lang w:val="en-GB"/>
        </w:rPr>
        <w:t>o</w:t>
      </w:r>
      <w:r w:rsidRPr="00BC1ABD">
        <w:rPr>
          <w:rFonts w:cs="Arial"/>
          <w:sz w:val="24"/>
          <w:szCs w:val="24"/>
          <w:lang w:val="en-GB"/>
        </w:rPr>
        <w:t xml:space="preserve">m the set of </w:t>
      </w:r>
      <w:r w:rsidR="004A09B1" w:rsidRPr="00BC1ABD">
        <w:rPr>
          <w:rFonts w:cs="Arial"/>
          <w:sz w:val="24"/>
          <w:szCs w:val="24"/>
          <w:lang w:val="en-GB"/>
        </w:rPr>
        <w:t>regulatory obligations (</w:t>
      </w:r>
      <w:r w:rsidRPr="00BC1ABD">
        <w:rPr>
          <w:rFonts w:cs="Arial"/>
          <w:sz w:val="24"/>
          <w:szCs w:val="24"/>
          <w:lang w:val="en-GB"/>
        </w:rPr>
        <w:t>remedies</w:t>
      </w:r>
      <w:r w:rsidR="004A09B1" w:rsidRPr="00BC1ABD">
        <w:rPr>
          <w:rFonts w:cs="Arial"/>
          <w:sz w:val="24"/>
          <w:szCs w:val="24"/>
          <w:lang w:val="en-GB"/>
        </w:rPr>
        <w:t>)</w:t>
      </w:r>
      <w:r w:rsidRPr="00BC1ABD">
        <w:rPr>
          <w:rFonts w:cs="Arial"/>
          <w:sz w:val="24"/>
          <w:szCs w:val="24"/>
          <w:lang w:val="en-GB"/>
        </w:rPr>
        <w:t xml:space="preserve"> defined in the </w:t>
      </w:r>
      <w:r w:rsidR="005D2E52">
        <w:rPr>
          <w:rFonts w:cs="Arial"/>
          <w:sz w:val="24"/>
          <w:szCs w:val="24"/>
          <w:lang w:val="en-GB"/>
        </w:rPr>
        <w:t>Law</w:t>
      </w:r>
      <w:r w:rsidRPr="00BC1ABD">
        <w:rPr>
          <w:rFonts w:cs="Arial"/>
          <w:sz w:val="24"/>
          <w:szCs w:val="24"/>
          <w:lang w:val="en-GB"/>
        </w:rPr>
        <w:t xml:space="preserve">. </w:t>
      </w:r>
    </w:p>
    <w:p w14:paraId="27B1E30E" w14:textId="7DF7F3D6" w:rsidR="009E4C33" w:rsidRPr="00BC1ABD" w:rsidRDefault="005D2E52" w:rsidP="009E4C33">
      <w:pPr>
        <w:spacing w:line="259" w:lineRule="auto"/>
        <w:jc w:val="both"/>
        <w:rPr>
          <w:rFonts w:cs="Arial"/>
          <w:sz w:val="24"/>
          <w:szCs w:val="24"/>
          <w:lang w:val="en-GB"/>
        </w:rPr>
      </w:pPr>
      <w:r>
        <w:rPr>
          <w:rFonts w:cs="Arial"/>
          <w:sz w:val="24"/>
          <w:szCs w:val="24"/>
          <w:lang w:val="en-GB"/>
        </w:rPr>
        <w:t>To respond to</w:t>
      </w:r>
      <w:r w:rsidR="009E4C33" w:rsidRPr="00BC1ABD">
        <w:rPr>
          <w:rFonts w:cs="Arial"/>
          <w:sz w:val="24"/>
          <w:szCs w:val="24"/>
          <w:lang w:val="en-GB"/>
        </w:rPr>
        <w:t xml:space="preserve"> the different </w:t>
      </w:r>
      <w:r>
        <w:rPr>
          <w:rFonts w:cs="Arial"/>
          <w:sz w:val="24"/>
          <w:szCs w:val="24"/>
          <w:lang w:val="en-GB"/>
        </w:rPr>
        <w:t xml:space="preserve">levels of </w:t>
      </w:r>
      <w:r w:rsidR="009E4C33" w:rsidRPr="00BC1ABD">
        <w:rPr>
          <w:rFonts w:cs="Arial"/>
          <w:sz w:val="24"/>
          <w:szCs w:val="24"/>
          <w:lang w:val="en-GB"/>
        </w:rPr>
        <w:t xml:space="preserve">infrastructure competition and </w:t>
      </w:r>
      <w:r>
        <w:rPr>
          <w:rFonts w:cs="Arial"/>
          <w:sz w:val="24"/>
          <w:szCs w:val="24"/>
          <w:lang w:val="en-GB"/>
        </w:rPr>
        <w:t xml:space="preserve">the associated levels of </w:t>
      </w:r>
      <w:r w:rsidR="009E4C33" w:rsidRPr="00BC1ABD">
        <w:rPr>
          <w:rFonts w:cs="Arial"/>
          <w:sz w:val="24"/>
          <w:szCs w:val="24"/>
          <w:lang w:val="en-GB"/>
        </w:rPr>
        <w:t>retail competition in each settlement</w:t>
      </w:r>
      <w:r w:rsidR="004A09B1" w:rsidRPr="00BC1ABD">
        <w:rPr>
          <w:rFonts w:cs="Arial"/>
          <w:sz w:val="24"/>
          <w:szCs w:val="24"/>
          <w:lang w:val="en-GB"/>
        </w:rPr>
        <w:t xml:space="preserve"> (as </w:t>
      </w:r>
      <w:r>
        <w:rPr>
          <w:rFonts w:cs="Arial"/>
          <w:sz w:val="24"/>
          <w:szCs w:val="24"/>
          <w:lang w:val="en-GB"/>
        </w:rPr>
        <w:t>described</w:t>
      </w:r>
      <w:r w:rsidR="004A09B1" w:rsidRPr="00BC1ABD">
        <w:rPr>
          <w:rFonts w:cs="Arial"/>
          <w:sz w:val="24"/>
          <w:szCs w:val="24"/>
          <w:lang w:val="en-GB"/>
        </w:rPr>
        <w:t xml:space="preserve"> in chapter </w:t>
      </w:r>
      <w:r w:rsidR="00B02CCB">
        <w:rPr>
          <w:rFonts w:cs="Arial"/>
          <w:sz w:val="24"/>
          <w:szCs w:val="24"/>
          <w:lang w:val="en-GB"/>
        </w:rPr>
        <w:t>6</w:t>
      </w:r>
      <w:r w:rsidR="004A09B1" w:rsidRPr="00BC1ABD">
        <w:rPr>
          <w:rFonts w:cs="Arial"/>
          <w:sz w:val="24"/>
          <w:szCs w:val="24"/>
          <w:lang w:val="en-GB"/>
        </w:rPr>
        <w:t xml:space="preserve">) </w:t>
      </w:r>
      <w:r w:rsidR="009E4C33" w:rsidRPr="00BC1ABD">
        <w:rPr>
          <w:rFonts w:cs="Arial"/>
          <w:sz w:val="24"/>
          <w:szCs w:val="24"/>
          <w:lang w:val="en-GB"/>
        </w:rPr>
        <w:t xml:space="preserve">the </w:t>
      </w:r>
      <w:r>
        <w:rPr>
          <w:rFonts w:cs="Arial"/>
          <w:sz w:val="24"/>
          <w:szCs w:val="24"/>
          <w:lang w:val="en-GB"/>
        </w:rPr>
        <w:t xml:space="preserve">proposed </w:t>
      </w:r>
      <w:r w:rsidR="009E4C33" w:rsidRPr="00BC1ABD">
        <w:rPr>
          <w:rFonts w:cs="Arial"/>
          <w:sz w:val="24"/>
          <w:szCs w:val="24"/>
          <w:lang w:val="en-GB"/>
        </w:rPr>
        <w:t xml:space="preserve">remedies will </w:t>
      </w:r>
      <w:r>
        <w:rPr>
          <w:rFonts w:cs="Arial"/>
          <w:sz w:val="24"/>
          <w:szCs w:val="24"/>
          <w:lang w:val="en-GB"/>
        </w:rPr>
        <w:t>be chosen based</w:t>
      </w:r>
      <w:r w:rsidRPr="00BC1ABD">
        <w:rPr>
          <w:rFonts w:cs="Arial"/>
          <w:sz w:val="24"/>
          <w:szCs w:val="24"/>
          <w:lang w:val="en-GB"/>
        </w:rPr>
        <w:t xml:space="preserve"> </w:t>
      </w:r>
      <w:r w:rsidR="004A09B1" w:rsidRPr="00BC1ABD">
        <w:rPr>
          <w:rFonts w:cs="Arial"/>
          <w:sz w:val="24"/>
          <w:szCs w:val="24"/>
          <w:lang w:val="en-GB"/>
        </w:rPr>
        <w:t>on the competition problem</w:t>
      </w:r>
      <w:r>
        <w:rPr>
          <w:rFonts w:cs="Arial"/>
          <w:sz w:val="24"/>
          <w:szCs w:val="24"/>
          <w:lang w:val="en-GB"/>
        </w:rPr>
        <w:t>s identified together with the potential for misuse of SMP, as described in Chapter 7.</w:t>
      </w:r>
      <w:r w:rsidR="009E4C33" w:rsidRPr="00BC1ABD">
        <w:rPr>
          <w:rFonts w:cs="Arial"/>
          <w:sz w:val="24"/>
          <w:szCs w:val="24"/>
          <w:lang w:val="en-GB"/>
        </w:rPr>
        <w:t xml:space="preserve"> </w:t>
      </w:r>
    </w:p>
    <w:p w14:paraId="6E606B1F" w14:textId="0284483C" w:rsidR="009E4C33" w:rsidRPr="00BC1ABD" w:rsidRDefault="004A09B1" w:rsidP="009E4C33">
      <w:pPr>
        <w:spacing w:line="259" w:lineRule="auto"/>
        <w:jc w:val="both"/>
        <w:rPr>
          <w:rFonts w:cs="Arial"/>
          <w:sz w:val="24"/>
          <w:szCs w:val="24"/>
          <w:lang w:val="en-GB"/>
        </w:rPr>
      </w:pPr>
      <w:r w:rsidRPr="00BC1ABD">
        <w:rPr>
          <w:rFonts w:cs="Arial"/>
          <w:sz w:val="24"/>
          <w:szCs w:val="24"/>
          <w:lang w:val="en-GB"/>
        </w:rPr>
        <w:t>A</w:t>
      </w:r>
      <w:r w:rsidR="005D2E52">
        <w:rPr>
          <w:rFonts w:cs="Arial"/>
          <w:sz w:val="24"/>
          <w:szCs w:val="24"/>
          <w:lang w:val="en-GB"/>
        </w:rPr>
        <w:t>t present, t</w:t>
      </w:r>
      <w:r w:rsidRPr="00BC1ABD">
        <w:rPr>
          <w:rFonts w:cs="Arial"/>
          <w:sz w:val="24"/>
          <w:szCs w:val="24"/>
          <w:lang w:val="en-GB"/>
        </w:rPr>
        <w:t xml:space="preserve">here are no wholesale access services based on </w:t>
      </w:r>
      <w:r w:rsidR="00F026B4">
        <w:rPr>
          <w:rFonts w:cs="Arial"/>
          <w:sz w:val="24"/>
          <w:szCs w:val="24"/>
          <w:lang w:val="en-GB"/>
        </w:rPr>
        <w:t>FTTx</w:t>
      </w:r>
      <w:r w:rsidRPr="00BC1ABD">
        <w:rPr>
          <w:rFonts w:cs="Arial"/>
          <w:sz w:val="24"/>
          <w:szCs w:val="24"/>
          <w:lang w:val="en-GB"/>
        </w:rPr>
        <w:t xml:space="preserve"> offered on the market</w:t>
      </w:r>
      <w:r w:rsidR="00DF0600">
        <w:rPr>
          <w:rFonts w:cs="Arial"/>
          <w:sz w:val="24"/>
          <w:szCs w:val="24"/>
          <w:lang w:val="en-GB"/>
        </w:rPr>
        <w:t>.</w:t>
      </w:r>
      <w:r w:rsidR="00195B2F">
        <w:rPr>
          <w:rFonts w:cs="Arial"/>
          <w:sz w:val="24"/>
          <w:szCs w:val="24"/>
          <w:lang w:val="en-GB"/>
        </w:rPr>
        <w:t xml:space="preserve"> </w:t>
      </w:r>
      <w:r w:rsidR="00DF0600">
        <w:rPr>
          <w:rFonts w:cs="Arial"/>
          <w:sz w:val="24"/>
          <w:szCs w:val="24"/>
          <w:lang w:val="en-GB"/>
        </w:rPr>
        <w:t>This</w:t>
      </w:r>
      <w:r w:rsidR="00C4365D" w:rsidRPr="00BC1ABD">
        <w:rPr>
          <w:rFonts w:cs="Arial"/>
          <w:sz w:val="24"/>
          <w:szCs w:val="24"/>
          <w:lang w:val="en-GB"/>
        </w:rPr>
        <w:t xml:space="preserve"> </w:t>
      </w:r>
      <w:r w:rsidRPr="00BC1ABD">
        <w:rPr>
          <w:rFonts w:cs="Arial"/>
          <w:sz w:val="24"/>
          <w:szCs w:val="24"/>
          <w:lang w:val="en-GB"/>
        </w:rPr>
        <w:t>indicate</w:t>
      </w:r>
      <w:r w:rsidR="00DF0600">
        <w:rPr>
          <w:rFonts w:cs="Arial"/>
          <w:sz w:val="24"/>
          <w:szCs w:val="24"/>
          <w:lang w:val="en-GB"/>
        </w:rPr>
        <w:t>s</w:t>
      </w:r>
      <w:r w:rsidRPr="00BC1ABD">
        <w:rPr>
          <w:rFonts w:cs="Arial"/>
          <w:sz w:val="24"/>
          <w:szCs w:val="24"/>
          <w:lang w:val="en-GB"/>
        </w:rPr>
        <w:t xml:space="preserve"> that there</w:t>
      </w:r>
      <w:r w:rsidR="00C4365D" w:rsidRPr="00BC1ABD">
        <w:rPr>
          <w:rFonts w:cs="Arial"/>
          <w:sz w:val="24"/>
          <w:szCs w:val="24"/>
          <w:lang w:val="en-GB"/>
        </w:rPr>
        <w:t xml:space="preserve"> are</w:t>
      </w:r>
      <w:r w:rsidRPr="00BC1ABD">
        <w:rPr>
          <w:rFonts w:cs="Arial"/>
          <w:sz w:val="24"/>
          <w:szCs w:val="24"/>
          <w:lang w:val="en-GB"/>
        </w:rPr>
        <w:t xml:space="preserve"> bottlenecks </w:t>
      </w:r>
      <w:r w:rsidR="00DF0600">
        <w:rPr>
          <w:rFonts w:cs="Arial"/>
          <w:sz w:val="24"/>
          <w:szCs w:val="24"/>
          <w:lang w:val="en-GB"/>
        </w:rPr>
        <w:t>(potentially unmet demand) in</w:t>
      </w:r>
      <w:r w:rsidRPr="00BC1ABD">
        <w:rPr>
          <w:rFonts w:cs="Arial"/>
          <w:sz w:val="24"/>
          <w:szCs w:val="24"/>
          <w:lang w:val="en-GB"/>
        </w:rPr>
        <w:t xml:space="preserve"> the market in terms of the provision of those services. </w:t>
      </w:r>
      <w:r w:rsidR="009E4C33" w:rsidRPr="00BC1ABD">
        <w:rPr>
          <w:rFonts w:cs="Arial"/>
          <w:sz w:val="24"/>
          <w:szCs w:val="24"/>
          <w:lang w:val="en-GB"/>
        </w:rPr>
        <w:t>ComCom</w:t>
      </w:r>
      <w:r w:rsidRPr="00BC1ABD">
        <w:rPr>
          <w:rFonts w:cs="Arial"/>
          <w:sz w:val="24"/>
          <w:szCs w:val="24"/>
          <w:lang w:val="en-GB"/>
        </w:rPr>
        <w:t xml:space="preserve">’s </w:t>
      </w:r>
      <w:r w:rsidR="00DF0600">
        <w:rPr>
          <w:rFonts w:cs="Arial"/>
          <w:sz w:val="24"/>
          <w:szCs w:val="24"/>
          <w:lang w:val="en-GB"/>
        </w:rPr>
        <w:t>objective</w:t>
      </w:r>
      <w:r w:rsidRPr="00BC1ABD">
        <w:rPr>
          <w:rFonts w:cs="Arial"/>
          <w:sz w:val="24"/>
          <w:szCs w:val="24"/>
          <w:lang w:val="en-GB"/>
        </w:rPr>
        <w:t xml:space="preserve"> is to </w:t>
      </w:r>
      <w:r w:rsidR="00DF0600">
        <w:rPr>
          <w:rFonts w:cs="Arial"/>
          <w:sz w:val="24"/>
          <w:szCs w:val="24"/>
          <w:lang w:val="en-GB"/>
        </w:rPr>
        <w:t>impose</w:t>
      </w:r>
      <w:r w:rsidR="00195B2F">
        <w:rPr>
          <w:rFonts w:cs="Arial"/>
          <w:sz w:val="24"/>
          <w:szCs w:val="24"/>
          <w:lang w:val="en-GB"/>
        </w:rPr>
        <w:t xml:space="preserve"> </w:t>
      </w:r>
      <w:r w:rsidRPr="00BC1ABD">
        <w:rPr>
          <w:rFonts w:cs="Arial"/>
          <w:sz w:val="24"/>
          <w:szCs w:val="24"/>
          <w:lang w:val="en-GB"/>
        </w:rPr>
        <w:t>regulation</w:t>
      </w:r>
      <w:r w:rsidR="00DF0600">
        <w:rPr>
          <w:rFonts w:cs="Arial"/>
          <w:sz w:val="24"/>
          <w:szCs w:val="24"/>
          <w:lang w:val="en-GB"/>
        </w:rPr>
        <w:t>s</w:t>
      </w:r>
      <w:r w:rsidRPr="00BC1ABD">
        <w:rPr>
          <w:rFonts w:cs="Arial"/>
          <w:sz w:val="24"/>
          <w:szCs w:val="24"/>
          <w:lang w:val="en-GB"/>
        </w:rPr>
        <w:t xml:space="preserve"> which will minimi</w:t>
      </w:r>
      <w:r w:rsidR="002E7EAF">
        <w:rPr>
          <w:rFonts w:cs="Arial"/>
          <w:sz w:val="24"/>
          <w:szCs w:val="24"/>
          <w:lang w:val="en-GB"/>
        </w:rPr>
        <w:t>s</w:t>
      </w:r>
      <w:r w:rsidRPr="00BC1ABD">
        <w:rPr>
          <w:rFonts w:cs="Arial"/>
          <w:sz w:val="24"/>
          <w:szCs w:val="24"/>
          <w:lang w:val="en-GB"/>
        </w:rPr>
        <w:t xml:space="preserve">e the possibility of </w:t>
      </w:r>
      <w:r w:rsidR="00DF0600">
        <w:rPr>
          <w:rFonts w:cs="Arial"/>
          <w:sz w:val="24"/>
          <w:szCs w:val="24"/>
          <w:lang w:val="en-GB"/>
        </w:rPr>
        <w:t xml:space="preserve">the </w:t>
      </w:r>
      <w:r w:rsidRPr="00BC1ABD">
        <w:rPr>
          <w:rFonts w:cs="Arial"/>
          <w:sz w:val="24"/>
          <w:szCs w:val="24"/>
          <w:lang w:val="en-GB"/>
        </w:rPr>
        <w:t>SMP</w:t>
      </w:r>
      <w:r w:rsidR="00DF0600">
        <w:rPr>
          <w:rFonts w:cs="Arial"/>
          <w:sz w:val="24"/>
          <w:szCs w:val="24"/>
          <w:lang w:val="en-GB"/>
        </w:rPr>
        <w:t xml:space="preserve"> operator misusing its</w:t>
      </w:r>
      <w:r w:rsidRPr="00BC1ABD">
        <w:rPr>
          <w:rFonts w:cs="Arial"/>
          <w:sz w:val="24"/>
          <w:szCs w:val="24"/>
          <w:lang w:val="en-GB"/>
        </w:rPr>
        <w:t xml:space="preserve"> </w:t>
      </w:r>
      <w:r w:rsidR="00320861">
        <w:rPr>
          <w:rFonts w:cs="Arial"/>
          <w:sz w:val="24"/>
          <w:szCs w:val="24"/>
          <w:lang w:val="en-GB"/>
        </w:rPr>
        <w:t>power</w:t>
      </w:r>
      <w:r w:rsidR="00DF0600">
        <w:rPr>
          <w:rFonts w:cs="Arial"/>
          <w:sz w:val="24"/>
          <w:szCs w:val="24"/>
          <w:lang w:val="en-GB"/>
        </w:rPr>
        <w:t xml:space="preserve">. By applying </w:t>
      </w:r>
      <w:r w:rsidR="00DF0600" w:rsidRPr="00C819C3">
        <w:rPr>
          <w:rFonts w:cs="Arial"/>
          <w:i/>
          <w:iCs/>
          <w:sz w:val="24"/>
          <w:szCs w:val="24"/>
          <w:lang w:val="en-GB"/>
        </w:rPr>
        <w:t>ex-ante</w:t>
      </w:r>
      <w:r w:rsidR="00DF0600">
        <w:rPr>
          <w:rFonts w:cs="Arial"/>
          <w:sz w:val="24"/>
          <w:szCs w:val="24"/>
          <w:lang w:val="en-GB"/>
        </w:rPr>
        <w:t xml:space="preserve"> regulations,</w:t>
      </w:r>
      <w:r w:rsidR="00195B2F">
        <w:rPr>
          <w:rFonts w:cs="Arial"/>
          <w:sz w:val="24"/>
          <w:szCs w:val="24"/>
          <w:lang w:val="en-GB"/>
        </w:rPr>
        <w:t xml:space="preserve"> </w:t>
      </w:r>
      <w:r w:rsidR="00EB764D">
        <w:rPr>
          <w:rFonts w:cs="Arial"/>
          <w:sz w:val="24"/>
          <w:szCs w:val="24"/>
          <w:lang w:val="en-GB"/>
        </w:rPr>
        <w:t>the market should benefit from greater competition at the retail level, bringing more investment and innovation for the benefit of</w:t>
      </w:r>
      <w:r w:rsidR="00195B2F">
        <w:rPr>
          <w:rFonts w:cs="Arial"/>
          <w:sz w:val="24"/>
          <w:szCs w:val="24"/>
          <w:lang w:val="en-GB"/>
        </w:rPr>
        <w:t xml:space="preserve"> </w:t>
      </w:r>
      <w:r w:rsidRPr="00BC1ABD">
        <w:rPr>
          <w:rFonts w:cs="Arial"/>
          <w:sz w:val="24"/>
          <w:szCs w:val="24"/>
          <w:lang w:val="en-GB"/>
        </w:rPr>
        <w:t>end</w:t>
      </w:r>
      <w:r w:rsidR="00EB764D">
        <w:rPr>
          <w:rFonts w:cs="Arial"/>
          <w:sz w:val="24"/>
          <w:szCs w:val="24"/>
          <w:lang w:val="en-GB"/>
        </w:rPr>
        <w:t>-</w:t>
      </w:r>
      <w:r w:rsidR="00320861">
        <w:rPr>
          <w:rFonts w:cs="Arial"/>
          <w:sz w:val="24"/>
          <w:szCs w:val="24"/>
          <w:lang w:val="en-GB"/>
        </w:rPr>
        <w:t>u</w:t>
      </w:r>
      <w:r w:rsidRPr="00BC1ABD">
        <w:rPr>
          <w:rFonts w:cs="Arial"/>
          <w:sz w:val="24"/>
          <w:szCs w:val="24"/>
          <w:lang w:val="en-GB"/>
        </w:rPr>
        <w:t>sers</w:t>
      </w:r>
      <w:r w:rsidR="009E4C33" w:rsidRPr="00BC1ABD">
        <w:rPr>
          <w:rFonts w:cs="Arial"/>
          <w:sz w:val="24"/>
          <w:szCs w:val="24"/>
          <w:lang w:val="en-GB"/>
        </w:rPr>
        <w:t>.</w:t>
      </w:r>
      <w:r w:rsidRPr="00BC1ABD">
        <w:rPr>
          <w:rFonts w:cs="Arial"/>
          <w:sz w:val="24"/>
          <w:szCs w:val="24"/>
          <w:lang w:val="en-GB"/>
        </w:rPr>
        <w:t xml:space="preserve"> </w:t>
      </w:r>
      <w:r w:rsidR="00EB764D">
        <w:rPr>
          <w:rFonts w:cs="Arial"/>
          <w:sz w:val="24"/>
          <w:szCs w:val="24"/>
          <w:lang w:val="en-GB"/>
        </w:rPr>
        <w:t xml:space="preserve">This justifies </w:t>
      </w:r>
      <w:r w:rsidRPr="00BC1ABD">
        <w:rPr>
          <w:rFonts w:cs="Arial"/>
          <w:sz w:val="24"/>
          <w:szCs w:val="24"/>
          <w:lang w:val="en-GB"/>
        </w:rPr>
        <w:t xml:space="preserve">the </w:t>
      </w:r>
      <w:r w:rsidR="00EB764D">
        <w:rPr>
          <w:rFonts w:cs="Arial"/>
          <w:sz w:val="24"/>
          <w:szCs w:val="24"/>
          <w:lang w:val="en-GB"/>
        </w:rPr>
        <w:t xml:space="preserve">choice of </w:t>
      </w:r>
      <w:r w:rsidRPr="00BC1ABD">
        <w:rPr>
          <w:rFonts w:cs="Arial"/>
          <w:sz w:val="24"/>
          <w:szCs w:val="24"/>
          <w:lang w:val="en-GB"/>
        </w:rPr>
        <w:t xml:space="preserve">regulatory remedies </w:t>
      </w:r>
      <w:r w:rsidR="00EB764D">
        <w:rPr>
          <w:rFonts w:cs="Arial"/>
          <w:sz w:val="24"/>
          <w:szCs w:val="24"/>
          <w:lang w:val="en-GB"/>
        </w:rPr>
        <w:t>that vary</w:t>
      </w:r>
      <w:r w:rsidRPr="00BC1ABD">
        <w:rPr>
          <w:rFonts w:cs="Arial"/>
          <w:sz w:val="24"/>
          <w:szCs w:val="24"/>
          <w:lang w:val="en-GB"/>
        </w:rPr>
        <w:t xml:space="preserve"> </w:t>
      </w:r>
      <w:r w:rsidR="00EB764D">
        <w:rPr>
          <w:rFonts w:cs="Arial"/>
          <w:sz w:val="24"/>
          <w:szCs w:val="24"/>
          <w:lang w:val="en-GB"/>
        </w:rPr>
        <w:t xml:space="preserve">between </w:t>
      </w:r>
      <w:r w:rsidRPr="00BC1ABD">
        <w:rPr>
          <w:rFonts w:cs="Arial"/>
          <w:sz w:val="24"/>
          <w:szCs w:val="24"/>
          <w:lang w:val="en-GB"/>
        </w:rPr>
        <w:t xml:space="preserve">different </w:t>
      </w:r>
      <w:r w:rsidR="00163441" w:rsidRPr="00BC1ABD">
        <w:rPr>
          <w:rFonts w:cs="Arial"/>
          <w:sz w:val="24"/>
          <w:szCs w:val="24"/>
          <w:lang w:val="en-GB"/>
        </w:rPr>
        <w:t>Clusters</w:t>
      </w:r>
      <w:r w:rsidR="006966D8" w:rsidRPr="00BC1ABD">
        <w:rPr>
          <w:rFonts w:cs="Arial"/>
          <w:sz w:val="24"/>
          <w:szCs w:val="24"/>
          <w:lang w:val="en-GB"/>
        </w:rPr>
        <w:t xml:space="preserve"> </w:t>
      </w:r>
      <w:r w:rsidRPr="00BC1ABD">
        <w:rPr>
          <w:rFonts w:cs="Arial"/>
          <w:sz w:val="24"/>
          <w:szCs w:val="24"/>
          <w:lang w:val="en-GB"/>
        </w:rPr>
        <w:t xml:space="preserve">taking into account </w:t>
      </w:r>
      <w:r w:rsidR="00EB764D">
        <w:rPr>
          <w:rFonts w:cs="Arial"/>
          <w:sz w:val="24"/>
          <w:szCs w:val="24"/>
          <w:lang w:val="en-GB"/>
        </w:rPr>
        <w:t xml:space="preserve">the </w:t>
      </w:r>
      <w:r w:rsidRPr="00BC1ABD">
        <w:rPr>
          <w:rFonts w:cs="Arial"/>
          <w:sz w:val="24"/>
          <w:szCs w:val="24"/>
          <w:lang w:val="en-GB"/>
        </w:rPr>
        <w:t xml:space="preserve">different level of </w:t>
      </w:r>
      <w:r w:rsidR="00C819C3">
        <w:rPr>
          <w:rFonts w:cs="Arial"/>
          <w:sz w:val="24"/>
          <w:szCs w:val="24"/>
          <w:lang w:val="en-GB"/>
        </w:rPr>
        <w:t xml:space="preserve">infrastructure </w:t>
      </w:r>
      <w:r w:rsidRPr="00BC1ABD">
        <w:rPr>
          <w:rFonts w:cs="Arial"/>
          <w:sz w:val="24"/>
          <w:szCs w:val="24"/>
          <w:lang w:val="en-GB"/>
        </w:rPr>
        <w:t xml:space="preserve">competition in those </w:t>
      </w:r>
      <w:r w:rsidR="00163441" w:rsidRPr="00BC1ABD">
        <w:rPr>
          <w:rFonts w:cs="Arial"/>
          <w:sz w:val="24"/>
          <w:szCs w:val="24"/>
          <w:lang w:val="en-GB"/>
        </w:rPr>
        <w:t>Clusters</w:t>
      </w:r>
      <w:r w:rsidRPr="00BC1ABD">
        <w:rPr>
          <w:rFonts w:cs="Arial"/>
          <w:sz w:val="24"/>
          <w:szCs w:val="24"/>
          <w:lang w:val="en-GB"/>
        </w:rPr>
        <w:t xml:space="preserve">. </w:t>
      </w:r>
      <w:r w:rsidR="00EB764D">
        <w:rPr>
          <w:rFonts w:cs="Arial"/>
          <w:sz w:val="24"/>
          <w:szCs w:val="24"/>
          <w:lang w:val="en-GB"/>
        </w:rPr>
        <w:t>These regulatory</w:t>
      </w:r>
      <w:r w:rsidRPr="00BC1ABD">
        <w:rPr>
          <w:rFonts w:cs="Arial"/>
          <w:sz w:val="24"/>
          <w:szCs w:val="24"/>
          <w:lang w:val="en-GB"/>
        </w:rPr>
        <w:t xml:space="preserve"> obligations should be proportionate to the </w:t>
      </w:r>
      <w:r w:rsidR="00F66322" w:rsidRPr="00BC1ABD">
        <w:rPr>
          <w:rFonts w:cs="Arial"/>
          <w:sz w:val="24"/>
          <w:szCs w:val="24"/>
          <w:lang w:val="en-GB"/>
        </w:rPr>
        <w:t>risks of misuse</w:t>
      </w:r>
      <w:r w:rsidR="00EB764D">
        <w:rPr>
          <w:rFonts w:cs="Arial"/>
          <w:sz w:val="24"/>
          <w:szCs w:val="24"/>
          <w:lang w:val="en-GB"/>
        </w:rPr>
        <w:t xml:space="preserve"> of </w:t>
      </w:r>
      <w:r w:rsidR="00320861">
        <w:rPr>
          <w:rFonts w:cs="Arial"/>
          <w:sz w:val="24"/>
          <w:szCs w:val="24"/>
          <w:lang w:val="en-GB"/>
        </w:rPr>
        <w:t xml:space="preserve">an operator’s </w:t>
      </w:r>
      <w:r w:rsidR="00EB764D">
        <w:rPr>
          <w:rFonts w:cs="Arial"/>
          <w:sz w:val="24"/>
          <w:szCs w:val="24"/>
          <w:lang w:val="en-GB"/>
        </w:rPr>
        <w:t>SMP</w:t>
      </w:r>
      <w:r w:rsidR="00F66322" w:rsidRPr="00BC1ABD">
        <w:rPr>
          <w:rFonts w:cs="Arial"/>
          <w:sz w:val="24"/>
          <w:szCs w:val="24"/>
          <w:lang w:val="en-GB"/>
        </w:rPr>
        <w:t xml:space="preserve">, in line with the principle of </w:t>
      </w:r>
      <w:r w:rsidR="00E46B8B">
        <w:rPr>
          <w:rFonts w:cs="Arial"/>
          <w:sz w:val="24"/>
          <w:szCs w:val="24"/>
          <w:lang w:val="en-GB"/>
        </w:rPr>
        <w:t>proportionality</w:t>
      </w:r>
      <w:r w:rsidR="00F66322" w:rsidRPr="00BC1ABD">
        <w:rPr>
          <w:rFonts w:cs="Arial"/>
          <w:sz w:val="24"/>
          <w:szCs w:val="24"/>
          <w:lang w:val="en-GB"/>
        </w:rPr>
        <w:t xml:space="preserve"> set out in </w:t>
      </w:r>
      <w:r w:rsidR="00F66322" w:rsidRPr="00852C30">
        <w:rPr>
          <w:rFonts w:cs="Arial"/>
          <w:sz w:val="24"/>
          <w:szCs w:val="24"/>
          <w:highlight w:val="green"/>
          <w:lang w:val="en-GB"/>
        </w:rPr>
        <w:t>Art.</w:t>
      </w:r>
      <w:r w:rsidR="00E46B8B" w:rsidRPr="00852C30">
        <w:rPr>
          <w:rFonts w:cs="Arial"/>
          <w:sz w:val="24"/>
          <w:szCs w:val="24"/>
          <w:highlight w:val="green"/>
          <w:lang w:val="en-GB"/>
        </w:rPr>
        <w:t>1</w:t>
      </w:r>
      <w:r w:rsidR="001C790B" w:rsidRPr="00852C30">
        <w:rPr>
          <w:rFonts w:cs="Arial"/>
          <w:sz w:val="24"/>
          <w:szCs w:val="24"/>
          <w:highlight w:val="green"/>
          <w:lang w:val="en-GB"/>
        </w:rPr>
        <w:t>7</w:t>
      </w:r>
      <w:r w:rsidR="00E46B8B" w:rsidRPr="00852C30">
        <w:rPr>
          <w:rFonts w:cs="Arial"/>
          <w:sz w:val="24"/>
          <w:szCs w:val="24"/>
          <w:highlight w:val="green"/>
          <w:lang w:val="en-GB"/>
        </w:rPr>
        <w:t>(</w:t>
      </w:r>
      <w:r w:rsidR="001C790B" w:rsidRPr="00852C30">
        <w:rPr>
          <w:rFonts w:cs="Arial"/>
          <w:sz w:val="24"/>
          <w:szCs w:val="24"/>
          <w:highlight w:val="green"/>
          <w:lang w:val="en-GB"/>
        </w:rPr>
        <w:t>1</w:t>
      </w:r>
      <w:r w:rsidR="00E46B8B" w:rsidRPr="00852C30">
        <w:rPr>
          <w:rFonts w:cs="Arial"/>
          <w:sz w:val="24"/>
          <w:szCs w:val="24"/>
          <w:highlight w:val="green"/>
          <w:lang w:val="en-GB"/>
        </w:rPr>
        <w:t>)</w:t>
      </w:r>
      <w:r w:rsidR="00F66322" w:rsidRPr="00852C30">
        <w:rPr>
          <w:rFonts w:cs="Arial"/>
          <w:sz w:val="24"/>
          <w:szCs w:val="24"/>
          <w:highlight w:val="green"/>
          <w:lang w:val="en-GB"/>
        </w:rPr>
        <w:t xml:space="preserve"> </w:t>
      </w:r>
      <w:r w:rsidR="00E46B8B" w:rsidRPr="00852C30">
        <w:rPr>
          <w:rFonts w:cs="Arial"/>
          <w:sz w:val="24"/>
          <w:szCs w:val="24"/>
          <w:highlight w:val="green"/>
          <w:lang w:val="en-GB"/>
        </w:rPr>
        <w:t>c</w:t>
      </w:r>
      <w:r w:rsidR="00F66322" w:rsidRPr="00852C30">
        <w:rPr>
          <w:rFonts w:cs="Arial"/>
          <w:sz w:val="24"/>
          <w:szCs w:val="24"/>
          <w:highlight w:val="green"/>
          <w:lang w:val="en-GB"/>
        </w:rPr>
        <w:t xml:space="preserve">) </w:t>
      </w:r>
      <w:r w:rsidR="00554187" w:rsidRPr="00852C30">
        <w:rPr>
          <w:rFonts w:cs="Arial"/>
          <w:sz w:val="24"/>
          <w:szCs w:val="24"/>
          <w:highlight w:val="green"/>
          <w:lang w:val="en-GB"/>
        </w:rPr>
        <w:t xml:space="preserve">of </w:t>
      </w:r>
      <w:r w:rsidR="00E46B8B" w:rsidRPr="00852C30">
        <w:rPr>
          <w:rFonts w:cs="Arial"/>
          <w:sz w:val="24"/>
          <w:szCs w:val="24"/>
          <w:highlight w:val="green"/>
          <w:lang w:val="en-GB"/>
        </w:rPr>
        <w:t>the revised</w:t>
      </w:r>
      <w:r w:rsidR="00E46B8B">
        <w:rPr>
          <w:rFonts w:cs="Arial"/>
          <w:sz w:val="24"/>
          <w:szCs w:val="24"/>
          <w:lang w:val="en-GB"/>
        </w:rPr>
        <w:t xml:space="preserve"> </w:t>
      </w:r>
      <w:r w:rsidR="00F66322" w:rsidRPr="00BC1ABD">
        <w:rPr>
          <w:rFonts w:cs="Arial"/>
          <w:sz w:val="24"/>
          <w:szCs w:val="24"/>
          <w:lang w:val="en-GB"/>
        </w:rPr>
        <w:t>Methodological rule</w:t>
      </w:r>
      <w:r w:rsidR="00554187" w:rsidRPr="00BC1ABD">
        <w:rPr>
          <w:rFonts w:cs="Arial"/>
          <w:sz w:val="24"/>
          <w:szCs w:val="24"/>
          <w:lang w:val="en-GB"/>
        </w:rPr>
        <w:t>s</w:t>
      </w:r>
      <w:r w:rsidR="00EB764D">
        <w:rPr>
          <w:rFonts w:cs="Arial"/>
          <w:sz w:val="24"/>
          <w:szCs w:val="24"/>
          <w:lang w:val="en-GB"/>
        </w:rPr>
        <w:t>.</w:t>
      </w:r>
    </w:p>
    <w:p w14:paraId="03FA78B4" w14:textId="57803409" w:rsidR="009E4C33" w:rsidRPr="00BC1ABD" w:rsidRDefault="006966D8" w:rsidP="009E4C33">
      <w:pPr>
        <w:spacing w:line="259" w:lineRule="auto"/>
        <w:jc w:val="both"/>
        <w:rPr>
          <w:rFonts w:cs="Arial"/>
          <w:sz w:val="24"/>
          <w:szCs w:val="24"/>
          <w:lang w:val="en-GB"/>
        </w:rPr>
      </w:pPr>
      <w:r w:rsidRPr="00BC1ABD">
        <w:rPr>
          <w:rFonts w:cs="Arial"/>
          <w:sz w:val="24"/>
          <w:szCs w:val="24"/>
          <w:lang w:val="en-GB"/>
        </w:rPr>
        <w:t>I</w:t>
      </w:r>
      <w:r w:rsidR="009E4C33" w:rsidRPr="00BC1ABD">
        <w:rPr>
          <w:rFonts w:cs="Arial"/>
          <w:sz w:val="24"/>
          <w:szCs w:val="24"/>
          <w:lang w:val="en-GB"/>
        </w:rPr>
        <w:t xml:space="preserve">n this chapter each specific regulatory obligation to </w:t>
      </w:r>
      <w:r w:rsidR="00320861">
        <w:rPr>
          <w:rFonts w:cs="Arial"/>
          <w:sz w:val="24"/>
          <w:szCs w:val="24"/>
          <w:lang w:val="en-GB"/>
        </w:rPr>
        <w:t xml:space="preserve">be applied to the </w:t>
      </w:r>
      <w:r w:rsidR="009E4C33" w:rsidRPr="00BC1ABD">
        <w:rPr>
          <w:rFonts w:cs="Arial"/>
          <w:sz w:val="24"/>
          <w:szCs w:val="24"/>
          <w:lang w:val="en-GB"/>
        </w:rPr>
        <w:t>SMP operator will be defined and linked with competition problem</w:t>
      </w:r>
      <w:r w:rsidR="004A09B1" w:rsidRPr="00BC1ABD">
        <w:rPr>
          <w:rFonts w:cs="Arial"/>
          <w:sz w:val="24"/>
          <w:szCs w:val="24"/>
          <w:lang w:val="en-GB"/>
        </w:rPr>
        <w:t>s</w:t>
      </w:r>
      <w:r w:rsidR="003E1511" w:rsidRPr="00BC1ABD">
        <w:rPr>
          <w:rFonts w:cs="Arial"/>
          <w:sz w:val="24"/>
          <w:szCs w:val="24"/>
          <w:lang w:val="en-GB"/>
        </w:rPr>
        <w:t xml:space="preserve"> (together with </w:t>
      </w:r>
      <w:r w:rsidR="00320861">
        <w:rPr>
          <w:rFonts w:cs="Arial"/>
          <w:sz w:val="24"/>
          <w:szCs w:val="24"/>
          <w:lang w:val="en-GB"/>
        </w:rPr>
        <w:t xml:space="preserve">the </w:t>
      </w:r>
      <w:r w:rsidR="003E1511" w:rsidRPr="00BC1ABD">
        <w:rPr>
          <w:rFonts w:cs="Arial"/>
          <w:sz w:val="24"/>
          <w:szCs w:val="24"/>
          <w:lang w:val="en-GB"/>
        </w:rPr>
        <w:t>risks of misuse</w:t>
      </w:r>
      <w:r w:rsidR="00320861">
        <w:rPr>
          <w:rFonts w:cs="Arial"/>
          <w:sz w:val="24"/>
          <w:szCs w:val="24"/>
          <w:lang w:val="en-GB"/>
        </w:rPr>
        <w:t xml:space="preserve"> of SMP</w:t>
      </w:r>
      <w:r w:rsidR="003E1511" w:rsidRPr="00BC1ABD">
        <w:rPr>
          <w:rFonts w:cs="Arial"/>
          <w:sz w:val="24"/>
          <w:szCs w:val="24"/>
          <w:lang w:val="en-GB"/>
        </w:rPr>
        <w:t>)</w:t>
      </w:r>
      <w:r w:rsidR="009E4C33" w:rsidRPr="00BC1ABD">
        <w:rPr>
          <w:rFonts w:cs="Arial"/>
          <w:sz w:val="24"/>
          <w:szCs w:val="24"/>
          <w:lang w:val="en-GB"/>
        </w:rPr>
        <w:t xml:space="preserve"> from </w:t>
      </w:r>
      <w:r w:rsidR="00320861">
        <w:rPr>
          <w:rFonts w:cs="Arial"/>
          <w:sz w:val="24"/>
          <w:szCs w:val="24"/>
          <w:lang w:val="en-GB"/>
        </w:rPr>
        <w:t>C</w:t>
      </w:r>
      <w:r w:rsidR="009E4C33" w:rsidRPr="00BC1ABD">
        <w:rPr>
          <w:rFonts w:cs="Arial"/>
          <w:sz w:val="24"/>
          <w:szCs w:val="24"/>
          <w:lang w:val="en-GB"/>
        </w:rPr>
        <w:t xml:space="preserve">hapter </w:t>
      </w:r>
      <w:r w:rsidR="00D92033">
        <w:rPr>
          <w:rFonts w:cs="Arial"/>
          <w:sz w:val="24"/>
          <w:szCs w:val="24"/>
          <w:lang w:val="en-GB"/>
        </w:rPr>
        <w:t>7</w:t>
      </w:r>
      <w:r w:rsidR="00320861">
        <w:rPr>
          <w:rFonts w:cs="Arial"/>
          <w:sz w:val="24"/>
          <w:szCs w:val="24"/>
          <w:lang w:val="en-GB"/>
        </w:rPr>
        <w:t>.</w:t>
      </w:r>
      <w:r w:rsidR="009E4C33" w:rsidRPr="00BC1ABD">
        <w:rPr>
          <w:rFonts w:cs="Arial"/>
          <w:sz w:val="24"/>
          <w:szCs w:val="24"/>
          <w:lang w:val="en-GB"/>
        </w:rPr>
        <w:t xml:space="preserve"> All regulatory remedies </w:t>
      </w:r>
      <w:r w:rsidR="00320861">
        <w:rPr>
          <w:rFonts w:cs="Arial"/>
          <w:sz w:val="24"/>
          <w:szCs w:val="24"/>
          <w:lang w:val="en-GB"/>
        </w:rPr>
        <w:t xml:space="preserve">will firstly </w:t>
      </w:r>
      <w:r w:rsidR="009E4C33" w:rsidRPr="00BC1ABD">
        <w:rPr>
          <w:rFonts w:cs="Arial"/>
          <w:sz w:val="24"/>
          <w:szCs w:val="24"/>
          <w:lang w:val="en-GB"/>
        </w:rPr>
        <w:t>l be</w:t>
      </w:r>
      <w:r w:rsidR="00320861">
        <w:rPr>
          <w:rFonts w:cs="Arial"/>
          <w:sz w:val="24"/>
          <w:szCs w:val="24"/>
          <w:lang w:val="en-GB"/>
        </w:rPr>
        <w:t xml:space="preserve"> </w:t>
      </w:r>
      <w:r w:rsidR="004A09B1" w:rsidRPr="00BC1ABD">
        <w:rPr>
          <w:rFonts w:cs="Arial"/>
          <w:sz w:val="24"/>
          <w:szCs w:val="24"/>
          <w:lang w:val="en-GB"/>
        </w:rPr>
        <w:t xml:space="preserve">described and then clearly </w:t>
      </w:r>
      <w:r w:rsidR="00320861">
        <w:rPr>
          <w:rFonts w:cs="Arial"/>
          <w:sz w:val="24"/>
          <w:szCs w:val="24"/>
          <w:lang w:val="en-GB"/>
        </w:rPr>
        <w:t>justified</w:t>
      </w:r>
      <w:r w:rsidR="004A09B1" w:rsidRPr="00BC1ABD">
        <w:rPr>
          <w:rFonts w:cs="Arial"/>
          <w:sz w:val="24"/>
          <w:szCs w:val="24"/>
          <w:lang w:val="en-GB"/>
        </w:rPr>
        <w:t xml:space="preserve"> for each </w:t>
      </w:r>
      <w:r w:rsidR="00320861">
        <w:rPr>
          <w:rFonts w:cs="Arial"/>
          <w:sz w:val="24"/>
          <w:szCs w:val="24"/>
          <w:lang w:val="en-GB"/>
        </w:rPr>
        <w:t>C</w:t>
      </w:r>
      <w:r w:rsidR="002F05D0" w:rsidRPr="00BC1ABD">
        <w:rPr>
          <w:rFonts w:cs="Arial"/>
          <w:sz w:val="24"/>
          <w:szCs w:val="24"/>
          <w:lang w:val="en-GB"/>
        </w:rPr>
        <w:t>luster</w:t>
      </w:r>
      <w:r w:rsidRPr="00BC1ABD">
        <w:rPr>
          <w:rFonts w:cs="Arial"/>
          <w:sz w:val="24"/>
          <w:szCs w:val="24"/>
          <w:lang w:val="en-GB"/>
        </w:rPr>
        <w:t xml:space="preserve"> </w:t>
      </w:r>
      <w:r w:rsidR="004A09B1" w:rsidRPr="00BC1ABD">
        <w:rPr>
          <w:rFonts w:cs="Arial"/>
          <w:sz w:val="24"/>
          <w:szCs w:val="24"/>
          <w:lang w:val="en-GB"/>
        </w:rPr>
        <w:t>(</w:t>
      </w:r>
      <w:r w:rsidR="002F05D0" w:rsidRPr="00BC1ABD">
        <w:rPr>
          <w:rFonts w:cs="Arial"/>
          <w:sz w:val="24"/>
          <w:szCs w:val="24"/>
          <w:lang w:val="en-GB"/>
        </w:rPr>
        <w:t>Cluster</w:t>
      </w:r>
      <w:r w:rsidR="00320861">
        <w:rPr>
          <w:rFonts w:cs="Arial"/>
          <w:sz w:val="24"/>
          <w:szCs w:val="24"/>
          <w:lang w:val="en-GB"/>
        </w:rPr>
        <w:t>s</w:t>
      </w:r>
      <w:r w:rsidR="003E1511" w:rsidRPr="00BC1ABD">
        <w:rPr>
          <w:rFonts w:cs="Arial"/>
          <w:sz w:val="24"/>
          <w:szCs w:val="24"/>
          <w:lang w:val="en-GB"/>
        </w:rPr>
        <w:t xml:space="preserve"> </w:t>
      </w:r>
      <w:r w:rsidR="004A09B1" w:rsidRPr="00BC1ABD">
        <w:rPr>
          <w:rFonts w:cs="Arial"/>
          <w:sz w:val="24"/>
          <w:szCs w:val="24"/>
          <w:lang w:val="en-GB"/>
        </w:rPr>
        <w:t xml:space="preserve">I, II and III). </w:t>
      </w:r>
    </w:p>
    <w:p w14:paraId="3AF54F5B" w14:textId="1C11F53C" w:rsidR="009E7E42" w:rsidRPr="00BC1ABD" w:rsidRDefault="009E7E42" w:rsidP="009E4C33">
      <w:pPr>
        <w:spacing w:line="259" w:lineRule="auto"/>
        <w:jc w:val="both"/>
        <w:rPr>
          <w:rFonts w:cs="Arial"/>
          <w:sz w:val="24"/>
          <w:szCs w:val="24"/>
          <w:lang w:val="en-GB"/>
        </w:rPr>
      </w:pPr>
      <w:r w:rsidRPr="00BC1ABD">
        <w:rPr>
          <w:rFonts w:cs="Arial"/>
          <w:sz w:val="24"/>
          <w:szCs w:val="24"/>
          <w:lang w:val="en-GB"/>
        </w:rPr>
        <w:t xml:space="preserve">According to the competition problems defined in </w:t>
      </w:r>
      <w:r w:rsidR="00320861">
        <w:rPr>
          <w:rFonts w:cs="Arial"/>
          <w:sz w:val="24"/>
          <w:szCs w:val="24"/>
          <w:lang w:val="en-GB"/>
        </w:rPr>
        <w:t>C</w:t>
      </w:r>
      <w:r w:rsidRPr="00BC1ABD">
        <w:rPr>
          <w:rFonts w:cs="Arial"/>
          <w:sz w:val="24"/>
          <w:szCs w:val="24"/>
          <w:lang w:val="en-GB"/>
        </w:rPr>
        <w:t xml:space="preserve">hapter </w:t>
      </w:r>
      <w:r w:rsidR="002637B4">
        <w:rPr>
          <w:rFonts w:cs="Arial"/>
          <w:sz w:val="24"/>
          <w:szCs w:val="24"/>
          <w:lang w:val="en-GB"/>
        </w:rPr>
        <w:t>7</w:t>
      </w:r>
      <w:r w:rsidRPr="00BC1ABD">
        <w:rPr>
          <w:rFonts w:cs="Arial"/>
          <w:sz w:val="24"/>
          <w:szCs w:val="24"/>
          <w:lang w:val="en-GB"/>
        </w:rPr>
        <w:t xml:space="preserve">, ComCom proposes to define the following set of regulatory remedies which will be further </w:t>
      </w:r>
      <w:r w:rsidR="004A09B1" w:rsidRPr="00BC1ABD">
        <w:rPr>
          <w:rFonts w:cs="Arial"/>
          <w:sz w:val="24"/>
          <w:szCs w:val="24"/>
          <w:lang w:val="en-GB"/>
        </w:rPr>
        <w:t>described</w:t>
      </w:r>
      <w:r w:rsidRPr="00BC1ABD">
        <w:rPr>
          <w:rFonts w:cs="Arial"/>
          <w:sz w:val="24"/>
          <w:szCs w:val="24"/>
          <w:lang w:val="en-GB"/>
        </w:rPr>
        <w:t xml:space="preserve"> in </w:t>
      </w:r>
      <w:r w:rsidR="003E1511" w:rsidRPr="00BC1ABD">
        <w:rPr>
          <w:rFonts w:cs="Arial"/>
          <w:sz w:val="24"/>
          <w:szCs w:val="24"/>
          <w:lang w:val="en-GB"/>
        </w:rPr>
        <w:t>detail</w:t>
      </w:r>
      <w:r w:rsidRPr="00BC1ABD">
        <w:rPr>
          <w:rFonts w:cs="Arial"/>
          <w:sz w:val="24"/>
          <w:szCs w:val="24"/>
          <w:lang w:val="en-GB"/>
        </w:rPr>
        <w:t xml:space="preserve"> in following sections (</w:t>
      </w:r>
      <w:r w:rsidR="00320861">
        <w:rPr>
          <w:rFonts w:cs="Arial"/>
          <w:sz w:val="24"/>
          <w:szCs w:val="24"/>
          <w:lang w:val="en-GB"/>
        </w:rPr>
        <w:t>for</w:t>
      </w:r>
      <w:r w:rsidRPr="00BC1ABD">
        <w:rPr>
          <w:rFonts w:cs="Arial"/>
          <w:sz w:val="24"/>
          <w:szCs w:val="24"/>
          <w:lang w:val="en-GB"/>
        </w:rPr>
        <w:t xml:space="preserve"> each remedy):</w:t>
      </w:r>
    </w:p>
    <w:p w14:paraId="6FF23836" w14:textId="77777777" w:rsidR="00340E01" w:rsidRPr="00BC1ABD" w:rsidRDefault="00163441" w:rsidP="009E4C33">
      <w:pPr>
        <w:spacing w:line="259" w:lineRule="auto"/>
        <w:jc w:val="both"/>
        <w:rPr>
          <w:rFonts w:cs="Arial"/>
          <w:sz w:val="24"/>
          <w:szCs w:val="24"/>
          <w:lang w:val="en-GB"/>
        </w:rPr>
      </w:pPr>
      <w:bookmarkStart w:id="351" w:name="_Hlk131172650"/>
      <w:r w:rsidRPr="00BC1ABD">
        <w:rPr>
          <w:rFonts w:cs="Arial"/>
          <w:sz w:val="24"/>
          <w:szCs w:val="24"/>
          <w:lang w:val="en-GB"/>
        </w:rPr>
        <w:t>Cluster</w:t>
      </w:r>
      <w:bookmarkEnd w:id="351"/>
      <w:r w:rsidR="00862490" w:rsidRPr="00BC1ABD">
        <w:rPr>
          <w:rFonts w:cs="Arial"/>
          <w:sz w:val="24"/>
          <w:szCs w:val="24"/>
          <w:lang w:val="en-GB"/>
        </w:rPr>
        <w:t xml:space="preserve"> </w:t>
      </w:r>
      <w:r w:rsidR="00340E01" w:rsidRPr="00BC1ABD">
        <w:rPr>
          <w:rFonts w:cs="Arial"/>
          <w:sz w:val="24"/>
          <w:szCs w:val="24"/>
          <w:lang w:val="en-GB"/>
        </w:rPr>
        <w:t>I</w:t>
      </w:r>
    </w:p>
    <w:p w14:paraId="3A636DDF" w14:textId="46AD533C" w:rsidR="009E7E42" w:rsidRPr="00BC1ABD" w:rsidRDefault="009E7E42">
      <w:pPr>
        <w:pStyle w:val="ListParagraph"/>
        <w:numPr>
          <w:ilvl w:val="0"/>
          <w:numId w:val="8"/>
        </w:numPr>
        <w:spacing w:line="259" w:lineRule="auto"/>
        <w:jc w:val="both"/>
        <w:rPr>
          <w:rFonts w:cs="Arial"/>
          <w:sz w:val="24"/>
          <w:szCs w:val="24"/>
          <w:lang w:val="en-GB"/>
        </w:rPr>
      </w:pPr>
      <w:r w:rsidRPr="00BC1ABD">
        <w:rPr>
          <w:rFonts w:cs="Arial"/>
          <w:sz w:val="24"/>
          <w:szCs w:val="24"/>
          <w:lang w:val="en-GB"/>
        </w:rPr>
        <w:t>Access</w:t>
      </w:r>
      <w:r w:rsidR="00320861">
        <w:rPr>
          <w:rFonts w:cs="Arial"/>
          <w:sz w:val="24"/>
          <w:szCs w:val="24"/>
          <w:lang w:val="en-GB"/>
        </w:rPr>
        <w:t>;</w:t>
      </w:r>
      <w:r w:rsidRPr="00BC1ABD">
        <w:rPr>
          <w:rFonts w:cs="Arial"/>
          <w:sz w:val="24"/>
          <w:szCs w:val="24"/>
          <w:lang w:val="en-GB"/>
        </w:rPr>
        <w:t xml:space="preserve"> </w:t>
      </w:r>
    </w:p>
    <w:p w14:paraId="137AE067" w14:textId="532743F7" w:rsidR="009E7E42" w:rsidRPr="00BC1ABD" w:rsidRDefault="009E7E42">
      <w:pPr>
        <w:pStyle w:val="ListParagraph"/>
        <w:numPr>
          <w:ilvl w:val="0"/>
          <w:numId w:val="8"/>
        </w:numPr>
        <w:spacing w:line="259" w:lineRule="auto"/>
        <w:jc w:val="both"/>
        <w:rPr>
          <w:rFonts w:cs="Arial"/>
          <w:sz w:val="24"/>
          <w:szCs w:val="24"/>
          <w:lang w:val="en-GB"/>
        </w:rPr>
      </w:pPr>
      <w:r w:rsidRPr="00BC1ABD">
        <w:rPr>
          <w:rFonts w:cs="Arial"/>
          <w:sz w:val="24"/>
          <w:szCs w:val="24"/>
          <w:lang w:val="en-GB"/>
        </w:rPr>
        <w:t>Non-discrimination</w:t>
      </w:r>
      <w:r w:rsidR="00320861">
        <w:rPr>
          <w:rFonts w:cs="Arial"/>
          <w:sz w:val="24"/>
          <w:szCs w:val="24"/>
          <w:lang w:val="en-GB"/>
        </w:rPr>
        <w:t>;</w:t>
      </w:r>
    </w:p>
    <w:p w14:paraId="6BFF8178" w14:textId="59876FDB" w:rsidR="009E7E42" w:rsidRPr="00BC1ABD" w:rsidRDefault="009E7E42">
      <w:pPr>
        <w:pStyle w:val="ListParagraph"/>
        <w:numPr>
          <w:ilvl w:val="0"/>
          <w:numId w:val="8"/>
        </w:numPr>
        <w:spacing w:line="259" w:lineRule="auto"/>
        <w:jc w:val="both"/>
        <w:rPr>
          <w:rFonts w:cs="Arial"/>
          <w:sz w:val="24"/>
          <w:szCs w:val="24"/>
          <w:lang w:val="en-GB"/>
        </w:rPr>
      </w:pPr>
      <w:r w:rsidRPr="00BC1ABD">
        <w:rPr>
          <w:rFonts w:cs="Arial"/>
          <w:sz w:val="24"/>
          <w:szCs w:val="24"/>
          <w:lang w:val="en-GB"/>
        </w:rPr>
        <w:t>Transparency</w:t>
      </w:r>
      <w:r w:rsidR="00320861">
        <w:rPr>
          <w:rFonts w:cs="Arial"/>
          <w:sz w:val="24"/>
          <w:szCs w:val="24"/>
          <w:lang w:val="en-GB"/>
        </w:rPr>
        <w:t>;</w:t>
      </w:r>
    </w:p>
    <w:p w14:paraId="4416BF52" w14:textId="2DEEE31E" w:rsidR="009E7E42" w:rsidRPr="00BC1ABD" w:rsidRDefault="009E7E42">
      <w:pPr>
        <w:pStyle w:val="ListParagraph"/>
        <w:numPr>
          <w:ilvl w:val="0"/>
          <w:numId w:val="8"/>
        </w:numPr>
        <w:spacing w:line="259" w:lineRule="auto"/>
        <w:jc w:val="both"/>
        <w:rPr>
          <w:rFonts w:cs="Arial"/>
          <w:sz w:val="24"/>
          <w:szCs w:val="24"/>
          <w:lang w:val="en-GB"/>
        </w:rPr>
      </w:pPr>
      <w:r w:rsidRPr="00BC1ABD">
        <w:rPr>
          <w:rFonts w:cs="Arial"/>
          <w:sz w:val="24"/>
          <w:szCs w:val="24"/>
          <w:lang w:val="en-GB"/>
        </w:rPr>
        <w:t>Cost accounting and price control</w:t>
      </w:r>
      <w:r w:rsidR="00320861">
        <w:rPr>
          <w:rFonts w:cs="Arial"/>
          <w:sz w:val="24"/>
          <w:szCs w:val="24"/>
          <w:lang w:val="en-GB"/>
        </w:rPr>
        <w:t>;</w:t>
      </w:r>
    </w:p>
    <w:p w14:paraId="37B687D4" w14:textId="5C6EA8F7" w:rsidR="009E7E42" w:rsidRPr="00384D6A" w:rsidRDefault="009E7E42">
      <w:pPr>
        <w:pStyle w:val="ListParagraph"/>
        <w:numPr>
          <w:ilvl w:val="0"/>
          <w:numId w:val="8"/>
        </w:numPr>
        <w:spacing w:line="259" w:lineRule="auto"/>
        <w:jc w:val="both"/>
        <w:rPr>
          <w:rFonts w:cs="Arial"/>
          <w:sz w:val="24"/>
          <w:szCs w:val="24"/>
          <w:lang w:val="en-GB"/>
        </w:rPr>
      </w:pPr>
      <w:r w:rsidRPr="00384D6A">
        <w:rPr>
          <w:rFonts w:cs="Arial"/>
          <w:sz w:val="24"/>
          <w:szCs w:val="24"/>
          <w:lang w:val="en-GB"/>
        </w:rPr>
        <w:t>Accounting separation</w:t>
      </w:r>
      <w:r w:rsidR="00320861" w:rsidRPr="00384D6A">
        <w:rPr>
          <w:rFonts w:cs="Arial"/>
          <w:sz w:val="24"/>
          <w:szCs w:val="24"/>
          <w:lang w:val="en-GB"/>
        </w:rPr>
        <w:t>.</w:t>
      </w:r>
    </w:p>
    <w:p w14:paraId="139D6ECE" w14:textId="0424203E" w:rsidR="00FA3E27" w:rsidRPr="00FA3E27" w:rsidRDefault="00FA3E27" w:rsidP="00FA3E27">
      <w:pPr>
        <w:spacing w:line="259" w:lineRule="auto"/>
        <w:jc w:val="both"/>
        <w:rPr>
          <w:rFonts w:cs="Arial"/>
          <w:sz w:val="24"/>
          <w:szCs w:val="24"/>
          <w:lang w:val="en-GB"/>
        </w:rPr>
      </w:pPr>
      <w:r w:rsidRPr="00384D6A">
        <w:rPr>
          <w:rFonts w:cs="Arial"/>
          <w:sz w:val="24"/>
          <w:szCs w:val="24"/>
          <w:lang w:val="en-GB"/>
        </w:rPr>
        <w:t>Using the principle of proportionality, the regulation applies only in those settlements where Magticom is present. If a settlement fulfils the criteria to be part of Cluster I, and Magticom is not present in this settlement, the obligations will not apply</w:t>
      </w:r>
      <w:r w:rsidR="00384D6A">
        <w:rPr>
          <w:rFonts w:cs="Arial"/>
          <w:sz w:val="24"/>
          <w:szCs w:val="24"/>
          <w:lang w:val="en-GB"/>
        </w:rPr>
        <w:t>.</w:t>
      </w:r>
    </w:p>
    <w:p w14:paraId="70859E17" w14:textId="77777777" w:rsidR="00340E01" w:rsidRPr="00BC1ABD" w:rsidRDefault="002F05D0" w:rsidP="00340E01">
      <w:pPr>
        <w:spacing w:line="259" w:lineRule="auto"/>
        <w:jc w:val="both"/>
        <w:rPr>
          <w:rFonts w:cs="Arial"/>
          <w:sz w:val="24"/>
          <w:szCs w:val="24"/>
          <w:lang w:val="en-GB"/>
        </w:rPr>
      </w:pPr>
      <w:r w:rsidRPr="00BC1ABD">
        <w:rPr>
          <w:rFonts w:cs="Arial"/>
          <w:sz w:val="24"/>
          <w:szCs w:val="24"/>
          <w:lang w:val="en-GB"/>
        </w:rPr>
        <w:t>Cluster</w:t>
      </w:r>
      <w:r w:rsidR="00862490" w:rsidRPr="00BC1ABD">
        <w:rPr>
          <w:rFonts w:cs="Arial"/>
          <w:sz w:val="24"/>
          <w:szCs w:val="24"/>
          <w:lang w:val="en-GB"/>
        </w:rPr>
        <w:t xml:space="preserve"> </w:t>
      </w:r>
      <w:r w:rsidR="00340E01" w:rsidRPr="00BC1ABD">
        <w:rPr>
          <w:rFonts w:cs="Arial"/>
          <w:sz w:val="24"/>
          <w:szCs w:val="24"/>
          <w:lang w:val="en-GB"/>
        </w:rPr>
        <w:t>II</w:t>
      </w:r>
    </w:p>
    <w:p w14:paraId="510EBC89" w14:textId="07000827" w:rsidR="00340E01" w:rsidRPr="00BC1ABD" w:rsidRDefault="00340E01">
      <w:pPr>
        <w:pStyle w:val="ListParagraph"/>
        <w:numPr>
          <w:ilvl w:val="0"/>
          <w:numId w:val="8"/>
        </w:numPr>
        <w:spacing w:line="259" w:lineRule="auto"/>
        <w:jc w:val="both"/>
        <w:rPr>
          <w:rFonts w:cs="Arial"/>
          <w:sz w:val="24"/>
          <w:szCs w:val="24"/>
          <w:lang w:val="en-GB"/>
        </w:rPr>
      </w:pPr>
      <w:r w:rsidRPr="00BC1ABD">
        <w:rPr>
          <w:rFonts w:cs="Arial"/>
          <w:sz w:val="24"/>
          <w:szCs w:val="24"/>
          <w:lang w:val="en-GB"/>
        </w:rPr>
        <w:t>Access</w:t>
      </w:r>
      <w:r w:rsidR="00320861">
        <w:rPr>
          <w:rFonts w:cs="Arial"/>
          <w:sz w:val="24"/>
          <w:szCs w:val="24"/>
          <w:lang w:val="en-GB"/>
        </w:rPr>
        <w:t>;</w:t>
      </w:r>
      <w:r w:rsidRPr="00BC1ABD">
        <w:rPr>
          <w:rFonts w:cs="Arial"/>
          <w:sz w:val="24"/>
          <w:szCs w:val="24"/>
          <w:lang w:val="en-GB"/>
        </w:rPr>
        <w:t xml:space="preserve"> </w:t>
      </w:r>
    </w:p>
    <w:p w14:paraId="3D63A810" w14:textId="019431B5" w:rsidR="00340E01" w:rsidRPr="00BC1ABD" w:rsidRDefault="00340E01">
      <w:pPr>
        <w:pStyle w:val="ListParagraph"/>
        <w:numPr>
          <w:ilvl w:val="0"/>
          <w:numId w:val="8"/>
        </w:numPr>
        <w:spacing w:line="259" w:lineRule="auto"/>
        <w:jc w:val="both"/>
        <w:rPr>
          <w:rFonts w:cs="Arial"/>
          <w:sz w:val="24"/>
          <w:szCs w:val="24"/>
          <w:lang w:val="en-GB"/>
        </w:rPr>
      </w:pPr>
      <w:r w:rsidRPr="00BC1ABD">
        <w:rPr>
          <w:rFonts w:cs="Arial"/>
          <w:sz w:val="24"/>
          <w:szCs w:val="24"/>
          <w:lang w:val="en-GB"/>
        </w:rPr>
        <w:t>Non-discrimination</w:t>
      </w:r>
      <w:r w:rsidR="00320861">
        <w:rPr>
          <w:rFonts w:cs="Arial"/>
          <w:sz w:val="24"/>
          <w:szCs w:val="24"/>
          <w:lang w:val="en-GB"/>
        </w:rPr>
        <w:t>;</w:t>
      </w:r>
    </w:p>
    <w:p w14:paraId="333354EA" w14:textId="26DE6E01" w:rsidR="00340E01" w:rsidRPr="00BC1ABD" w:rsidRDefault="00340E01">
      <w:pPr>
        <w:pStyle w:val="ListParagraph"/>
        <w:numPr>
          <w:ilvl w:val="0"/>
          <w:numId w:val="8"/>
        </w:numPr>
        <w:spacing w:line="259" w:lineRule="auto"/>
        <w:jc w:val="both"/>
        <w:rPr>
          <w:rFonts w:cs="Arial"/>
          <w:sz w:val="24"/>
          <w:szCs w:val="24"/>
          <w:lang w:val="en-GB"/>
        </w:rPr>
      </w:pPr>
      <w:r w:rsidRPr="00BC1ABD">
        <w:rPr>
          <w:rFonts w:cs="Arial"/>
          <w:sz w:val="24"/>
          <w:szCs w:val="24"/>
          <w:lang w:val="en-GB"/>
        </w:rPr>
        <w:t>Transparency</w:t>
      </w:r>
      <w:r w:rsidR="00320861">
        <w:rPr>
          <w:rFonts w:cs="Arial"/>
          <w:sz w:val="24"/>
          <w:szCs w:val="24"/>
          <w:lang w:val="en-GB"/>
        </w:rPr>
        <w:t>;</w:t>
      </w:r>
    </w:p>
    <w:p w14:paraId="534D6C73" w14:textId="4C0D5F57" w:rsidR="00A1654F" w:rsidRPr="00BC1ABD" w:rsidRDefault="00A1654F">
      <w:pPr>
        <w:pStyle w:val="ListParagraph"/>
        <w:numPr>
          <w:ilvl w:val="0"/>
          <w:numId w:val="8"/>
        </w:numPr>
        <w:spacing w:line="259" w:lineRule="auto"/>
        <w:jc w:val="both"/>
        <w:rPr>
          <w:rFonts w:cs="Arial"/>
          <w:sz w:val="24"/>
          <w:szCs w:val="24"/>
          <w:lang w:val="en-GB"/>
        </w:rPr>
      </w:pPr>
      <w:r w:rsidRPr="00BC1ABD">
        <w:rPr>
          <w:rFonts w:cs="Arial"/>
          <w:sz w:val="24"/>
          <w:szCs w:val="24"/>
          <w:lang w:val="en-GB"/>
        </w:rPr>
        <w:t>Cost accounting and price control</w:t>
      </w:r>
      <w:r w:rsidR="00320861">
        <w:rPr>
          <w:rFonts w:cs="Arial"/>
          <w:sz w:val="24"/>
          <w:szCs w:val="24"/>
          <w:lang w:val="en-GB"/>
        </w:rPr>
        <w:t>;</w:t>
      </w:r>
    </w:p>
    <w:p w14:paraId="5C4650A4" w14:textId="3EF6FAA1" w:rsidR="00340E01" w:rsidRPr="00BC1ABD" w:rsidRDefault="00340E01">
      <w:pPr>
        <w:pStyle w:val="ListParagraph"/>
        <w:numPr>
          <w:ilvl w:val="0"/>
          <w:numId w:val="8"/>
        </w:numPr>
        <w:spacing w:line="259" w:lineRule="auto"/>
        <w:jc w:val="both"/>
        <w:rPr>
          <w:rFonts w:cs="Arial"/>
          <w:sz w:val="24"/>
          <w:szCs w:val="24"/>
          <w:lang w:val="en-GB"/>
        </w:rPr>
      </w:pPr>
      <w:r w:rsidRPr="00BC1ABD">
        <w:rPr>
          <w:rFonts w:cs="Arial"/>
          <w:sz w:val="24"/>
          <w:szCs w:val="24"/>
          <w:lang w:val="en-GB"/>
        </w:rPr>
        <w:t>Accounting separation</w:t>
      </w:r>
      <w:r w:rsidR="00320861">
        <w:rPr>
          <w:rFonts w:cs="Arial"/>
          <w:sz w:val="24"/>
          <w:szCs w:val="24"/>
          <w:lang w:val="en-GB"/>
        </w:rPr>
        <w:t>,</w:t>
      </w:r>
    </w:p>
    <w:p w14:paraId="10908DC1" w14:textId="77777777" w:rsidR="00340E01" w:rsidRPr="00BC1ABD" w:rsidRDefault="002F05D0" w:rsidP="00340E01">
      <w:pPr>
        <w:spacing w:line="259" w:lineRule="auto"/>
        <w:jc w:val="both"/>
        <w:rPr>
          <w:rFonts w:cs="Arial"/>
          <w:sz w:val="24"/>
          <w:szCs w:val="24"/>
          <w:lang w:val="en-GB"/>
        </w:rPr>
      </w:pPr>
      <w:r w:rsidRPr="00BC1ABD">
        <w:rPr>
          <w:rFonts w:cs="Arial"/>
          <w:sz w:val="24"/>
          <w:szCs w:val="24"/>
          <w:lang w:val="en-GB"/>
        </w:rPr>
        <w:t>Cluster</w:t>
      </w:r>
      <w:r w:rsidR="00862490" w:rsidRPr="00BC1ABD">
        <w:rPr>
          <w:rFonts w:cs="Arial"/>
          <w:sz w:val="24"/>
          <w:szCs w:val="24"/>
          <w:lang w:val="en-GB"/>
        </w:rPr>
        <w:t xml:space="preserve"> </w:t>
      </w:r>
      <w:r w:rsidR="00340E01" w:rsidRPr="00BC1ABD">
        <w:rPr>
          <w:rFonts w:cs="Arial"/>
          <w:sz w:val="24"/>
          <w:szCs w:val="24"/>
          <w:lang w:val="en-GB"/>
        </w:rPr>
        <w:t>III</w:t>
      </w:r>
    </w:p>
    <w:p w14:paraId="15AA310E" w14:textId="43DB4766" w:rsidR="00EC6992" w:rsidRPr="00007606" w:rsidRDefault="00340E01" w:rsidP="006A1A4C">
      <w:pPr>
        <w:pStyle w:val="ListParagraph"/>
        <w:numPr>
          <w:ilvl w:val="0"/>
          <w:numId w:val="8"/>
        </w:numPr>
        <w:spacing w:line="259" w:lineRule="auto"/>
        <w:jc w:val="both"/>
        <w:rPr>
          <w:rFonts w:cs="Arial"/>
          <w:sz w:val="24"/>
          <w:szCs w:val="24"/>
          <w:lang w:val="en-GB"/>
        </w:rPr>
      </w:pPr>
      <w:r w:rsidRPr="00BC1ABD">
        <w:rPr>
          <w:rFonts w:cs="Arial"/>
          <w:sz w:val="24"/>
          <w:szCs w:val="24"/>
          <w:lang w:val="en-GB"/>
        </w:rPr>
        <w:t xml:space="preserve">Access </w:t>
      </w:r>
    </w:p>
    <w:p w14:paraId="3D2892E5" w14:textId="77777777" w:rsidR="003B36D0" w:rsidRPr="00BC1ABD" w:rsidRDefault="00B271E6" w:rsidP="00C2733F">
      <w:pPr>
        <w:pStyle w:val="Heading2"/>
        <w:numPr>
          <w:ilvl w:val="1"/>
          <w:numId w:val="88"/>
        </w:numPr>
        <w:spacing w:after="240"/>
        <w:rPr>
          <w:lang w:val="en-GB"/>
        </w:rPr>
      </w:pPr>
      <w:bookmarkStart w:id="352" w:name="_Toc169259003"/>
      <w:r w:rsidRPr="00BC1ABD">
        <w:rPr>
          <w:lang w:val="en-GB"/>
        </w:rPr>
        <w:t>Access</w:t>
      </w:r>
      <w:bookmarkEnd w:id="352"/>
    </w:p>
    <w:p w14:paraId="5898267E" w14:textId="1F8CC7E6" w:rsidR="00340E01" w:rsidRPr="00BC1ABD" w:rsidRDefault="00340E01" w:rsidP="00340E01">
      <w:pPr>
        <w:spacing w:line="259" w:lineRule="auto"/>
        <w:jc w:val="both"/>
        <w:rPr>
          <w:rFonts w:cs="Arial"/>
          <w:sz w:val="24"/>
          <w:szCs w:val="24"/>
          <w:lang w:val="en-GB"/>
        </w:rPr>
      </w:pPr>
      <w:r w:rsidRPr="00BC1ABD">
        <w:rPr>
          <w:rFonts w:cs="Arial"/>
          <w:sz w:val="24"/>
          <w:szCs w:val="24"/>
          <w:lang w:val="en-GB"/>
        </w:rPr>
        <w:t>According to the provisions from the Article 34 of the law, ComCom proposes to impose the regulatory obligation of providing access to relevant elements of an electronic communication network o</w:t>
      </w:r>
      <w:r w:rsidR="00320861">
        <w:rPr>
          <w:rFonts w:cs="Arial"/>
          <w:sz w:val="24"/>
          <w:szCs w:val="24"/>
          <w:lang w:val="en-GB"/>
        </w:rPr>
        <w:t>f</w:t>
      </w:r>
      <w:r w:rsidRPr="00BC1ABD">
        <w:rPr>
          <w:rFonts w:cs="Arial"/>
          <w:sz w:val="24"/>
          <w:szCs w:val="24"/>
          <w:lang w:val="en-GB"/>
        </w:rPr>
        <w:t xml:space="preserve"> the SMP operator. </w:t>
      </w:r>
    </w:p>
    <w:p w14:paraId="60099EAA" w14:textId="70CB0773" w:rsidR="00340E01" w:rsidRDefault="00340E01" w:rsidP="00340E01">
      <w:pPr>
        <w:spacing w:line="259" w:lineRule="auto"/>
        <w:jc w:val="both"/>
        <w:rPr>
          <w:rFonts w:cs="Arial"/>
          <w:sz w:val="24"/>
          <w:szCs w:val="24"/>
          <w:lang w:val="en-GB"/>
        </w:rPr>
      </w:pPr>
      <w:r w:rsidRPr="00BC1ABD">
        <w:rPr>
          <w:rFonts w:cs="Arial"/>
          <w:sz w:val="24"/>
          <w:szCs w:val="24"/>
          <w:lang w:val="en-GB"/>
        </w:rPr>
        <w:t xml:space="preserve">The regulatory obligation to provide access to network elements and their use is a basic regulatory obligation that </w:t>
      </w:r>
      <w:r w:rsidR="0003189E" w:rsidRPr="00BC1ABD">
        <w:rPr>
          <w:rFonts w:cs="Arial"/>
          <w:sz w:val="24"/>
          <w:szCs w:val="24"/>
          <w:lang w:val="en-GB"/>
        </w:rPr>
        <w:t xml:space="preserve">should </w:t>
      </w:r>
      <w:r w:rsidRPr="00BC1ABD">
        <w:rPr>
          <w:rFonts w:cs="Arial"/>
          <w:sz w:val="24"/>
          <w:szCs w:val="24"/>
          <w:lang w:val="en-GB"/>
        </w:rPr>
        <w:t xml:space="preserve">be </w:t>
      </w:r>
      <w:r w:rsidR="00E95034">
        <w:rPr>
          <w:rFonts w:cs="Arial"/>
          <w:sz w:val="24"/>
          <w:szCs w:val="24"/>
          <w:lang w:val="en-GB"/>
        </w:rPr>
        <w:t>imposed on</w:t>
      </w:r>
      <w:r w:rsidR="0003189E" w:rsidRPr="00BC1ABD">
        <w:rPr>
          <w:rFonts w:cs="Arial"/>
          <w:sz w:val="24"/>
          <w:szCs w:val="24"/>
          <w:lang w:val="en-GB"/>
        </w:rPr>
        <w:t xml:space="preserve"> </w:t>
      </w:r>
      <w:r w:rsidR="00E95034">
        <w:rPr>
          <w:rFonts w:cs="Arial"/>
          <w:sz w:val="24"/>
          <w:szCs w:val="24"/>
          <w:lang w:val="en-GB"/>
        </w:rPr>
        <w:t xml:space="preserve">the </w:t>
      </w:r>
      <w:r w:rsidR="0003189E" w:rsidRPr="00BC1ABD">
        <w:rPr>
          <w:rFonts w:cs="Arial"/>
          <w:sz w:val="24"/>
          <w:szCs w:val="24"/>
          <w:lang w:val="en-GB"/>
        </w:rPr>
        <w:t xml:space="preserve">SMP </w:t>
      </w:r>
      <w:r w:rsidRPr="00BC1ABD">
        <w:rPr>
          <w:rFonts w:cs="Arial"/>
          <w:sz w:val="24"/>
          <w:szCs w:val="24"/>
          <w:lang w:val="en-GB"/>
        </w:rPr>
        <w:t xml:space="preserve">operator, and this obligation prevents the competition problems defined </w:t>
      </w:r>
      <w:r w:rsidR="00E95034">
        <w:rPr>
          <w:rFonts w:cs="Arial"/>
          <w:sz w:val="24"/>
          <w:szCs w:val="24"/>
          <w:lang w:val="en-GB"/>
        </w:rPr>
        <w:t>C</w:t>
      </w:r>
      <w:r w:rsidRPr="00BC1ABD">
        <w:rPr>
          <w:rFonts w:cs="Arial"/>
          <w:sz w:val="24"/>
          <w:szCs w:val="24"/>
          <w:lang w:val="en-GB"/>
        </w:rPr>
        <w:t xml:space="preserve">hapter </w:t>
      </w:r>
      <w:r w:rsidR="00292094">
        <w:rPr>
          <w:rFonts w:cs="Arial"/>
          <w:sz w:val="24"/>
          <w:szCs w:val="24"/>
          <w:lang w:val="en-GB"/>
        </w:rPr>
        <w:t>7</w:t>
      </w:r>
      <w:r w:rsidR="0003189E" w:rsidRPr="00BC1ABD">
        <w:rPr>
          <w:rFonts w:cs="Arial"/>
          <w:sz w:val="24"/>
          <w:szCs w:val="24"/>
          <w:lang w:val="en-GB"/>
        </w:rPr>
        <w:t>.</w:t>
      </w:r>
      <w:r w:rsidR="003C0059" w:rsidRPr="00BC1ABD">
        <w:rPr>
          <w:rFonts w:cs="Arial"/>
          <w:sz w:val="24"/>
          <w:szCs w:val="24"/>
          <w:lang w:val="en-GB"/>
        </w:rPr>
        <w:t>2</w:t>
      </w:r>
      <w:r w:rsidRPr="00BC1ABD">
        <w:rPr>
          <w:rFonts w:cs="Arial"/>
          <w:sz w:val="24"/>
          <w:szCs w:val="24"/>
          <w:lang w:val="en-GB"/>
        </w:rPr>
        <w:t>.</w:t>
      </w:r>
    </w:p>
    <w:p w14:paraId="6C18D95D" w14:textId="3F1E05EF" w:rsidR="00340E01" w:rsidRPr="00BC1ABD" w:rsidRDefault="00340E01" w:rsidP="00340E01">
      <w:pPr>
        <w:spacing w:line="259" w:lineRule="auto"/>
        <w:jc w:val="both"/>
        <w:rPr>
          <w:rFonts w:cs="Arial"/>
          <w:sz w:val="24"/>
          <w:szCs w:val="24"/>
          <w:lang w:val="en-GB"/>
        </w:rPr>
      </w:pPr>
      <w:r w:rsidRPr="00BC1ABD">
        <w:rPr>
          <w:rFonts w:cs="Arial"/>
          <w:sz w:val="24"/>
          <w:szCs w:val="24"/>
          <w:lang w:val="en-GB"/>
        </w:rPr>
        <w:t xml:space="preserve">In line with the provisions of the </w:t>
      </w:r>
      <w:r w:rsidR="0003189E" w:rsidRPr="00BC1ABD">
        <w:rPr>
          <w:rFonts w:cs="Arial"/>
          <w:sz w:val="24"/>
          <w:szCs w:val="24"/>
          <w:lang w:val="en-GB"/>
        </w:rPr>
        <w:t>A</w:t>
      </w:r>
      <w:r w:rsidRPr="00BC1ABD">
        <w:rPr>
          <w:rFonts w:cs="Arial"/>
          <w:sz w:val="24"/>
          <w:szCs w:val="24"/>
          <w:lang w:val="en-GB"/>
        </w:rPr>
        <w:t>rticle 34</w:t>
      </w:r>
      <w:r w:rsidR="0003189E" w:rsidRPr="00BC1ABD">
        <w:rPr>
          <w:rFonts w:cs="Arial"/>
          <w:sz w:val="24"/>
          <w:szCs w:val="24"/>
          <w:lang w:val="en-GB"/>
        </w:rPr>
        <w:t xml:space="preserve"> of the Law</w:t>
      </w:r>
      <w:r w:rsidR="00554187" w:rsidRPr="00BC1ABD">
        <w:rPr>
          <w:rFonts w:cs="Arial"/>
          <w:sz w:val="24"/>
          <w:szCs w:val="24"/>
          <w:lang w:val="en-GB"/>
        </w:rPr>
        <w:t xml:space="preserve"> as well as with the principle of </w:t>
      </w:r>
      <w:r w:rsidR="00E46B8B">
        <w:rPr>
          <w:rFonts w:cs="Arial"/>
          <w:sz w:val="24"/>
          <w:szCs w:val="24"/>
          <w:lang w:val="en-GB"/>
        </w:rPr>
        <w:t>proportionality</w:t>
      </w:r>
      <w:r w:rsidR="00554187" w:rsidRPr="00BC1ABD">
        <w:rPr>
          <w:rFonts w:cs="Arial"/>
          <w:sz w:val="24"/>
          <w:szCs w:val="24"/>
          <w:lang w:val="en-GB"/>
        </w:rPr>
        <w:t xml:space="preserve"> set out in Art</w:t>
      </w:r>
      <w:r w:rsidR="00554187" w:rsidRPr="00852C30">
        <w:rPr>
          <w:rFonts w:cs="Arial"/>
          <w:sz w:val="24"/>
          <w:szCs w:val="24"/>
          <w:highlight w:val="green"/>
          <w:lang w:val="en-GB"/>
        </w:rPr>
        <w:t>.</w:t>
      </w:r>
      <w:r w:rsidR="00E46B8B" w:rsidRPr="00852C30">
        <w:rPr>
          <w:rFonts w:cs="Arial"/>
          <w:sz w:val="24"/>
          <w:szCs w:val="24"/>
          <w:highlight w:val="green"/>
          <w:lang w:val="en-GB"/>
        </w:rPr>
        <w:t>1</w:t>
      </w:r>
      <w:r w:rsidR="001C790B" w:rsidRPr="00852C30">
        <w:rPr>
          <w:rFonts w:cs="Arial"/>
          <w:sz w:val="24"/>
          <w:szCs w:val="24"/>
          <w:highlight w:val="green"/>
          <w:lang w:val="en-GB"/>
        </w:rPr>
        <w:t>7</w:t>
      </w:r>
      <w:r w:rsidR="00E46B8B" w:rsidRPr="00852C30">
        <w:rPr>
          <w:rFonts w:cs="Arial"/>
          <w:sz w:val="24"/>
          <w:szCs w:val="24"/>
          <w:highlight w:val="green"/>
          <w:lang w:val="en-GB"/>
        </w:rPr>
        <w:t>(</w:t>
      </w:r>
      <w:r w:rsidR="001C790B" w:rsidRPr="00852C30">
        <w:rPr>
          <w:rFonts w:cs="Arial"/>
          <w:sz w:val="24"/>
          <w:szCs w:val="24"/>
          <w:highlight w:val="green"/>
          <w:lang w:val="en-GB"/>
        </w:rPr>
        <w:t>1</w:t>
      </w:r>
      <w:r w:rsidR="00E46B8B" w:rsidRPr="00852C30">
        <w:rPr>
          <w:rFonts w:cs="Arial"/>
          <w:sz w:val="24"/>
          <w:szCs w:val="24"/>
          <w:highlight w:val="green"/>
          <w:lang w:val="en-GB"/>
        </w:rPr>
        <w:t>)</w:t>
      </w:r>
      <w:r w:rsidR="00554187" w:rsidRPr="00852C30">
        <w:rPr>
          <w:rFonts w:cs="Arial"/>
          <w:sz w:val="24"/>
          <w:szCs w:val="24"/>
          <w:highlight w:val="green"/>
          <w:lang w:val="en-GB"/>
        </w:rPr>
        <w:t xml:space="preserve"> </w:t>
      </w:r>
      <w:r w:rsidR="001C790B" w:rsidRPr="00852C30">
        <w:rPr>
          <w:rFonts w:cs="Arial"/>
          <w:sz w:val="24"/>
          <w:szCs w:val="24"/>
          <w:highlight w:val="green"/>
          <w:lang w:val="en-GB"/>
        </w:rPr>
        <w:t>c</w:t>
      </w:r>
      <w:r w:rsidR="00554187" w:rsidRPr="00852C30">
        <w:rPr>
          <w:rFonts w:cs="Arial"/>
          <w:sz w:val="24"/>
          <w:szCs w:val="24"/>
          <w:highlight w:val="green"/>
          <w:lang w:val="en-GB"/>
        </w:rPr>
        <w:t xml:space="preserve">) of </w:t>
      </w:r>
      <w:r w:rsidR="00E46B8B" w:rsidRPr="00852C30">
        <w:rPr>
          <w:rFonts w:cs="Arial"/>
          <w:sz w:val="24"/>
          <w:szCs w:val="24"/>
          <w:highlight w:val="green"/>
          <w:lang w:val="en-GB"/>
        </w:rPr>
        <w:t>the revised</w:t>
      </w:r>
      <w:r w:rsidR="00E46B8B">
        <w:rPr>
          <w:rFonts w:cs="Arial"/>
          <w:sz w:val="24"/>
          <w:szCs w:val="24"/>
          <w:lang w:val="en-GB"/>
        </w:rPr>
        <w:t xml:space="preserve"> </w:t>
      </w:r>
      <w:r w:rsidR="00554187" w:rsidRPr="00BC1ABD">
        <w:rPr>
          <w:rFonts w:cs="Arial"/>
          <w:sz w:val="24"/>
          <w:szCs w:val="24"/>
          <w:lang w:val="en-GB"/>
        </w:rPr>
        <w:t xml:space="preserve">Methodological rules (based on findings from Chapter </w:t>
      </w:r>
      <w:r w:rsidR="00B825BC">
        <w:rPr>
          <w:rFonts w:cs="Arial"/>
          <w:sz w:val="24"/>
          <w:szCs w:val="24"/>
          <w:lang w:val="en-GB"/>
        </w:rPr>
        <w:t>7</w:t>
      </w:r>
      <w:r w:rsidR="00554187" w:rsidRPr="00BC1ABD">
        <w:rPr>
          <w:rFonts w:cs="Arial"/>
          <w:sz w:val="24"/>
          <w:szCs w:val="24"/>
          <w:lang w:val="en-GB"/>
        </w:rPr>
        <w:t>.1)</w:t>
      </w:r>
      <w:r w:rsidRPr="00BC1ABD">
        <w:rPr>
          <w:rFonts w:cs="Arial"/>
          <w:sz w:val="24"/>
          <w:szCs w:val="24"/>
          <w:lang w:val="en-GB"/>
        </w:rPr>
        <w:t>, ComCom proposes to impose</w:t>
      </w:r>
      <w:r w:rsidR="00E95034">
        <w:rPr>
          <w:rFonts w:cs="Arial"/>
          <w:sz w:val="24"/>
          <w:szCs w:val="24"/>
          <w:lang w:val="en-GB"/>
        </w:rPr>
        <w:t xml:space="preserve"> the following obligations on the</w:t>
      </w:r>
      <w:r w:rsidRPr="00BC1ABD">
        <w:rPr>
          <w:rFonts w:cs="Arial"/>
          <w:sz w:val="24"/>
          <w:szCs w:val="24"/>
          <w:lang w:val="en-GB"/>
        </w:rPr>
        <w:t xml:space="preserve"> SMP operator:</w:t>
      </w:r>
    </w:p>
    <w:p w14:paraId="1057BD6C" w14:textId="4C098160" w:rsidR="00F47518" w:rsidRPr="00BC1ABD" w:rsidRDefault="002F05D0" w:rsidP="00340E01">
      <w:pPr>
        <w:spacing w:line="259" w:lineRule="auto"/>
        <w:jc w:val="both"/>
        <w:rPr>
          <w:rFonts w:cs="Arial"/>
          <w:sz w:val="24"/>
          <w:szCs w:val="24"/>
          <w:u w:val="single"/>
          <w:lang w:val="en-GB"/>
        </w:rPr>
      </w:pPr>
      <w:r w:rsidRPr="00BC1ABD">
        <w:rPr>
          <w:rFonts w:cs="Arial"/>
          <w:sz w:val="24"/>
          <w:szCs w:val="24"/>
          <w:u w:val="single"/>
          <w:lang w:val="en-GB"/>
        </w:rPr>
        <w:t>Cluster</w:t>
      </w:r>
      <w:r w:rsidR="00554187" w:rsidRPr="00BC1ABD">
        <w:rPr>
          <w:rFonts w:cs="Arial"/>
          <w:sz w:val="24"/>
          <w:szCs w:val="24"/>
          <w:u w:val="single"/>
          <w:lang w:val="en-GB"/>
        </w:rPr>
        <w:t xml:space="preserve"> </w:t>
      </w:r>
      <w:r w:rsidR="00F47518" w:rsidRPr="00BC1ABD">
        <w:rPr>
          <w:rFonts w:cs="Arial"/>
          <w:sz w:val="24"/>
          <w:szCs w:val="24"/>
          <w:u w:val="single"/>
          <w:lang w:val="en-GB"/>
        </w:rPr>
        <w:t>I</w:t>
      </w:r>
      <w:r w:rsidR="00E95034">
        <w:rPr>
          <w:rFonts w:cs="Arial"/>
          <w:sz w:val="24"/>
          <w:szCs w:val="24"/>
          <w:u w:val="single"/>
          <w:lang w:val="en-GB"/>
        </w:rPr>
        <w:t>:</w:t>
      </w:r>
    </w:p>
    <w:p w14:paraId="110A9CCC" w14:textId="68C339C7" w:rsidR="00BF6139" w:rsidRPr="00BC1ABD" w:rsidRDefault="00786861">
      <w:pPr>
        <w:pStyle w:val="ListParagraph"/>
        <w:numPr>
          <w:ilvl w:val="0"/>
          <w:numId w:val="9"/>
        </w:numPr>
        <w:jc w:val="both"/>
        <w:rPr>
          <w:rFonts w:cs="Arial"/>
          <w:sz w:val="24"/>
          <w:szCs w:val="24"/>
          <w:lang w:val="en-GB"/>
        </w:rPr>
      </w:pPr>
      <w:r w:rsidRPr="00BC1ABD">
        <w:rPr>
          <w:rFonts w:cs="Arial"/>
          <w:sz w:val="24"/>
          <w:szCs w:val="24"/>
          <w:lang w:val="en-GB"/>
        </w:rPr>
        <w:t>T</w:t>
      </w:r>
      <w:r w:rsidR="00BF6139" w:rsidRPr="00BC1ABD">
        <w:rPr>
          <w:rFonts w:cs="Arial"/>
          <w:sz w:val="24"/>
          <w:szCs w:val="24"/>
          <w:lang w:val="en-GB"/>
        </w:rPr>
        <w:t>o provide to third parties</w:t>
      </w:r>
      <w:r w:rsidR="0067090B">
        <w:rPr>
          <w:rFonts w:cs="Arial"/>
          <w:sz w:val="24"/>
          <w:szCs w:val="24"/>
          <w:lang w:val="en-GB"/>
        </w:rPr>
        <w:t xml:space="preserve"> </w:t>
      </w:r>
      <w:r w:rsidR="00BF6139" w:rsidRPr="00BC1ABD">
        <w:rPr>
          <w:rFonts w:cs="Arial"/>
          <w:sz w:val="24"/>
          <w:szCs w:val="24"/>
          <w:lang w:val="en-GB"/>
        </w:rPr>
        <w:t xml:space="preserve">access to the </w:t>
      </w:r>
      <w:r w:rsidR="003E779C" w:rsidRPr="00852C30">
        <w:rPr>
          <w:rFonts w:cs="Arial"/>
          <w:sz w:val="24"/>
          <w:szCs w:val="24"/>
          <w:highlight w:val="yellow"/>
          <w:lang w:val="en-GB"/>
        </w:rPr>
        <w:t xml:space="preserve">wholesale </w:t>
      </w:r>
      <w:r w:rsidR="00A052EA" w:rsidRPr="00852C30">
        <w:rPr>
          <w:rFonts w:cs="Arial"/>
          <w:sz w:val="24"/>
          <w:szCs w:val="24"/>
          <w:highlight w:val="yellow"/>
          <w:lang w:val="en-GB"/>
        </w:rPr>
        <w:t xml:space="preserve">service of </w:t>
      </w:r>
      <w:r w:rsidR="00052A5E" w:rsidRPr="00852C30">
        <w:rPr>
          <w:rFonts w:cs="Arial"/>
          <w:sz w:val="24"/>
          <w:szCs w:val="24"/>
          <w:highlight w:val="yellow"/>
          <w:lang w:val="en-GB"/>
        </w:rPr>
        <w:t xml:space="preserve">VULA </w:t>
      </w:r>
      <w:r w:rsidR="00BF6139" w:rsidRPr="00852C30">
        <w:rPr>
          <w:rFonts w:cs="Arial"/>
          <w:sz w:val="24"/>
          <w:szCs w:val="24"/>
          <w:highlight w:val="yellow"/>
          <w:lang w:val="en-GB"/>
        </w:rPr>
        <w:t xml:space="preserve">for the services based on </w:t>
      </w:r>
      <w:r w:rsidR="00F026B4" w:rsidRPr="00852C30">
        <w:rPr>
          <w:rFonts w:cs="Arial"/>
          <w:sz w:val="24"/>
          <w:szCs w:val="24"/>
          <w:highlight w:val="yellow"/>
          <w:lang w:val="en-GB"/>
        </w:rPr>
        <w:t>FTTx</w:t>
      </w:r>
      <w:r w:rsidR="00BF6139" w:rsidRPr="00852C30">
        <w:rPr>
          <w:rFonts w:cs="Arial"/>
          <w:sz w:val="24"/>
          <w:szCs w:val="24"/>
          <w:highlight w:val="yellow"/>
          <w:lang w:val="en-GB"/>
        </w:rPr>
        <w:t xml:space="preserve"> technologies</w:t>
      </w:r>
      <w:r w:rsidR="00BF6139" w:rsidRPr="00BC1ABD">
        <w:rPr>
          <w:rFonts w:cs="Arial"/>
          <w:sz w:val="24"/>
          <w:szCs w:val="24"/>
          <w:lang w:val="en-GB"/>
        </w:rPr>
        <w:t xml:space="preserve"> </w:t>
      </w:r>
      <w:r w:rsidR="005667A0" w:rsidRPr="00BC1ABD">
        <w:rPr>
          <w:rFonts w:cs="Arial"/>
          <w:sz w:val="24"/>
          <w:szCs w:val="24"/>
          <w:lang w:val="en-GB"/>
        </w:rPr>
        <w:t xml:space="preserve">and with </w:t>
      </w:r>
      <w:r w:rsidR="00E95034">
        <w:rPr>
          <w:rFonts w:cs="Arial"/>
          <w:sz w:val="24"/>
          <w:szCs w:val="24"/>
          <w:lang w:val="en-GB"/>
        </w:rPr>
        <w:t xml:space="preserve">a </w:t>
      </w:r>
      <w:r w:rsidR="005667A0" w:rsidRPr="00BC1ABD">
        <w:rPr>
          <w:rFonts w:cs="Arial"/>
          <w:sz w:val="24"/>
          <w:szCs w:val="24"/>
          <w:lang w:val="en-GB"/>
        </w:rPr>
        <w:t>transparency obligation</w:t>
      </w:r>
      <w:r w:rsidR="00E95034">
        <w:rPr>
          <w:rFonts w:cs="Arial"/>
          <w:sz w:val="24"/>
          <w:szCs w:val="24"/>
          <w:lang w:val="en-GB"/>
        </w:rPr>
        <w:t>;</w:t>
      </w:r>
    </w:p>
    <w:p w14:paraId="5F2DF94D" w14:textId="78F38A22" w:rsidR="00340E01"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340E01" w:rsidRPr="00BC1ABD">
        <w:rPr>
          <w:rFonts w:cs="Arial"/>
          <w:sz w:val="24"/>
          <w:szCs w:val="24"/>
          <w:lang w:val="en-GB"/>
        </w:rPr>
        <w:t xml:space="preserve">o provide </w:t>
      </w:r>
      <w:r w:rsidR="00BF6139" w:rsidRPr="00BC1ABD">
        <w:rPr>
          <w:rFonts w:cs="Arial"/>
          <w:sz w:val="24"/>
          <w:szCs w:val="24"/>
          <w:lang w:val="en-GB"/>
        </w:rPr>
        <w:t xml:space="preserve">to third parties </w:t>
      </w:r>
      <w:r w:rsidR="00340E01" w:rsidRPr="00BC1ABD">
        <w:rPr>
          <w:rFonts w:cs="Arial"/>
          <w:sz w:val="24"/>
          <w:szCs w:val="24"/>
          <w:lang w:val="en-GB"/>
        </w:rPr>
        <w:t xml:space="preserve">the access to the services of wholesale central access (i.e. bitstream access) on </w:t>
      </w:r>
      <w:r w:rsidR="00DD251B">
        <w:rPr>
          <w:rFonts w:cs="Arial"/>
          <w:sz w:val="24"/>
          <w:szCs w:val="24"/>
          <w:lang w:val="en-GB"/>
        </w:rPr>
        <w:t xml:space="preserve">a </w:t>
      </w:r>
      <w:r w:rsidR="00340E01" w:rsidRPr="00BC1ABD">
        <w:rPr>
          <w:rFonts w:cs="Arial"/>
          <w:sz w:val="24"/>
          <w:szCs w:val="24"/>
          <w:lang w:val="en-GB"/>
        </w:rPr>
        <w:t>national and regional level of point of handover</w:t>
      </w:r>
      <w:r w:rsidR="00BF6139" w:rsidRPr="00BC1ABD">
        <w:rPr>
          <w:rFonts w:cs="Arial"/>
          <w:sz w:val="24"/>
          <w:szCs w:val="24"/>
          <w:lang w:val="en-GB"/>
        </w:rPr>
        <w:t xml:space="preserve"> for the services based on </w:t>
      </w:r>
      <w:r w:rsidR="00F026B4">
        <w:rPr>
          <w:rFonts w:cs="Arial"/>
          <w:sz w:val="24"/>
          <w:szCs w:val="24"/>
          <w:lang w:val="en-GB"/>
        </w:rPr>
        <w:t>FTTx</w:t>
      </w:r>
      <w:r w:rsidR="00BF6139" w:rsidRPr="00BC1ABD">
        <w:rPr>
          <w:rFonts w:cs="Arial"/>
          <w:sz w:val="24"/>
          <w:szCs w:val="24"/>
          <w:lang w:val="en-GB"/>
        </w:rPr>
        <w:t xml:space="preserve"> technologies</w:t>
      </w:r>
      <w:r w:rsidR="00340E01" w:rsidRPr="00BC1ABD">
        <w:rPr>
          <w:rFonts w:cs="Arial"/>
          <w:sz w:val="24"/>
          <w:szCs w:val="24"/>
          <w:lang w:val="en-GB"/>
        </w:rPr>
        <w:t xml:space="preserve"> in line with the definition of the market</w:t>
      </w:r>
      <w:r w:rsidR="005667A0" w:rsidRPr="00072211">
        <w:rPr>
          <w:rFonts w:cs="Arial"/>
          <w:sz w:val="24"/>
          <w:szCs w:val="24"/>
          <w:lang w:val="en-GB"/>
        </w:rPr>
        <w:t xml:space="preserve"> </w:t>
      </w:r>
      <w:r w:rsidR="00317AA9" w:rsidRPr="00072211">
        <w:rPr>
          <w:rFonts w:cs="Arial"/>
          <w:sz w:val="24"/>
          <w:szCs w:val="24"/>
          <w:lang w:val="en-GB"/>
        </w:rPr>
        <w:t xml:space="preserve">(see Chapters 4.1 and 4.3) </w:t>
      </w:r>
      <w:r w:rsidR="005667A0" w:rsidRPr="00BC1ABD">
        <w:rPr>
          <w:rFonts w:cs="Arial"/>
          <w:sz w:val="24"/>
          <w:szCs w:val="24"/>
          <w:lang w:val="en-GB"/>
        </w:rPr>
        <w:t>and with transparency obligation</w:t>
      </w:r>
      <w:r w:rsidR="00E95034">
        <w:rPr>
          <w:rFonts w:cs="Arial"/>
          <w:sz w:val="24"/>
          <w:szCs w:val="24"/>
          <w:lang w:val="en-GB"/>
        </w:rPr>
        <w:t>;</w:t>
      </w:r>
    </w:p>
    <w:p w14:paraId="01C1EBD9" w14:textId="39FAF7D4" w:rsidR="00C811AF" w:rsidRPr="00BC1ABD" w:rsidRDefault="00C811AF">
      <w:pPr>
        <w:pStyle w:val="ListParagraph"/>
        <w:numPr>
          <w:ilvl w:val="1"/>
          <w:numId w:val="9"/>
        </w:numPr>
        <w:spacing w:line="259" w:lineRule="auto"/>
        <w:jc w:val="both"/>
        <w:rPr>
          <w:rFonts w:cs="Arial"/>
          <w:sz w:val="24"/>
          <w:szCs w:val="24"/>
          <w:lang w:val="en-GB"/>
        </w:rPr>
      </w:pPr>
      <w:r w:rsidRPr="00BC1ABD">
        <w:rPr>
          <w:rFonts w:cs="Arial"/>
          <w:sz w:val="24"/>
          <w:szCs w:val="24"/>
          <w:lang w:val="en-GB"/>
        </w:rPr>
        <w:t>IP level (national and regional)</w:t>
      </w:r>
      <w:r w:rsidR="00E95034">
        <w:rPr>
          <w:rFonts w:cs="Arial"/>
          <w:sz w:val="24"/>
          <w:szCs w:val="24"/>
          <w:lang w:val="en-GB"/>
        </w:rPr>
        <w:t>;</w:t>
      </w:r>
    </w:p>
    <w:p w14:paraId="07819464" w14:textId="1E5BEA68" w:rsidR="00C811AF" w:rsidRPr="00BC1ABD" w:rsidRDefault="00C811AF">
      <w:pPr>
        <w:pStyle w:val="ListParagraph"/>
        <w:numPr>
          <w:ilvl w:val="1"/>
          <w:numId w:val="9"/>
        </w:numPr>
        <w:spacing w:line="259" w:lineRule="auto"/>
        <w:jc w:val="both"/>
        <w:rPr>
          <w:rFonts w:cs="Arial"/>
          <w:sz w:val="24"/>
          <w:szCs w:val="24"/>
          <w:lang w:val="en-GB"/>
        </w:rPr>
      </w:pPr>
      <w:r w:rsidRPr="00BC1ABD">
        <w:rPr>
          <w:rFonts w:cs="Arial"/>
          <w:sz w:val="24"/>
          <w:szCs w:val="24"/>
          <w:lang w:val="en-GB"/>
        </w:rPr>
        <w:t>Ethernet level (</w:t>
      </w:r>
      <w:r w:rsidR="0003189E" w:rsidRPr="00BC1ABD">
        <w:rPr>
          <w:rFonts w:cs="Arial"/>
          <w:sz w:val="24"/>
          <w:szCs w:val="24"/>
          <w:lang w:val="en-GB"/>
        </w:rPr>
        <w:t>national and regional</w:t>
      </w:r>
      <w:r w:rsidRPr="00BC1ABD">
        <w:rPr>
          <w:rFonts w:cs="Arial"/>
          <w:sz w:val="24"/>
          <w:szCs w:val="24"/>
          <w:lang w:val="en-GB"/>
        </w:rPr>
        <w:t>).</w:t>
      </w:r>
    </w:p>
    <w:p w14:paraId="654B7EE9" w14:textId="344D37DD" w:rsidR="00E95034" w:rsidRPr="00BC1ABD" w:rsidRDefault="00E95034" w:rsidP="00E95034">
      <w:pPr>
        <w:pStyle w:val="ListParagraph"/>
        <w:numPr>
          <w:ilvl w:val="0"/>
          <w:numId w:val="9"/>
        </w:numPr>
        <w:spacing w:line="259" w:lineRule="auto"/>
        <w:jc w:val="both"/>
        <w:rPr>
          <w:rFonts w:cs="Arial"/>
          <w:sz w:val="24"/>
          <w:szCs w:val="24"/>
          <w:lang w:val="en-GB"/>
        </w:rPr>
      </w:pPr>
      <w:bookmarkStart w:id="353" w:name="_Hlk149585835"/>
      <w:r w:rsidRPr="00BC1ABD">
        <w:rPr>
          <w:rFonts w:cs="Arial"/>
          <w:sz w:val="24"/>
          <w:szCs w:val="24"/>
          <w:lang w:val="en-GB"/>
        </w:rPr>
        <w:t>To provide third parties access to the services of separate virtual channels for IPTV</w:t>
      </w:r>
      <w:r>
        <w:rPr>
          <w:rFonts w:cs="Arial"/>
          <w:sz w:val="24"/>
          <w:szCs w:val="24"/>
          <w:lang w:val="en-GB"/>
        </w:rPr>
        <w:t xml:space="preserve"> </w:t>
      </w:r>
      <w:r w:rsidR="00F1140B">
        <w:rPr>
          <w:rFonts w:cs="Arial"/>
          <w:sz w:val="24"/>
          <w:szCs w:val="24"/>
          <w:lang w:val="en-GB"/>
        </w:rPr>
        <w:t>(</w:t>
      </w:r>
      <w:r w:rsidRPr="00384D6A">
        <w:rPr>
          <w:rFonts w:cs="Arial"/>
          <w:sz w:val="24"/>
          <w:szCs w:val="24"/>
          <w:lang w:val="en-GB"/>
        </w:rPr>
        <w:t>including but not limited to, multicast and time shift, VoD</w:t>
      </w:r>
      <w:r w:rsidR="00F1140B" w:rsidRPr="00384D6A">
        <w:rPr>
          <w:rFonts w:cs="Arial"/>
          <w:sz w:val="24"/>
          <w:szCs w:val="24"/>
          <w:lang w:val="en-GB"/>
        </w:rPr>
        <w:t xml:space="preserve">), </w:t>
      </w:r>
      <w:r w:rsidRPr="00384D6A">
        <w:rPr>
          <w:rFonts w:cs="Arial"/>
          <w:sz w:val="24"/>
          <w:szCs w:val="24"/>
          <w:lang w:val="en-GB"/>
        </w:rPr>
        <w:t>VoIP, data traffic and other service</w:t>
      </w:r>
      <w:r w:rsidR="00F8554A" w:rsidRPr="00384D6A">
        <w:rPr>
          <w:rFonts w:cs="Arial"/>
          <w:sz w:val="24"/>
          <w:szCs w:val="24"/>
          <w:lang w:val="en-GB"/>
        </w:rPr>
        <w:t>s</w:t>
      </w:r>
      <w:r w:rsidR="007F2C21" w:rsidRPr="00384D6A">
        <w:rPr>
          <w:rFonts w:cs="Arial"/>
          <w:sz w:val="24"/>
          <w:szCs w:val="24"/>
          <w:lang w:val="en-GB"/>
        </w:rPr>
        <w:t xml:space="preserve"> </w:t>
      </w:r>
      <w:bookmarkStart w:id="354" w:name="_Hlk149645326"/>
      <w:r w:rsidR="007F2C21" w:rsidRPr="00384D6A">
        <w:rPr>
          <w:rFonts w:cs="Arial"/>
          <w:sz w:val="24"/>
          <w:szCs w:val="24"/>
          <w:lang w:val="en-GB"/>
        </w:rPr>
        <w:t xml:space="preserve">(offered on the retail level </w:t>
      </w:r>
      <w:r w:rsidR="00D663CF" w:rsidRPr="00384D6A">
        <w:rPr>
          <w:rFonts w:cs="Arial"/>
          <w:sz w:val="24"/>
          <w:szCs w:val="24"/>
          <w:lang w:val="en-GB"/>
        </w:rPr>
        <w:t>by the SMP operator’s retail arm)</w:t>
      </w:r>
      <w:r w:rsidRPr="00384D6A">
        <w:rPr>
          <w:rFonts w:cs="Arial"/>
          <w:sz w:val="24"/>
          <w:szCs w:val="24"/>
          <w:lang w:val="en-GB"/>
        </w:rPr>
        <w:t xml:space="preserve"> </w:t>
      </w:r>
      <w:bookmarkEnd w:id="354"/>
      <w:r w:rsidRPr="00384D6A">
        <w:rPr>
          <w:rFonts w:cs="Arial"/>
          <w:sz w:val="24"/>
          <w:szCs w:val="24"/>
          <w:lang w:val="en-GB"/>
        </w:rPr>
        <w:t>as well as for monitoring and management of users’ equipment</w:t>
      </w:r>
      <w:r w:rsidRPr="00384D6A">
        <w:rPr>
          <w:lang w:val="en-GB"/>
        </w:rPr>
        <w:t xml:space="preserve"> </w:t>
      </w:r>
      <w:r w:rsidRPr="00384D6A">
        <w:rPr>
          <w:rFonts w:cs="Arial"/>
          <w:sz w:val="24"/>
          <w:szCs w:val="24"/>
          <w:lang w:val="en-GB"/>
        </w:rPr>
        <w:t>which must have</w:t>
      </w:r>
      <w:r w:rsidRPr="00BC1ABD">
        <w:rPr>
          <w:rFonts w:cs="Arial"/>
          <w:sz w:val="24"/>
          <w:szCs w:val="24"/>
          <w:lang w:val="en-GB"/>
        </w:rPr>
        <w:t xml:space="preserve"> guaranteed capacity</w:t>
      </w:r>
      <w:r>
        <w:rPr>
          <w:rFonts w:cs="Arial"/>
          <w:sz w:val="24"/>
          <w:szCs w:val="24"/>
          <w:lang w:val="en-GB"/>
        </w:rPr>
        <w:t>, quality of service</w:t>
      </w:r>
      <w:r w:rsidRPr="00BC1ABD">
        <w:rPr>
          <w:rFonts w:cs="Arial"/>
          <w:sz w:val="24"/>
          <w:szCs w:val="24"/>
          <w:lang w:val="en-GB"/>
        </w:rPr>
        <w:t xml:space="preserve"> and priority over other traffic in the network of </w:t>
      </w:r>
      <w:r>
        <w:rPr>
          <w:rFonts w:cs="Arial"/>
          <w:sz w:val="24"/>
          <w:szCs w:val="24"/>
          <w:lang w:val="en-GB"/>
        </w:rPr>
        <w:t xml:space="preserve">the </w:t>
      </w:r>
      <w:r w:rsidRPr="00BC1ABD">
        <w:rPr>
          <w:rFonts w:cs="Arial"/>
          <w:sz w:val="24"/>
          <w:szCs w:val="24"/>
          <w:lang w:val="en-GB"/>
        </w:rPr>
        <w:t>SMP operator</w:t>
      </w:r>
      <w:r>
        <w:rPr>
          <w:rFonts w:cs="Arial"/>
          <w:sz w:val="24"/>
          <w:szCs w:val="24"/>
          <w:lang w:val="en-GB"/>
        </w:rPr>
        <w:t xml:space="preserve"> from the end-user to the point of traffic handover</w:t>
      </w:r>
      <w:r w:rsidRPr="00BC1ABD">
        <w:rPr>
          <w:rFonts w:cs="Arial"/>
          <w:sz w:val="24"/>
          <w:szCs w:val="24"/>
          <w:lang w:val="en-GB"/>
        </w:rPr>
        <w:t xml:space="preserve"> (</w:t>
      </w:r>
      <w:r>
        <w:rPr>
          <w:rFonts w:cs="Arial"/>
          <w:sz w:val="24"/>
          <w:szCs w:val="24"/>
          <w:lang w:val="en-GB"/>
        </w:rPr>
        <w:t xml:space="preserve">in the same way that services are provided </w:t>
      </w:r>
      <w:r w:rsidRPr="00BC1ABD">
        <w:rPr>
          <w:rFonts w:cs="Arial"/>
          <w:sz w:val="24"/>
          <w:szCs w:val="24"/>
          <w:lang w:val="en-GB"/>
        </w:rPr>
        <w:t xml:space="preserve">for the end users of </w:t>
      </w:r>
      <w:r>
        <w:rPr>
          <w:rFonts w:cs="Arial"/>
          <w:sz w:val="24"/>
          <w:szCs w:val="24"/>
          <w:lang w:val="en-GB"/>
        </w:rPr>
        <w:t>the SMP operator’s</w:t>
      </w:r>
      <w:r w:rsidRPr="00BC1ABD">
        <w:rPr>
          <w:rFonts w:cs="Arial"/>
          <w:sz w:val="24"/>
          <w:szCs w:val="24"/>
          <w:lang w:val="en-GB"/>
        </w:rPr>
        <w:t xml:space="preserve"> retail arm – in line with non-discrimination obligation</w:t>
      </w:r>
      <w:r>
        <w:rPr>
          <w:rFonts w:cs="Arial"/>
          <w:sz w:val="24"/>
          <w:szCs w:val="24"/>
          <w:lang w:val="en-GB"/>
        </w:rPr>
        <w:t>s</w:t>
      </w:r>
      <w:r w:rsidRPr="00BC1ABD">
        <w:rPr>
          <w:rFonts w:cs="Arial"/>
          <w:sz w:val="24"/>
          <w:szCs w:val="24"/>
          <w:lang w:val="en-GB"/>
        </w:rPr>
        <w:t>)</w:t>
      </w:r>
      <w:r>
        <w:rPr>
          <w:rFonts w:cs="Arial"/>
          <w:sz w:val="24"/>
          <w:szCs w:val="24"/>
          <w:lang w:val="en-GB"/>
        </w:rPr>
        <w:t>;</w:t>
      </w:r>
      <w:r w:rsidRPr="00BC1ABD">
        <w:rPr>
          <w:rFonts w:cs="Arial"/>
          <w:sz w:val="24"/>
          <w:szCs w:val="24"/>
          <w:lang w:val="en-GB"/>
        </w:rPr>
        <w:t xml:space="preserve"> </w:t>
      </w:r>
    </w:p>
    <w:bookmarkEnd w:id="353"/>
    <w:p w14:paraId="0980A22A" w14:textId="77777777" w:rsidR="00BF6139"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BF6139" w:rsidRPr="00BC1ABD">
        <w:rPr>
          <w:rFonts w:cs="Arial"/>
          <w:sz w:val="24"/>
          <w:szCs w:val="24"/>
          <w:lang w:val="en-GB"/>
        </w:rPr>
        <w:t>o grant open access to technical interfaces, protocols or other key technologies that are necessary for the interoperability of services</w:t>
      </w:r>
    </w:p>
    <w:p w14:paraId="66A9CCA6" w14:textId="58FB93AA" w:rsidR="009F707D" w:rsidRPr="00386286" w:rsidRDefault="009F707D" w:rsidP="00C92069">
      <w:pPr>
        <w:pStyle w:val="ListParagraph"/>
        <w:numPr>
          <w:ilvl w:val="0"/>
          <w:numId w:val="9"/>
        </w:numPr>
        <w:spacing w:line="259" w:lineRule="auto"/>
        <w:jc w:val="both"/>
        <w:rPr>
          <w:rFonts w:cs="Arial"/>
          <w:sz w:val="24"/>
          <w:szCs w:val="24"/>
          <w:lang w:val="en-GB"/>
        </w:rPr>
      </w:pPr>
      <w:r w:rsidRPr="00384D6A">
        <w:rPr>
          <w:rFonts w:cs="Arial"/>
          <w:sz w:val="24"/>
          <w:szCs w:val="24"/>
          <w:lang w:val="en-GB"/>
        </w:rPr>
        <w:t>To provide</w:t>
      </w:r>
      <w:r w:rsidR="00257902" w:rsidRPr="00384D6A">
        <w:rPr>
          <w:rFonts w:cs="Arial"/>
          <w:sz w:val="24"/>
          <w:szCs w:val="24"/>
          <w:lang w:val="en-GB"/>
        </w:rPr>
        <w:t xml:space="preserve"> </w:t>
      </w:r>
      <w:r w:rsidRPr="00384D6A">
        <w:rPr>
          <w:rFonts w:cs="Arial"/>
          <w:sz w:val="24"/>
          <w:szCs w:val="24"/>
          <w:lang w:val="en-GB"/>
        </w:rPr>
        <w:t>third parties the access</w:t>
      </w:r>
      <w:r w:rsidR="00EC290B" w:rsidRPr="00384D6A">
        <w:rPr>
          <w:rFonts w:cs="Arial"/>
          <w:sz w:val="24"/>
          <w:szCs w:val="24"/>
          <w:lang w:val="en-GB"/>
        </w:rPr>
        <w:t xml:space="preserve"> to the </w:t>
      </w:r>
      <w:r w:rsidR="0018115F" w:rsidRPr="00384D6A">
        <w:rPr>
          <w:rFonts w:cs="Arial"/>
          <w:sz w:val="24"/>
          <w:szCs w:val="24"/>
          <w:lang w:val="en-GB"/>
        </w:rPr>
        <w:t>ancill</w:t>
      </w:r>
      <w:r w:rsidR="00EC290B" w:rsidRPr="00384D6A">
        <w:rPr>
          <w:rFonts w:cs="Arial"/>
          <w:sz w:val="24"/>
          <w:szCs w:val="24"/>
          <w:lang w:val="en-GB"/>
        </w:rPr>
        <w:t>ary services (</w:t>
      </w:r>
      <w:r w:rsidR="00EA559D" w:rsidRPr="00384D6A">
        <w:rPr>
          <w:rFonts w:cs="Arial"/>
          <w:sz w:val="24"/>
          <w:szCs w:val="24"/>
          <w:lang w:val="en-GB"/>
        </w:rPr>
        <w:t xml:space="preserve">physical infrastructure </w:t>
      </w:r>
      <w:r w:rsidR="00EC290B" w:rsidRPr="00384D6A">
        <w:rPr>
          <w:rFonts w:cs="Arial"/>
          <w:sz w:val="24"/>
          <w:szCs w:val="24"/>
          <w:lang w:val="en-GB"/>
        </w:rPr>
        <w:t>ducts</w:t>
      </w:r>
      <w:r w:rsidR="00EA559D" w:rsidRPr="00384D6A">
        <w:rPr>
          <w:rFonts w:cs="Arial"/>
          <w:sz w:val="24"/>
          <w:szCs w:val="24"/>
          <w:lang w:val="en-GB"/>
        </w:rPr>
        <w:t xml:space="preserve"> and poles</w:t>
      </w:r>
      <w:r w:rsidR="00372271" w:rsidRPr="00384D6A">
        <w:rPr>
          <w:rFonts w:cs="Arial"/>
          <w:sz w:val="24"/>
          <w:szCs w:val="24"/>
          <w:lang w:val="en-GB"/>
        </w:rPr>
        <w:t>;</w:t>
      </w:r>
      <w:r w:rsidR="00EC290B" w:rsidRPr="00384D6A">
        <w:rPr>
          <w:rFonts w:cs="Arial"/>
          <w:sz w:val="24"/>
          <w:szCs w:val="24"/>
          <w:lang w:val="en-GB"/>
        </w:rPr>
        <w:t xml:space="preserve"> </w:t>
      </w:r>
      <w:r w:rsidR="00F06853" w:rsidRPr="00384D6A">
        <w:rPr>
          <w:rFonts w:cs="Arial"/>
          <w:sz w:val="24"/>
          <w:szCs w:val="24"/>
          <w:lang w:val="en-GB"/>
        </w:rPr>
        <w:t>optical fib</w:t>
      </w:r>
      <w:r w:rsidR="00BB64D6" w:rsidRPr="00384D6A">
        <w:rPr>
          <w:rFonts w:cs="Arial"/>
          <w:sz w:val="24"/>
          <w:szCs w:val="24"/>
          <w:lang w:val="en-GB"/>
        </w:rPr>
        <w:t>re</w:t>
      </w:r>
      <w:r w:rsidR="00F06853" w:rsidRPr="00384D6A">
        <w:rPr>
          <w:rFonts w:cs="Arial"/>
          <w:sz w:val="24"/>
          <w:szCs w:val="24"/>
          <w:lang w:val="en-GB"/>
        </w:rPr>
        <w:t xml:space="preserve"> without transmission equipment (i.e. dark fib</w:t>
      </w:r>
      <w:r w:rsidR="00DD251B" w:rsidRPr="00384D6A">
        <w:rPr>
          <w:rFonts w:cs="Arial"/>
          <w:sz w:val="24"/>
          <w:szCs w:val="24"/>
          <w:lang w:val="en-GB"/>
        </w:rPr>
        <w:t>re</w:t>
      </w:r>
      <w:r w:rsidR="00F06853" w:rsidRPr="00384D6A">
        <w:rPr>
          <w:rFonts w:cs="Arial"/>
          <w:sz w:val="24"/>
          <w:szCs w:val="24"/>
          <w:lang w:val="en-GB"/>
        </w:rPr>
        <w:t>)</w:t>
      </w:r>
      <w:r w:rsidR="00372271" w:rsidRPr="00384D6A">
        <w:rPr>
          <w:rFonts w:cs="Arial"/>
          <w:sz w:val="24"/>
          <w:szCs w:val="24"/>
          <w:lang w:val="en-GB"/>
        </w:rPr>
        <w:t>;</w:t>
      </w:r>
      <w:r w:rsidR="00EC290B" w:rsidRPr="00384D6A">
        <w:rPr>
          <w:rFonts w:cs="Arial"/>
          <w:sz w:val="24"/>
          <w:szCs w:val="24"/>
          <w:lang w:val="en-GB"/>
        </w:rPr>
        <w:t xml:space="preserve"> </w:t>
      </w:r>
      <w:r w:rsidR="00330727" w:rsidRPr="00384D6A">
        <w:rPr>
          <w:rFonts w:cs="Arial"/>
          <w:sz w:val="24"/>
          <w:szCs w:val="24"/>
          <w:lang w:val="en-GB"/>
        </w:rPr>
        <w:t xml:space="preserve">leased lines service based on </w:t>
      </w:r>
      <w:r w:rsidR="00EC290B" w:rsidRPr="00384D6A">
        <w:rPr>
          <w:rFonts w:cs="Arial"/>
          <w:sz w:val="24"/>
          <w:szCs w:val="24"/>
          <w:lang w:val="en-GB"/>
        </w:rPr>
        <w:t>xWDM or Ethernet technology)</w:t>
      </w:r>
      <w:r w:rsidR="00257902" w:rsidRPr="00384D6A">
        <w:rPr>
          <w:rFonts w:cs="Arial"/>
          <w:sz w:val="24"/>
          <w:szCs w:val="24"/>
          <w:lang w:val="en-GB"/>
        </w:rPr>
        <w:t xml:space="preserve"> in order to</w:t>
      </w:r>
      <w:r w:rsidR="00330727" w:rsidRPr="00384D6A">
        <w:rPr>
          <w:rFonts w:cs="Arial"/>
          <w:sz w:val="24"/>
          <w:szCs w:val="24"/>
          <w:lang w:val="en-GB"/>
        </w:rPr>
        <w:t xml:space="preserve"> enable third parties to</w:t>
      </w:r>
      <w:r w:rsidR="00257902" w:rsidRPr="00384D6A">
        <w:rPr>
          <w:rFonts w:cs="Arial"/>
          <w:sz w:val="24"/>
          <w:szCs w:val="24"/>
          <w:lang w:val="en-GB"/>
        </w:rPr>
        <w:t xml:space="preserve"> access different point</w:t>
      </w:r>
      <w:r w:rsidR="00BB64D6" w:rsidRPr="00384D6A">
        <w:rPr>
          <w:rFonts w:cs="Arial"/>
          <w:sz w:val="24"/>
          <w:szCs w:val="24"/>
          <w:lang w:val="en-GB"/>
        </w:rPr>
        <w:t>s</w:t>
      </w:r>
      <w:r w:rsidR="00257902" w:rsidRPr="00384D6A">
        <w:rPr>
          <w:rFonts w:cs="Arial"/>
          <w:sz w:val="24"/>
          <w:szCs w:val="24"/>
          <w:lang w:val="en-GB"/>
        </w:rPr>
        <w:t xml:space="preserve"> of access/</w:t>
      </w:r>
      <w:r w:rsidR="00BB64D6" w:rsidRPr="00384D6A">
        <w:rPr>
          <w:rFonts w:cs="Arial"/>
          <w:sz w:val="24"/>
          <w:szCs w:val="24"/>
          <w:lang w:val="en-GB"/>
        </w:rPr>
        <w:t xml:space="preserve"> </w:t>
      </w:r>
      <w:r w:rsidR="00257902" w:rsidRPr="00384D6A">
        <w:rPr>
          <w:rFonts w:cs="Arial"/>
          <w:sz w:val="24"/>
          <w:szCs w:val="24"/>
          <w:lang w:val="en-GB"/>
        </w:rPr>
        <w:t>handover in Magticom’s network</w:t>
      </w:r>
      <w:r w:rsidR="00330727" w:rsidRPr="00384D6A">
        <w:rPr>
          <w:rFonts w:cs="Arial"/>
          <w:sz w:val="24"/>
          <w:szCs w:val="24"/>
          <w:lang w:val="en-GB"/>
        </w:rPr>
        <w:t xml:space="preserve">. If </w:t>
      </w:r>
      <w:r w:rsidR="00553D6B" w:rsidRPr="00384D6A">
        <w:rPr>
          <w:rFonts w:cs="Arial"/>
          <w:sz w:val="24"/>
          <w:szCs w:val="24"/>
          <w:lang w:val="en-GB"/>
        </w:rPr>
        <w:t>more than one a</w:t>
      </w:r>
      <w:r w:rsidR="00017E68" w:rsidRPr="00384D6A">
        <w:rPr>
          <w:rFonts w:cs="Arial"/>
          <w:sz w:val="24"/>
          <w:szCs w:val="24"/>
          <w:lang w:val="en-GB"/>
        </w:rPr>
        <w:t>ncill</w:t>
      </w:r>
      <w:r w:rsidR="00553D6B" w:rsidRPr="00384D6A">
        <w:rPr>
          <w:rFonts w:cs="Arial"/>
          <w:sz w:val="24"/>
          <w:szCs w:val="24"/>
          <w:lang w:val="en-GB"/>
        </w:rPr>
        <w:t xml:space="preserve">ary service is available, </w:t>
      </w:r>
      <w:r w:rsidR="00BB64D6" w:rsidRPr="00384D6A">
        <w:rPr>
          <w:rFonts w:cs="Arial"/>
          <w:sz w:val="24"/>
          <w:szCs w:val="24"/>
          <w:lang w:val="en-GB"/>
        </w:rPr>
        <w:t xml:space="preserve">the </w:t>
      </w:r>
      <w:r w:rsidR="00553D6B" w:rsidRPr="00384D6A">
        <w:rPr>
          <w:rFonts w:cs="Arial"/>
          <w:sz w:val="24"/>
          <w:szCs w:val="24"/>
          <w:lang w:val="en-GB"/>
        </w:rPr>
        <w:t>access seeker can choose which</w:t>
      </w:r>
      <w:r w:rsidR="00553D6B" w:rsidRPr="00BC1ABD">
        <w:rPr>
          <w:rFonts w:cs="Arial"/>
          <w:sz w:val="24"/>
          <w:szCs w:val="24"/>
          <w:lang w:val="en-GB"/>
        </w:rPr>
        <w:t xml:space="preserve"> </w:t>
      </w:r>
      <w:r w:rsidR="00372271" w:rsidRPr="00BC1ABD">
        <w:rPr>
          <w:rFonts w:cs="Arial"/>
          <w:sz w:val="24"/>
          <w:szCs w:val="24"/>
          <w:lang w:val="en-GB"/>
        </w:rPr>
        <w:t xml:space="preserve">one </w:t>
      </w:r>
      <w:r w:rsidR="00BB64D6">
        <w:rPr>
          <w:rFonts w:cs="Arial"/>
          <w:sz w:val="24"/>
          <w:szCs w:val="24"/>
          <w:lang w:val="en-GB"/>
        </w:rPr>
        <w:t xml:space="preserve">it </w:t>
      </w:r>
      <w:r w:rsidR="00553D6B" w:rsidRPr="00BC1ABD">
        <w:rPr>
          <w:rFonts w:cs="Arial"/>
          <w:sz w:val="24"/>
          <w:szCs w:val="24"/>
          <w:lang w:val="en-GB"/>
        </w:rPr>
        <w:t xml:space="preserve">will </w:t>
      </w:r>
      <w:r w:rsidR="00372271" w:rsidRPr="00BC1ABD">
        <w:rPr>
          <w:rFonts w:cs="Arial"/>
          <w:sz w:val="24"/>
          <w:szCs w:val="24"/>
          <w:lang w:val="en-GB"/>
        </w:rPr>
        <w:t>request</w:t>
      </w:r>
      <w:r w:rsidR="00A77E31">
        <w:rPr>
          <w:rFonts w:cs="Arial"/>
          <w:sz w:val="24"/>
          <w:szCs w:val="24"/>
          <w:lang w:val="en-GB"/>
        </w:rPr>
        <w:t>;</w:t>
      </w:r>
      <w:r w:rsidR="00553D6B" w:rsidRPr="00BC1ABD">
        <w:rPr>
          <w:rStyle w:val="FootnoteReference"/>
          <w:rFonts w:cs="Arial"/>
          <w:sz w:val="24"/>
          <w:szCs w:val="24"/>
          <w:lang w:val="en-GB"/>
        </w:rPr>
        <w:footnoteReference w:id="106"/>
      </w:r>
    </w:p>
    <w:p w14:paraId="0C895AFD" w14:textId="31551DA3" w:rsidR="00687A1A"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687A1A" w:rsidRPr="00BC1ABD">
        <w:rPr>
          <w:rFonts w:cs="Arial"/>
          <w:sz w:val="24"/>
          <w:szCs w:val="24"/>
          <w:lang w:val="en-GB"/>
        </w:rPr>
        <w:t xml:space="preserve">o enable usage of </w:t>
      </w:r>
      <w:r w:rsidR="00E95034">
        <w:rPr>
          <w:rFonts w:cs="Arial"/>
          <w:sz w:val="24"/>
          <w:szCs w:val="24"/>
          <w:lang w:val="en-GB"/>
        </w:rPr>
        <w:t xml:space="preserve">the </w:t>
      </w:r>
      <w:r w:rsidR="00687A1A" w:rsidRPr="00BC1ABD">
        <w:rPr>
          <w:rFonts w:cs="Arial"/>
          <w:sz w:val="24"/>
          <w:szCs w:val="24"/>
          <w:lang w:val="en-GB"/>
        </w:rPr>
        <w:t>access seeker’s own CPE (</w:t>
      </w:r>
      <w:r w:rsidR="00810AA5">
        <w:rPr>
          <w:rFonts w:cs="Arial"/>
          <w:sz w:val="24"/>
          <w:szCs w:val="24"/>
          <w:lang w:val="en-GB"/>
        </w:rPr>
        <w:t xml:space="preserve">for example </w:t>
      </w:r>
      <w:r w:rsidR="00687A1A" w:rsidRPr="00BC1ABD">
        <w:rPr>
          <w:rFonts w:cs="Arial"/>
          <w:sz w:val="24"/>
          <w:szCs w:val="24"/>
          <w:lang w:val="en-GB"/>
        </w:rPr>
        <w:t>modems) which are technically compliant</w:t>
      </w:r>
      <w:r w:rsidR="00A77E31">
        <w:rPr>
          <w:rFonts w:cs="Arial"/>
          <w:sz w:val="24"/>
          <w:szCs w:val="24"/>
          <w:lang w:val="en-GB"/>
        </w:rPr>
        <w:t>;</w:t>
      </w:r>
    </w:p>
    <w:p w14:paraId="0C744D41" w14:textId="49511A4C" w:rsidR="00BF6139"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BF6139" w:rsidRPr="00BC1ABD">
        <w:rPr>
          <w:rFonts w:cs="Arial"/>
          <w:sz w:val="24"/>
          <w:szCs w:val="24"/>
          <w:lang w:val="en-GB"/>
        </w:rPr>
        <w:t>o provide access to operational support systems or similar software systems necessary to ensure fair</w:t>
      </w:r>
      <w:r w:rsidR="0003189E" w:rsidRPr="00BC1ABD">
        <w:rPr>
          <w:rFonts w:cs="Arial"/>
          <w:sz w:val="24"/>
          <w:szCs w:val="24"/>
          <w:lang w:val="en-GB"/>
        </w:rPr>
        <w:t xml:space="preserve"> retail</w:t>
      </w:r>
      <w:r w:rsidR="00BF6139" w:rsidRPr="00BC1ABD">
        <w:rPr>
          <w:rFonts w:cs="Arial"/>
          <w:sz w:val="24"/>
          <w:szCs w:val="24"/>
          <w:lang w:val="en-GB"/>
        </w:rPr>
        <w:t xml:space="preserve"> market competition</w:t>
      </w:r>
      <w:r w:rsidR="00A77E31">
        <w:rPr>
          <w:rFonts w:cs="Arial"/>
          <w:sz w:val="24"/>
          <w:szCs w:val="24"/>
          <w:lang w:val="en-GB"/>
        </w:rPr>
        <w:t>:</w:t>
      </w:r>
    </w:p>
    <w:p w14:paraId="64C46E52" w14:textId="2B0359CE" w:rsidR="0003189E" w:rsidRPr="00BC1ABD" w:rsidRDefault="00786861">
      <w:pPr>
        <w:pStyle w:val="ListParagraph"/>
        <w:numPr>
          <w:ilvl w:val="1"/>
          <w:numId w:val="9"/>
        </w:numPr>
        <w:spacing w:line="259" w:lineRule="auto"/>
        <w:jc w:val="both"/>
        <w:rPr>
          <w:rFonts w:cs="Arial"/>
          <w:sz w:val="24"/>
          <w:szCs w:val="24"/>
          <w:lang w:val="en-GB"/>
        </w:rPr>
      </w:pPr>
      <w:r w:rsidRPr="00BC1ABD">
        <w:rPr>
          <w:rFonts w:cs="Arial"/>
          <w:sz w:val="24"/>
          <w:szCs w:val="24"/>
          <w:lang w:val="en-GB"/>
        </w:rPr>
        <w:t>T</w:t>
      </w:r>
      <w:r w:rsidR="0003189E" w:rsidRPr="00BC1ABD">
        <w:rPr>
          <w:rFonts w:cs="Arial"/>
          <w:sz w:val="24"/>
          <w:szCs w:val="24"/>
          <w:lang w:val="en-GB"/>
        </w:rPr>
        <w:t xml:space="preserve">he information system for monitoring access seekers' requests for the </w:t>
      </w:r>
      <w:r w:rsidR="00E03A63" w:rsidRPr="00603F78">
        <w:rPr>
          <w:rFonts w:cs="Arial"/>
          <w:sz w:val="24"/>
          <w:szCs w:val="24"/>
          <w:highlight w:val="yellow"/>
          <w:lang w:val="en-GB"/>
        </w:rPr>
        <w:t xml:space="preserve">VULA </w:t>
      </w:r>
      <w:r w:rsidR="0003189E" w:rsidRPr="00603F78">
        <w:rPr>
          <w:rFonts w:cs="Arial"/>
          <w:sz w:val="24"/>
          <w:szCs w:val="24"/>
          <w:highlight w:val="yellow"/>
          <w:lang w:val="en-GB"/>
        </w:rPr>
        <w:t xml:space="preserve">and </w:t>
      </w:r>
      <w:r w:rsidR="00E03A63" w:rsidRPr="00603F78">
        <w:rPr>
          <w:rFonts w:cs="Arial"/>
          <w:sz w:val="24"/>
          <w:szCs w:val="24"/>
          <w:highlight w:val="yellow"/>
          <w:lang w:val="en-GB"/>
        </w:rPr>
        <w:t>wholesale</w:t>
      </w:r>
      <w:r w:rsidR="00E03A63">
        <w:rPr>
          <w:rFonts w:cs="Arial"/>
          <w:sz w:val="24"/>
          <w:szCs w:val="24"/>
          <w:lang w:val="en-GB"/>
        </w:rPr>
        <w:t xml:space="preserve"> </w:t>
      </w:r>
      <w:r w:rsidR="0003189E" w:rsidRPr="00BC1ABD">
        <w:rPr>
          <w:rFonts w:cs="Arial"/>
          <w:sz w:val="24"/>
          <w:szCs w:val="24"/>
          <w:lang w:val="en-GB"/>
        </w:rPr>
        <w:t>central access services; user operator requests for fault repair, access to information on the status and escalation status of user operator fault repair; network coverage information; service availability</w:t>
      </w:r>
      <w:r w:rsidR="00ED449A" w:rsidRPr="00BC1ABD">
        <w:rPr>
          <w:rFonts w:cs="Arial"/>
          <w:sz w:val="24"/>
          <w:szCs w:val="24"/>
          <w:lang w:val="en-GB"/>
        </w:rPr>
        <w:t>. All that should be provided in B2B format that is easy to manage, control and update.</w:t>
      </w:r>
      <w:r w:rsidR="0003189E" w:rsidRPr="00BC1ABD">
        <w:rPr>
          <w:rFonts w:cs="Arial"/>
          <w:sz w:val="24"/>
          <w:szCs w:val="24"/>
          <w:lang w:val="en-GB"/>
        </w:rPr>
        <w:t xml:space="preserve"> </w:t>
      </w:r>
    </w:p>
    <w:p w14:paraId="5EC92EB8" w14:textId="7795EC0F" w:rsidR="00F47518" w:rsidRPr="00BC1ABD" w:rsidRDefault="002F05D0" w:rsidP="00F47518">
      <w:pPr>
        <w:spacing w:line="259" w:lineRule="auto"/>
        <w:jc w:val="both"/>
        <w:rPr>
          <w:rFonts w:cs="Arial"/>
          <w:sz w:val="24"/>
          <w:szCs w:val="24"/>
          <w:u w:val="single"/>
          <w:lang w:val="en-GB"/>
        </w:rPr>
      </w:pPr>
      <w:r w:rsidRPr="00BC1ABD">
        <w:rPr>
          <w:rFonts w:cs="Arial"/>
          <w:sz w:val="24"/>
          <w:szCs w:val="24"/>
          <w:u w:val="single"/>
          <w:lang w:val="en-GB"/>
        </w:rPr>
        <w:t>Cluster</w:t>
      </w:r>
      <w:r w:rsidR="00425ACC" w:rsidRPr="00BC1ABD">
        <w:rPr>
          <w:rFonts w:cs="Arial"/>
          <w:sz w:val="24"/>
          <w:szCs w:val="24"/>
          <w:u w:val="single"/>
          <w:lang w:val="en-GB"/>
        </w:rPr>
        <w:t xml:space="preserve"> </w:t>
      </w:r>
      <w:r w:rsidR="00F47518" w:rsidRPr="00BC1ABD">
        <w:rPr>
          <w:rFonts w:cs="Arial"/>
          <w:sz w:val="24"/>
          <w:szCs w:val="24"/>
          <w:u w:val="single"/>
          <w:lang w:val="en-GB"/>
        </w:rPr>
        <w:t>II</w:t>
      </w:r>
      <w:r w:rsidR="00A77E31">
        <w:rPr>
          <w:rFonts w:cs="Arial"/>
          <w:sz w:val="24"/>
          <w:szCs w:val="24"/>
          <w:u w:val="single"/>
          <w:lang w:val="en-GB"/>
        </w:rPr>
        <w:t>:</w:t>
      </w:r>
    </w:p>
    <w:p w14:paraId="671232CA" w14:textId="27C63C12" w:rsidR="008718A5" w:rsidRDefault="00786861" w:rsidP="008718A5">
      <w:pPr>
        <w:pStyle w:val="ListParagraph"/>
        <w:numPr>
          <w:ilvl w:val="0"/>
          <w:numId w:val="9"/>
        </w:numPr>
        <w:jc w:val="both"/>
        <w:rPr>
          <w:rFonts w:cs="Arial"/>
          <w:sz w:val="24"/>
          <w:szCs w:val="24"/>
          <w:lang w:val="en-GB"/>
        </w:rPr>
      </w:pPr>
      <w:r w:rsidRPr="00BC1ABD">
        <w:rPr>
          <w:rFonts w:cs="Arial"/>
          <w:sz w:val="24"/>
          <w:szCs w:val="24"/>
          <w:lang w:val="en-GB"/>
        </w:rPr>
        <w:t>T</w:t>
      </w:r>
      <w:r w:rsidR="008718A5" w:rsidRPr="00BC1ABD">
        <w:rPr>
          <w:rFonts w:cs="Arial"/>
          <w:sz w:val="24"/>
          <w:szCs w:val="24"/>
          <w:lang w:val="en-GB"/>
        </w:rPr>
        <w:t>o provide to third parties</w:t>
      </w:r>
      <w:r w:rsidR="00DD251B">
        <w:rPr>
          <w:rFonts w:cs="Arial"/>
          <w:sz w:val="24"/>
          <w:szCs w:val="24"/>
          <w:lang w:val="en-GB"/>
        </w:rPr>
        <w:t xml:space="preserve"> </w:t>
      </w:r>
      <w:r w:rsidR="008718A5" w:rsidRPr="00BC1ABD">
        <w:rPr>
          <w:rFonts w:cs="Arial"/>
          <w:sz w:val="24"/>
          <w:szCs w:val="24"/>
          <w:lang w:val="en-GB"/>
        </w:rPr>
        <w:t xml:space="preserve">access to the </w:t>
      </w:r>
      <w:r w:rsidR="008718A5" w:rsidRPr="00603F78">
        <w:rPr>
          <w:rFonts w:cs="Arial"/>
          <w:sz w:val="24"/>
          <w:szCs w:val="24"/>
          <w:highlight w:val="yellow"/>
          <w:lang w:val="en-GB"/>
        </w:rPr>
        <w:t xml:space="preserve">wholesale </w:t>
      </w:r>
      <w:r w:rsidR="003D3497" w:rsidRPr="00603F78">
        <w:rPr>
          <w:rFonts w:cs="Arial"/>
          <w:sz w:val="24"/>
          <w:szCs w:val="24"/>
          <w:highlight w:val="yellow"/>
          <w:lang w:val="en-GB"/>
        </w:rPr>
        <w:t xml:space="preserve">service of </w:t>
      </w:r>
      <w:r w:rsidR="008718A5" w:rsidRPr="00603F78">
        <w:rPr>
          <w:rFonts w:cs="Arial"/>
          <w:sz w:val="24"/>
          <w:szCs w:val="24"/>
          <w:highlight w:val="yellow"/>
          <w:lang w:val="en-GB"/>
        </w:rPr>
        <w:t xml:space="preserve"> VULA for the services based on </w:t>
      </w:r>
      <w:r w:rsidR="00F026B4" w:rsidRPr="00603F78">
        <w:rPr>
          <w:rFonts w:cs="Arial"/>
          <w:sz w:val="24"/>
          <w:szCs w:val="24"/>
          <w:highlight w:val="yellow"/>
          <w:lang w:val="en-GB"/>
        </w:rPr>
        <w:t>FTTx</w:t>
      </w:r>
      <w:r w:rsidR="008718A5" w:rsidRPr="00603F78">
        <w:rPr>
          <w:rFonts w:cs="Arial"/>
          <w:sz w:val="24"/>
          <w:szCs w:val="24"/>
          <w:highlight w:val="yellow"/>
          <w:lang w:val="en-GB"/>
        </w:rPr>
        <w:t xml:space="preserve"> technologies</w:t>
      </w:r>
      <w:r w:rsidR="008718A5" w:rsidRPr="00BC1ABD">
        <w:rPr>
          <w:rFonts w:cs="Arial"/>
          <w:sz w:val="24"/>
          <w:szCs w:val="24"/>
          <w:lang w:val="en-GB"/>
        </w:rPr>
        <w:t xml:space="preserve"> and with </w:t>
      </w:r>
      <w:r w:rsidRPr="00BC1ABD">
        <w:rPr>
          <w:rFonts w:cs="Arial"/>
          <w:sz w:val="24"/>
          <w:szCs w:val="24"/>
          <w:lang w:val="en-GB"/>
        </w:rPr>
        <w:t xml:space="preserve">a </w:t>
      </w:r>
      <w:r w:rsidR="008718A5" w:rsidRPr="00BC1ABD">
        <w:rPr>
          <w:rFonts w:cs="Arial"/>
          <w:sz w:val="24"/>
          <w:szCs w:val="24"/>
          <w:lang w:val="en-GB"/>
        </w:rPr>
        <w:t>transparency obligation</w:t>
      </w:r>
      <w:r w:rsidR="00DD251B">
        <w:rPr>
          <w:rFonts w:cs="Arial"/>
          <w:sz w:val="24"/>
          <w:szCs w:val="24"/>
          <w:lang w:val="en-GB"/>
        </w:rPr>
        <w:t>;</w:t>
      </w:r>
    </w:p>
    <w:p w14:paraId="40336971" w14:textId="1683F640" w:rsidR="00ED449A"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ED449A" w:rsidRPr="00BC1ABD">
        <w:rPr>
          <w:rFonts w:cs="Arial"/>
          <w:sz w:val="24"/>
          <w:szCs w:val="24"/>
          <w:lang w:val="en-GB"/>
        </w:rPr>
        <w:t xml:space="preserve">o provide to third parties the access to the services of wholesale central access (i.e. bitstream access) on </w:t>
      </w:r>
      <w:r w:rsidR="00DD251B">
        <w:rPr>
          <w:rFonts w:cs="Arial"/>
          <w:sz w:val="24"/>
          <w:szCs w:val="24"/>
          <w:lang w:val="en-GB"/>
        </w:rPr>
        <w:t xml:space="preserve">a </w:t>
      </w:r>
      <w:r w:rsidR="00687A1A" w:rsidRPr="00BC1ABD">
        <w:rPr>
          <w:rFonts w:cs="Arial"/>
          <w:sz w:val="24"/>
          <w:szCs w:val="24"/>
          <w:lang w:val="en-GB"/>
        </w:rPr>
        <w:t xml:space="preserve">regional and </w:t>
      </w:r>
      <w:r w:rsidR="00ED449A" w:rsidRPr="00BC1ABD">
        <w:rPr>
          <w:rFonts w:cs="Arial"/>
          <w:sz w:val="24"/>
          <w:szCs w:val="24"/>
          <w:lang w:val="en-GB"/>
        </w:rPr>
        <w:t xml:space="preserve">national level of point of handover for the services based on </w:t>
      </w:r>
      <w:r w:rsidR="00F026B4">
        <w:rPr>
          <w:rFonts w:cs="Arial"/>
          <w:sz w:val="24"/>
          <w:szCs w:val="24"/>
          <w:lang w:val="en-GB"/>
        </w:rPr>
        <w:t>FTTx</w:t>
      </w:r>
      <w:r w:rsidR="00ED449A" w:rsidRPr="00BC1ABD">
        <w:rPr>
          <w:rFonts w:cs="Arial"/>
          <w:sz w:val="24"/>
          <w:szCs w:val="24"/>
          <w:lang w:val="en-GB"/>
        </w:rPr>
        <w:t xml:space="preserve"> technologies in line with the definition of the market</w:t>
      </w:r>
      <w:r w:rsidR="00ED449A" w:rsidRPr="00BC1ABD">
        <w:rPr>
          <w:lang w:val="en-GB"/>
        </w:rPr>
        <w:t xml:space="preserve"> </w:t>
      </w:r>
      <w:r w:rsidR="00317AA9" w:rsidRPr="00317AA9">
        <w:rPr>
          <w:lang w:val="en-GB"/>
        </w:rPr>
        <w:t>(see Chapters 4.1 and 4.3)</w:t>
      </w:r>
      <w:r w:rsidR="00317AA9">
        <w:rPr>
          <w:lang w:val="en-GB"/>
        </w:rPr>
        <w:t xml:space="preserve"> </w:t>
      </w:r>
      <w:r w:rsidR="00ED449A" w:rsidRPr="00BC1ABD">
        <w:rPr>
          <w:rFonts w:cs="Arial"/>
          <w:sz w:val="24"/>
          <w:szCs w:val="24"/>
          <w:lang w:val="en-GB"/>
        </w:rPr>
        <w:t>and with transparency obligation</w:t>
      </w:r>
      <w:r w:rsidR="00DD251B">
        <w:rPr>
          <w:rFonts w:cs="Arial"/>
          <w:sz w:val="24"/>
          <w:szCs w:val="24"/>
          <w:lang w:val="en-GB"/>
        </w:rPr>
        <w:t>:</w:t>
      </w:r>
    </w:p>
    <w:p w14:paraId="0F60E9C6" w14:textId="4E42406B" w:rsidR="00ED449A" w:rsidRPr="00BC1ABD" w:rsidRDefault="00ED449A">
      <w:pPr>
        <w:pStyle w:val="ListParagraph"/>
        <w:numPr>
          <w:ilvl w:val="1"/>
          <w:numId w:val="9"/>
        </w:numPr>
        <w:spacing w:line="259" w:lineRule="auto"/>
        <w:jc w:val="both"/>
        <w:rPr>
          <w:rFonts w:cs="Arial"/>
          <w:sz w:val="24"/>
          <w:szCs w:val="24"/>
          <w:lang w:val="en-GB"/>
        </w:rPr>
      </w:pPr>
      <w:r w:rsidRPr="00BC1ABD">
        <w:rPr>
          <w:rFonts w:cs="Arial"/>
          <w:sz w:val="24"/>
          <w:szCs w:val="24"/>
          <w:lang w:val="en-GB"/>
        </w:rPr>
        <w:t>IP level (national</w:t>
      </w:r>
      <w:r w:rsidR="00687A1A" w:rsidRPr="00BC1ABD">
        <w:rPr>
          <w:rFonts w:cs="Arial"/>
          <w:sz w:val="24"/>
          <w:szCs w:val="24"/>
          <w:lang w:val="en-GB"/>
        </w:rPr>
        <w:t xml:space="preserve"> and regional</w:t>
      </w:r>
      <w:r w:rsidRPr="00BC1ABD">
        <w:rPr>
          <w:rFonts w:cs="Arial"/>
          <w:sz w:val="24"/>
          <w:szCs w:val="24"/>
          <w:lang w:val="en-GB"/>
        </w:rPr>
        <w:t>)</w:t>
      </w:r>
      <w:r w:rsidR="00DD251B">
        <w:rPr>
          <w:rFonts w:cs="Arial"/>
          <w:sz w:val="24"/>
          <w:szCs w:val="24"/>
          <w:lang w:val="en-GB"/>
        </w:rPr>
        <w:t>;</w:t>
      </w:r>
    </w:p>
    <w:p w14:paraId="13F4FC9E" w14:textId="77777777" w:rsidR="00ED449A" w:rsidRPr="00BC1ABD" w:rsidRDefault="00ED449A">
      <w:pPr>
        <w:pStyle w:val="ListParagraph"/>
        <w:numPr>
          <w:ilvl w:val="1"/>
          <w:numId w:val="9"/>
        </w:numPr>
        <w:spacing w:line="259" w:lineRule="auto"/>
        <w:jc w:val="both"/>
        <w:rPr>
          <w:rFonts w:cs="Arial"/>
          <w:sz w:val="24"/>
          <w:szCs w:val="24"/>
          <w:lang w:val="en-GB"/>
        </w:rPr>
      </w:pPr>
      <w:r w:rsidRPr="00BC1ABD">
        <w:rPr>
          <w:rFonts w:cs="Arial"/>
          <w:sz w:val="24"/>
          <w:szCs w:val="24"/>
          <w:lang w:val="en-GB"/>
        </w:rPr>
        <w:t>Ethernet level (national</w:t>
      </w:r>
      <w:r w:rsidR="00687A1A" w:rsidRPr="00BC1ABD">
        <w:rPr>
          <w:rFonts w:cs="Arial"/>
          <w:sz w:val="24"/>
          <w:szCs w:val="24"/>
          <w:lang w:val="en-GB"/>
        </w:rPr>
        <w:t xml:space="preserve"> and regional</w:t>
      </w:r>
      <w:r w:rsidRPr="00BC1ABD">
        <w:rPr>
          <w:rFonts w:cs="Arial"/>
          <w:sz w:val="24"/>
          <w:szCs w:val="24"/>
          <w:lang w:val="en-GB"/>
        </w:rPr>
        <w:t>).</w:t>
      </w:r>
    </w:p>
    <w:p w14:paraId="6E71A139" w14:textId="3AD28B16" w:rsidR="00057FA9" w:rsidRPr="00057FA9" w:rsidRDefault="00057FA9" w:rsidP="00057FA9">
      <w:pPr>
        <w:pStyle w:val="ListParagraph"/>
        <w:numPr>
          <w:ilvl w:val="0"/>
          <w:numId w:val="9"/>
        </w:numPr>
        <w:jc w:val="both"/>
        <w:rPr>
          <w:rFonts w:cs="Arial"/>
          <w:sz w:val="24"/>
          <w:szCs w:val="24"/>
          <w:lang w:val="en-GB"/>
        </w:rPr>
      </w:pPr>
      <w:r w:rsidRPr="00057FA9">
        <w:rPr>
          <w:rFonts w:cs="Arial"/>
          <w:sz w:val="24"/>
          <w:szCs w:val="24"/>
          <w:lang w:val="en-GB"/>
        </w:rPr>
        <w:t xml:space="preserve">To provide third parties access to the services of separate virtual channels for IPTV (including but not limited to, multicast and time shift, VoD), VoIP, data traffic and other </w:t>
      </w:r>
      <w:r w:rsidRPr="00384D6A">
        <w:rPr>
          <w:rFonts w:cs="Arial"/>
          <w:sz w:val="24"/>
          <w:szCs w:val="24"/>
          <w:lang w:val="en-GB"/>
        </w:rPr>
        <w:t>service</w:t>
      </w:r>
      <w:r w:rsidR="00F006C4" w:rsidRPr="00384D6A">
        <w:rPr>
          <w:rFonts w:cs="Arial"/>
          <w:sz w:val="24"/>
          <w:szCs w:val="24"/>
          <w:lang w:val="en-GB"/>
        </w:rPr>
        <w:t>s</w:t>
      </w:r>
      <w:r w:rsidRPr="00384D6A">
        <w:rPr>
          <w:rFonts w:cs="Arial"/>
          <w:sz w:val="24"/>
          <w:szCs w:val="24"/>
          <w:lang w:val="en-GB"/>
        </w:rPr>
        <w:t xml:space="preserve"> </w:t>
      </w:r>
      <w:r w:rsidR="00D663CF" w:rsidRPr="00384D6A">
        <w:rPr>
          <w:rFonts w:cs="Arial"/>
          <w:sz w:val="24"/>
          <w:szCs w:val="24"/>
          <w:lang w:val="en-GB"/>
        </w:rPr>
        <w:t>(offered on the retail level by the SMP operator’s retail arm)</w:t>
      </w:r>
      <w:r w:rsidRPr="00384D6A">
        <w:rPr>
          <w:rFonts w:cs="Arial"/>
          <w:sz w:val="24"/>
          <w:szCs w:val="24"/>
          <w:lang w:val="en-GB"/>
        </w:rPr>
        <w:t xml:space="preserve"> as well as for monitoring and management of users’ equipment which must have guaranteed capacity, quality of service and priority over other traffic in the network of the</w:t>
      </w:r>
      <w:r w:rsidRPr="00057FA9">
        <w:rPr>
          <w:rFonts w:cs="Arial"/>
          <w:sz w:val="24"/>
          <w:szCs w:val="24"/>
          <w:lang w:val="en-GB"/>
        </w:rPr>
        <w:t xml:space="preserve"> SMP operator from the end-user to the point of traffic handover (in the same way that services are provided for the end users of the SMP operator’s retail arm – in line with non-discrimination obligations); </w:t>
      </w:r>
    </w:p>
    <w:p w14:paraId="6A72C5E6" w14:textId="3C1A8D2F" w:rsidR="00ED449A"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ED449A" w:rsidRPr="00BC1ABD">
        <w:rPr>
          <w:rFonts w:cs="Arial"/>
          <w:sz w:val="24"/>
          <w:szCs w:val="24"/>
          <w:lang w:val="en-GB"/>
        </w:rPr>
        <w:t>o grant open access to technical interfaces, protocols or other key technologies that are necessary for the interoperability of services</w:t>
      </w:r>
      <w:r w:rsidR="00DA17B5">
        <w:rPr>
          <w:rFonts w:cs="Arial"/>
          <w:sz w:val="24"/>
          <w:szCs w:val="24"/>
          <w:lang w:val="en-GB"/>
        </w:rPr>
        <w:t>;</w:t>
      </w:r>
    </w:p>
    <w:p w14:paraId="501EFC8B" w14:textId="365C7CDD" w:rsidR="00ED449A" w:rsidRPr="00603F78" w:rsidRDefault="00786861">
      <w:pPr>
        <w:pStyle w:val="ListParagraph"/>
        <w:numPr>
          <w:ilvl w:val="0"/>
          <w:numId w:val="9"/>
        </w:numPr>
        <w:spacing w:line="259" w:lineRule="auto"/>
        <w:jc w:val="both"/>
        <w:rPr>
          <w:rFonts w:cs="Arial"/>
          <w:strike/>
          <w:sz w:val="24"/>
          <w:szCs w:val="24"/>
          <w:highlight w:val="yellow"/>
          <w:lang w:val="en-GB"/>
        </w:rPr>
      </w:pPr>
      <w:r w:rsidRPr="00603F78">
        <w:rPr>
          <w:rFonts w:cs="Arial"/>
          <w:strike/>
          <w:sz w:val="24"/>
          <w:szCs w:val="24"/>
          <w:highlight w:val="yellow"/>
          <w:lang w:val="en-GB"/>
        </w:rPr>
        <w:t>T</w:t>
      </w:r>
      <w:r w:rsidR="00ED449A" w:rsidRPr="00603F78">
        <w:rPr>
          <w:rFonts w:cs="Arial"/>
          <w:strike/>
          <w:sz w:val="24"/>
          <w:szCs w:val="24"/>
          <w:highlight w:val="yellow"/>
          <w:lang w:val="en-GB"/>
        </w:rPr>
        <w:t>o enable co-location or other forms of joint use of connected equipment</w:t>
      </w:r>
      <w:r w:rsidR="00DA17B5" w:rsidRPr="00603F78">
        <w:rPr>
          <w:rFonts w:cs="Arial"/>
          <w:strike/>
          <w:sz w:val="24"/>
          <w:szCs w:val="24"/>
          <w:highlight w:val="yellow"/>
          <w:lang w:val="en-GB"/>
        </w:rPr>
        <w:t>;</w:t>
      </w:r>
    </w:p>
    <w:p w14:paraId="1CFF9CA5" w14:textId="718B8D6E" w:rsidR="00372271" w:rsidRPr="00384D6A" w:rsidRDefault="00372271" w:rsidP="00372271">
      <w:pPr>
        <w:pStyle w:val="ListParagraph"/>
        <w:numPr>
          <w:ilvl w:val="0"/>
          <w:numId w:val="9"/>
        </w:numPr>
        <w:spacing w:line="259" w:lineRule="auto"/>
        <w:jc w:val="both"/>
        <w:rPr>
          <w:rFonts w:cs="Arial"/>
          <w:sz w:val="24"/>
          <w:szCs w:val="24"/>
          <w:lang w:val="en-GB"/>
        </w:rPr>
      </w:pPr>
      <w:r w:rsidRPr="00384D6A">
        <w:rPr>
          <w:rFonts w:cs="Arial"/>
          <w:sz w:val="24"/>
          <w:szCs w:val="24"/>
          <w:lang w:val="en-GB"/>
        </w:rPr>
        <w:t xml:space="preserve">To provide third parties the access to the </w:t>
      </w:r>
      <w:r w:rsidR="009113DD" w:rsidRPr="00384D6A">
        <w:rPr>
          <w:rFonts w:cs="Arial"/>
          <w:sz w:val="24"/>
          <w:szCs w:val="24"/>
          <w:lang w:val="en-GB"/>
        </w:rPr>
        <w:t>ancill</w:t>
      </w:r>
      <w:r w:rsidRPr="00384D6A">
        <w:rPr>
          <w:rFonts w:cs="Arial"/>
          <w:sz w:val="24"/>
          <w:szCs w:val="24"/>
          <w:lang w:val="en-GB"/>
        </w:rPr>
        <w:t>ary services (</w:t>
      </w:r>
      <w:r w:rsidR="005C2D54" w:rsidRPr="00384D6A">
        <w:rPr>
          <w:rFonts w:cs="Arial"/>
          <w:sz w:val="24"/>
          <w:szCs w:val="24"/>
          <w:lang w:val="en-GB"/>
        </w:rPr>
        <w:t>physical infrastructure ducts and poles;</w:t>
      </w:r>
      <w:r w:rsidRPr="00384D6A">
        <w:rPr>
          <w:rFonts w:cs="Arial"/>
          <w:sz w:val="24"/>
          <w:szCs w:val="24"/>
          <w:lang w:val="en-GB"/>
        </w:rPr>
        <w:t xml:space="preserve"> optical fib</w:t>
      </w:r>
      <w:r w:rsidR="00BB64D6" w:rsidRPr="00384D6A">
        <w:rPr>
          <w:rFonts w:cs="Arial"/>
          <w:sz w:val="24"/>
          <w:szCs w:val="24"/>
          <w:lang w:val="en-GB"/>
        </w:rPr>
        <w:t>r</w:t>
      </w:r>
      <w:r w:rsidR="009D248B" w:rsidRPr="00384D6A">
        <w:rPr>
          <w:rFonts w:cs="Arial"/>
          <w:sz w:val="24"/>
          <w:szCs w:val="24"/>
          <w:lang w:val="en-GB"/>
        </w:rPr>
        <w:t>e</w:t>
      </w:r>
      <w:r w:rsidRPr="00384D6A">
        <w:rPr>
          <w:rFonts w:cs="Arial"/>
          <w:sz w:val="24"/>
          <w:szCs w:val="24"/>
          <w:lang w:val="en-GB"/>
        </w:rPr>
        <w:t xml:space="preserve"> without transmission equipment i.e. dark fib</w:t>
      </w:r>
      <w:r w:rsidR="00BB64D6" w:rsidRPr="00384D6A">
        <w:rPr>
          <w:rFonts w:cs="Arial"/>
          <w:sz w:val="24"/>
          <w:szCs w:val="24"/>
          <w:lang w:val="en-GB"/>
        </w:rPr>
        <w:t>re</w:t>
      </w:r>
      <w:r w:rsidR="00CB7D03" w:rsidRPr="00384D6A">
        <w:rPr>
          <w:rFonts w:cs="Arial"/>
          <w:sz w:val="24"/>
          <w:szCs w:val="24"/>
          <w:lang w:val="en-GB"/>
        </w:rPr>
        <w:t>;</w:t>
      </w:r>
      <w:r w:rsidRPr="00384D6A">
        <w:rPr>
          <w:rFonts w:cs="Arial"/>
          <w:sz w:val="24"/>
          <w:szCs w:val="24"/>
          <w:lang w:val="en-GB"/>
        </w:rPr>
        <w:t xml:space="preserve"> leased lines service based on xWDM or Ethernet technology) in order to enable third parties to access different point</w:t>
      </w:r>
      <w:r w:rsidR="00DA17B5" w:rsidRPr="00384D6A">
        <w:rPr>
          <w:rFonts w:cs="Arial"/>
          <w:sz w:val="24"/>
          <w:szCs w:val="24"/>
          <w:lang w:val="en-GB"/>
        </w:rPr>
        <w:t>s</w:t>
      </w:r>
      <w:r w:rsidRPr="00384D6A">
        <w:rPr>
          <w:rFonts w:cs="Arial"/>
          <w:sz w:val="24"/>
          <w:szCs w:val="24"/>
          <w:lang w:val="en-GB"/>
        </w:rPr>
        <w:t xml:space="preserve"> of access/</w:t>
      </w:r>
      <w:r w:rsidR="00DA17B5" w:rsidRPr="00384D6A">
        <w:rPr>
          <w:rFonts w:cs="Arial"/>
          <w:sz w:val="24"/>
          <w:szCs w:val="24"/>
          <w:lang w:val="en-GB"/>
        </w:rPr>
        <w:t xml:space="preserve"> </w:t>
      </w:r>
      <w:r w:rsidRPr="00384D6A">
        <w:rPr>
          <w:rFonts w:cs="Arial"/>
          <w:sz w:val="24"/>
          <w:szCs w:val="24"/>
          <w:lang w:val="en-GB"/>
        </w:rPr>
        <w:t xml:space="preserve">handover in Magticom’s network. If more than one </w:t>
      </w:r>
      <w:r w:rsidR="009113DD" w:rsidRPr="00384D6A">
        <w:rPr>
          <w:rFonts w:cs="Arial"/>
          <w:sz w:val="24"/>
          <w:szCs w:val="24"/>
          <w:lang w:val="en-GB"/>
        </w:rPr>
        <w:t>ancill</w:t>
      </w:r>
      <w:r w:rsidRPr="00384D6A">
        <w:rPr>
          <w:rFonts w:cs="Arial"/>
          <w:sz w:val="24"/>
          <w:szCs w:val="24"/>
          <w:lang w:val="en-GB"/>
        </w:rPr>
        <w:t xml:space="preserve">ary service is available, </w:t>
      </w:r>
      <w:r w:rsidR="00BB64D6" w:rsidRPr="00384D6A">
        <w:rPr>
          <w:rFonts w:cs="Arial"/>
          <w:sz w:val="24"/>
          <w:szCs w:val="24"/>
          <w:lang w:val="en-GB"/>
        </w:rPr>
        <w:t xml:space="preserve">the </w:t>
      </w:r>
      <w:r w:rsidRPr="00384D6A">
        <w:rPr>
          <w:rFonts w:cs="Arial"/>
          <w:sz w:val="24"/>
          <w:szCs w:val="24"/>
          <w:lang w:val="en-GB"/>
        </w:rPr>
        <w:t xml:space="preserve">access seeker can choose which one </w:t>
      </w:r>
      <w:r w:rsidR="00BB64D6" w:rsidRPr="00384D6A">
        <w:rPr>
          <w:rFonts w:cs="Arial"/>
          <w:sz w:val="24"/>
          <w:szCs w:val="24"/>
          <w:lang w:val="en-GB"/>
        </w:rPr>
        <w:t xml:space="preserve">it </w:t>
      </w:r>
      <w:r w:rsidRPr="00384D6A">
        <w:rPr>
          <w:rFonts w:cs="Arial"/>
          <w:sz w:val="24"/>
          <w:szCs w:val="24"/>
          <w:lang w:val="en-GB"/>
        </w:rPr>
        <w:t>will request.</w:t>
      </w:r>
      <w:r w:rsidRPr="00384D6A">
        <w:rPr>
          <w:rStyle w:val="FootnoteReference"/>
          <w:rFonts w:cs="Arial"/>
          <w:sz w:val="24"/>
          <w:szCs w:val="24"/>
          <w:lang w:val="en-GB"/>
        </w:rPr>
        <w:footnoteReference w:id="107"/>
      </w:r>
      <w:r w:rsidR="006B0295" w:rsidRPr="00384D6A">
        <w:rPr>
          <w:rFonts w:cs="Arial"/>
          <w:sz w:val="24"/>
          <w:szCs w:val="24"/>
          <w:lang w:val="en-GB"/>
        </w:rPr>
        <w:t>;</w:t>
      </w:r>
    </w:p>
    <w:p w14:paraId="1459F567" w14:textId="01C3D2C5" w:rsidR="00A51E76" w:rsidRPr="00BC1ABD" w:rsidRDefault="00A51E76" w:rsidP="00A51E76">
      <w:pPr>
        <w:pStyle w:val="ListParagraph"/>
        <w:numPr>
          <w:ilvl w:val="0"/>
          <w:numId w:val="9"/>
        </w:numPr>
        <w:spacing w:line="259" w:lineRule="auto"/>
        <w:jc w:val="both"/>
        <w:rPr>
          <w:rFonts w:cs="Arial"/>
          <w:sz w:val="24"/>
          <w:szCs w:val="24"/>
          <w:lang w:val="en-GB"/>
        </w:rPr>
      </w:pPr>
      <w:r w:rsidRPr="00BC1ABD">
        <w:rPr>
          <w:rFonts w:cs="Arial"/>
          <w:sz w:val="24"/>
          <w:szCs w:val="24"/>
          <w:lang w:val="en-GB"/>
        </w:rPr>
        <w:t xml:space="preserve">To enable usage of </w:t>
      </w:r>
      <w:r w:rsidR="00BB64D6">
        <w:rPr>
          <w:rFonts w:cs="Arial"/>
          <w:sz w:val="24"/>
          <w:szCs w:val="24"/>
          <w:lang w:val="en-GB"/>
        </w:rPr>
        <w:t xml:space="preserve">the </w:t>
      </w:r>
      <w:r w:rsidRPr="00BC1ABD">
        <w:rPr>
          <w:rFonts w:cs="Arial"/>
          <w:sz w:val="24"/>
          <w:szCs w:val="24"/>
          <w:lang w:val="en-GB"/>
        </w:rPr>
        <w:t>access seeker’s own CPE (</w:t>
      </w:r>
      <w:r w:rsidR="00BB64D6">
        <w:rPr>
          <w:rFonts w:cs="Arial"/>
          <w:sz w:val="24"/>
          <w:szCs w:val="24"/>
          <w:lang w:val="en-GB"/>
        </w:rPr>
        <w:t xml:space="preserve">for example </w:t>
      </w:r>
      <w:r w:rsidRPr="00BC1ABD">
        <w:rPr>
          <w:rFonts w:cs="Arial"/>
          <w:sz w:val="24"/>
          <w:szCs w:val="24"/>
          <w:lang w:val="en-GB"/>
        </w:rPr>
        <w:t>modems) which are technically compliant</w:t>
      </w:r>
      <w:r w:rsidR="006B0295">
        <w:rPr>
          <w:rFonts w:cs="Arial"/>
          <w:sz w:val="24"/>
          <w:szCs w:val="24"/>
          <w:lang w:val="en-GB"/>
        </w:rPr>
        <w:t>;</w:t>
      </w:r>
    </w:p>
    <w:p w14:paraId="4FCB413A" w14:textId="20ECECCE" w:rsidR="00ED449A"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ED449A" w:rsidRPr="00BC1ABD">
        <w:rPr>
          <w:rFonts w:cs="Arial"/>
          <w:sz w:val="24"/>
          <w:szCs w:val="24"/>
          <w:lang w:val="en-GB"/>
        </w:rPr>
        <w:t>o provide access to operational support systems or similar software systems necessary to ensure fair retail market competition</w:t>
      </w:r>
      <w:r w:rsidR="00DD251B">
        <w:rPr>
          <w:rFonts w:cs="Arial"/>
          <w:sz w:val="24"/>
          <w:szCs w:val="24"/>
          <w:lang w:val="en-GB"/>
        </w:rPr>
        <w:t>, including:</w:t>
      </w:r>
      <w:r w:rsidR="00ED449A" w:rsidRPr="00BC1ABD">
        <w:rPr>
          <w:rFonts w:cs="Arial"/>
          <w:sz w:val="24"/>
          <w:szCs w:val="24"/>
          <w:lang w:val="en-GB"/>
        </w:rPr>
        <w:t xml:space="preserve"> </w:t>
      </w:r>
    </w:p>
    <w:p w14:paraId="02210843" w14:textId="3BD42953" w:rsidR="001449B6" w:rsidRPr="001449B6" w:rsidRDefault="00786861" w:rsidP="001449B6">
      <w:pPr>
        <w:pStyle w:val="ListParagraph"/>
        <w:numPr>
          <w:ilvl w:val="1"/>
          <w:numId w:val="9"/>
        </w:numPr>
        <w:spacing w:line="259" w:lineRule="auto"/>
        <w:jc w:val="both"/>
        <w:rPr>
          <w:rFonts w:cs="Arial"/>
          <w:sz w:val="24"/>
          <w:szCs w:val="24"/>
          <w:lang w:val="en-GB"/>
        </w:rPr>
      </w:pPr>
      <w:r w:rsidRPr="001449B6">
        <w:rPr>
          <w:rFonts w:cs="Arial"/>
          <w:sz w:val="24"/>
          <w:szCs w:val="24"/>
          <w:lang w:val="en-GB"/>
        </w:rPr>
        <w:t>T</w:t>
      </w:r>
      <w:r w:rsidR="00ED449A" w:rsidRPr="001449B6">
        <w:rPr>
          <w:rFonts w:cs="Arial"/>
          <w:sz w:val="24"/>
          <w:szCs w:val="24"/>
          <w:lang w:val="en-GB"/>
        </w:rPr>
        <w:t xml:space="preserve">he information system for monitoring </w:t>
      </w:r>
      <w:r w:rsidR="00DD251B" w:rsidRPr="001449B6">
        <w:rPr>
          <w:rFonts w:cs="Arial"/>
          <w:sz w:val="24"/>
          <w:szCs w:val="24"/>
          <w:lang w:val="en-GB"/>
        </w:rPr>
        <w:t xml:space="preserve">the </w:t>
      </w:r>
      <w:r w:rsidR="00ED449A" w:rsidRPr="001449B6">
        <w:rPr>
          <w:rFonts w:cs="Arial"/>
          <w:sz w:val="24"/>
          <w:szCs w:val="24"/>
          <w:lang w:val="en-GB"/>
        </w:rPr>
        <w:t>access seekers' requests for central access services</w:t>
      </w:r>
      <w:r w:rsidR="001449B6" w:rsidRPr="001449B6">
        <w:rPr>
          <w:rFonts w:cs="Arial"/>
          <w:sz w:val="24"/>
          <w:szCs w:val="24"/>
          <w:lang w:val="en-GB"/>
        </w:rPr>
        <w:t>, the</w:t>
      </w:r>
      <w:r w:rsidR="00ED449A" w:rsidRPr="001449B6">
        <w:rPr>
          <w:rFonts w:cs="Arial"/>
          <w:sz w:val="24"/>
          <w:szCs w:val="24"/>
          <w:lang w:val="en-GB"/>
        </w:rPr>
        <w:t xml:space="preserve"> </w:t>
      </w:r>
      <w:r w:rsidR="00DD251B" w:rsidRPr="001449B6">
        <w:rPr>
          <w:rFonts w:cs="Arial"/>
          <w:sz w:val="24"/>
          <w:szCs w:val="24"/>
          <w:lang w:val="en-GB"/>
        </w:rPr>
        <w:t>access-seekers’</w:t>
      </w:r>
      <w:r w:rsidR="00057FA9">
        <w:rPr>
          <w:rFonts w:cs="Arial"/>
          <w:sz w:val="24"/>
          <w:szCs w:val="24"/>
          <w:lang w:val="en-GB"/>
        </w:rPr>
        <w:t xml:space="preserve"> </w:t>
      </w:r>
      <w:r w:rsidR="00ED449A" w:rsidRPr="001449B6">
        <w:rPr>
          <w:rFonts w:cs="Arial"/>
          <w:sz w:val="24"/>
          <w:szCs w:val="24"/>
          <w:lang w:val="en-GB"/>
        </w:rPr>
        <w:t xml:space="preserve">requests for fault repair, access to information on the </w:t>
      </w:r>
      <w:r w:rsidR="00DD251B" w:rsidRPr="001449B6">
        <w:rPr>
          <w:rFonts w:cs="Arial"/>
          <w:sz w:val="24"/>
          <w:szCs w:val="24"/>
          <w:lang w:val="en-GB"/>
        </w:rPr>
        <w:t>progress</w:t>
      </w:r>
      <w:r w:rsidR="00ED449A" w:rsidRPr="001449B6">
        <w:rPr>
          <w:rFonts w:cs="Arial"/>
          <w:sz w:val="24"/>
          <w:szCs w:val="24"/>
          <w:lang w:val="en-GB"/>
        </w:rPr>
        <w:t xml:space="preserve"> and escalation status of </w:t>
      </w:r>
      <w:r w:rsidR="00DD251B" w:rsidRPr="001449B6">
        <w:rPr>
          <w:rFonts w:cs="Arial"/>
          <w:sz w:val="24"/>
          <w:szCs w:val="24"/>
          <w:lang w:val="en-GB"/>
        </w:rPr>
        <w:t>the access-seekers’</w:t>
      </w:r>
      <w:r w:rsidR="00ED449A" w:rsidRPr="001449B6">
        <w:rPr>
          <w:rFonts w:cs="Arial"/>
          <w:sz w:val="24"/>
          <w:szCs w:val="24"/>
          <w:lang w:val="en-GB"/>
        </w:rPr>
        <w:t xml:space="preserve"> fault repair</w:t>
      </w:r>
      <w:r w:rsidR="00DD251B" w:rsidRPr="001449B6">
        <w:rPr>
          <w:rFonts w:cs="Arial"/>
          <w:sz w:val="24"/>
          <w:szCs w:val="24"/>
          <w:lang w:val="en-GB"/>
        </w:rPr>
        <w:t xml:space="preserve"> request</w:t>
      </w:r>
      <w:r w:rsidR="00ED449A" w:rsidRPr="001449B6">
        <w:rPr>
          <w:rFonts w:cs="Arial"/>
          <w:sz w:val="24"/>
          <w:szCs w:val="24"/>
          <w:lang w:val="en-GB"/>
        </w:rPr>
        <w:t xml:space="preserve">; </w:t>
      </w:r>
    </w:p>
    <w:p w14:paraId="43923B04" w14:textId="0FB9393D" w:rsidR="00ED449A" w:rsidRPr="00BC1ABD" w:rsidRDefault="001449B6">
      <w:pPr>
        <w:pStyle w:val="ListParagraph"/>
        <w:numPr>
          <w:ilvl w:val="1"/>
          <w:numId w:val="9"/>
        </w:numPr>
        <w:spacing w:line="259" w:lineRule="auto"/>
        <w:jc w:val="both"/>
        <w:rPr>
          <w:rFonts w:cs="Arial"/>
          <w:sz w:val="24"/>
          <w:szCs w:val="24"/>
          <w:lang w:val="en-GB"/>
        </w:rPr>
      </w:pPr>
      <w:r>
        <w:rPr>
          <w:rFonts w:cs="Arial"/>
          <w:sz w:val="24"/>
          <w:szCs w:val="24"/>
          <w:lang w:val="en-GB"/>
        </w:rPr>
        <w:t>N</w:t>
      </w:r>
      <w:r w:rsidR="00ED449A" w:rsidRPr="00BC1ABD">
        <w:rPr>
          <w:rFonts w:cs="Arial"/>
          <w:sz w:val="24"/>
          <w:szCs w:val="24"/>
          <w:lang w:val="en-GB"/>
        </w:rPr>
        <w:t>etwork coverage information; service availability. All that should be provided in B2B format that is easy to manage, control and update.</w:t>
      </w:r>
      <w:r w:rsidR="00195B2F">
        <w:rPr>
          <w:rFonts w:cs="Arial"/>
          <w:sz w:val="24"/>
          <w:szCs w:val="24"/>
          <w:lang w:val="en-GB"/>
        </w:rPr>
        <w:t xml:space="preserve"> </w:t>
      </w:r>
    </w:p>
    <w:p w14:paraId="5BEEE656" w14:textId="77777777" w:rsidR="00F47518" w:rsidRPr="00BC1ABD" w:rsidRDefault="00F37513" w:rsidP="00F47518">
      <w:pPr>
        <w:spacing w:line="259" w:lineRule="auto"/>
        <w:jc w:val="both"/>
        <w:rPr>
          <w:rFonts w:cs="Arial"/>
          <w:sz w:val="24"/>
          <w:szCs w:val="24"/>
          <w:u w:val="single"/>
          <w:lang w:val="en-GB"/>
        </w:rPr>
      </w:pPr>
      <w:r w:rsidRPr="00BC1ABD">
        <w:rPr>
          <w:rFonts w:cs="Arial"/>
          <w:sz w:val="24"/>
          <w:szCs w:val="24"/>
          <w:u w:val="single"/>
          <w:lang w:val="en-GB"/>
        </w:rPr>
        <w:t>Cluster</w:t>
      </w:r>
      <w:r w:rsidR="00F47518" w:rsidRPr="00BC1ABD">
        <w:rPr>
          <w:rFonts w:cs="Arial"/>
          <w:sz w:val="24"/>
          <w:szCs w:val="24"/>
          <w:u w:val="single"/>
          <w:lang w:val="en-GB"/>
        </w:rPr>
        <w:t xml:space="preserve"> III</w:t>
      </w:r>
    </w:p>
    <w:p w14:paraId="770761EE" w14:textId="1F2DD80A" w:rsidR="0002667C" w:rsidRPr="00BC1ABD" w:rsidRDefault="00786861">
      <w:pPr>
        <w:pStyle w:val="ListParagraph"/>
        <w:numPr>
          <w:ilvl w:val="0"/>
          <w:numId w:val="9"/>
        </w:numPr>
        <w:spacing w:line="259" w:lineRule="auto"/>
        <w:jc w:val="both"/>
        <w:rPr>
          <w:rFonts w:cs="Arial"/>
          <w:sz w:val="24"/>
          <w:szCs w:val="24"/>
          <w:lang w:val="en-GB"/>
        </w:rPr>
      </w:pPr>
      <w:r w:rsidRPr="00BC1ABD">
        <w:rPr>
          <w:rFonts w:cs="Arial"/>
          <w:sz w:val="24"/>
          <w:szCs w:val="24"/>
          <w:lang w:val="en-GB"/>
        </w:rPr>
        <w:t>T</w:t>
      </w:r>
      <w:r w:rsidR="00F47518" w:rsidRPr="00BC1ABD">
        <w:rPr>
          <w:rFonts w:cs="Arial"/>
          <w:sz w:val="24"/>
          <w:szCs w:val="24"/>
          <w:lang w:val="en-GB"/>
        </w:rPr>
        <w:t xml:space="preserve">o negotiate in good faith with </w:t>
      </w:r>
      <w:r w:rsidR="00ED449A" w:rsidRPr="00BC1ABD">
        <w:rPr>
          <w:rFonts w:cs="Arial"/>
          <w:sz w:val="24"/>
          <w:szCs w:val="24"/>
          <w:lang w:val="en-GB"/>
        </w:rPr>
        <w:t>operators</w:t>
      </w:r>
      <w:r w:rsidR="00F47518" w:rsidRPr="00BC1ABD">
        <w:rPr>
          <w:rFonts w:cs="Arial"/>
          <w:sz w:val="24"/>
          <w:szCs w:val="24"/>
          <w:lang w:val="en-GB"/>
        </w:rPr>
        <w:t xml:space="preserve"> seeking central access and, as part of this obligation, the obligation to respond to any reasonable request</w:t>
      </w:r>
      <w:r w:rsidR="00F47518" w:rsidRPr="00BC1ABD">
        <w:rPr>
          <w:lang w:val="en-GB"/>
        </w:rPr>
        <w:t xml:space="preserve"> </w:t>
      </w:r>
      <w:r w:rsidR="00DA17B5" w:rsidRPr="00B011B2">
        <w:rPr>
          <w:rFonts w:cs="Arial"/>
          <w:sz w:val="24"/>
          <w:szCs w:val="24"/>
          <w:lang w:val="en-GB"/>
        </w:rPr>
        <w:t>with</w:t>
      </w:r>
      <w:r w:rsidR="00ED449A" w:rsidRPr="00B011B2">
        <w:rPr>
          <w:rFonts w:cs="Arial"/>
          <w:sz w:val="24"/>
          <w:szCs w:val="24"/>
          <w:lang w:val="en-GB"/>
        </w:rPr>
        <w:t xml:space="preserve">in </w:t>
      </w:r>
      <w:r w:rsidR="00F47518" w:rsidRPr="00BC1ABD">
        <w:rPr>
          <w:rFonts w:cs="Arial"/>
          <w:sz w:val="24"/>
          <w:szCs w:val="24"/>
          <w:lang w:val="en-GB"/>
        </w:rPr>
        <w:t xml:space="preserve">6 months, in </w:t>
      </w:r>
      <w:r w:rsidR="001449B6">
        <w:rPr>
          <w:rFonts w:cs="Arial"/>
          <w:sz w:val="24"/>
          <w:szCs w:val="24"/>
          <w:lang w:val="en-GB"/>
        </w:rPr>
        <w:t xml:space="preserve">the </w:t>
      </w:r>
      <w:r w:rsidR="00F47518" w:rsidRPr="00BC1ABD">
        <w:rPr>
          <w:rFonts w:cs="Arial"/>
          <w:sz w:val="24"/>
          <w:szCs w:val="24"/>
          <w:lang w:val="en-GB"/>
        </w:rPr>
        <w:t xml:space="preserve">case of reasonable demand. The proof that a demand is not reasonable rests on the SMP operator. Art. 36 </w:t>
      </w:r>
      <w:r w:rsidR="001449B6">
        <w:rPr>
          <w:rFonts w:cs="Arial"/>
          <w:sz w:val="24"/>
          <w:szCs w:val="24"/>
          <w:lang w:val="en-GB"/>
        </w:rPr>
        <w:t xml:space="preserve">of the Law </w:t>
      </w:r>
      <w:r w:rsidR="00ED449A" w:rsidRPr="00BC1ABD">
        <w:rPr>
          <w:rFonts w:cs="Arial"/>
          <w:sz w:val="24"/>
          <w:szCs w:val="24"/>
          <w:lang w:val="en-GB"/>
        </w:rPr>
        <w:t>define</w:t>
      </w:r>
      <w:r w:rsidR="00DA17B5">
        <w:rPr>
          <w:rFonts w:cs="Arial"/>
          <w:sz w:val="24"/>
          <w:szCs w:val="24"/>
          <w:lang w:val="en-GB"/>
        </w:rPr>
        <w:t>s</w:t>
      </w:r>
      <w:r w:rsidR="00ED449A" w:rsidRPr="00BC1ABD">
        <w:rPr>
          <w:rFonts w:cs="Arial"/>
          <w:sz w:val="24"/>
          <w:szCs w:val="24"/>
          <w:lang w:val="en-GB"/>
        </w:rPr>
        <w:t xml:space="preserve"> the </w:t>
      </w:r>
      <w:r w:rsidR="00F47518" w:rsidRPr="00BC1ABD">
        <w:rPr>
          <w:rFonts w:cs="Arial"/>
          <w:sz w:val="24"/>
          <w:szCs w:val="24"/>
          <w:lang w:val="en-GB"/>
        </w:rPr>
        <w:t xml:space="preserve">dispute settlement </w:t>
      </w:r>
      <w:r w:rsidR="00ED449A" w:rsidRPr="00BC1ABD">
        <w:rPr>
          <w:rFonts w:cs="Arial"/>
          <w:sz w:val="24"/>
          <w:szCs w:val="24"/>
          <w:lang w:val="en-GB"/>
        </w:rPr>
        <w:t xml:space="preserve">procedure </w:t>
      </w:r>
      <w:r w:rsidR="00F47518" w:rsidRPr="00BC1ABD">
        <w:rPr>
          <w:rFonts w:cs="Arial"/>
          <w:sz w:val="24"/>
          <w:szCs w:val="24"/>
          <w:lang w:val="en-GB"/>
        </w:rPr>
        <w:t>in case</w:t>
      </w:r>
      <w:r w:rsidR="001449B6">
        <w:rPr>
          <w:rFonts w:cs="Arial"/>
          <w:sz w:val="24"/>
          <w:szCs w:val="24"/>
          <w:lang w:val="en-GB"/>
        </w:rPr>
        <w:t>s</w:t>
      </w:r>
      <w:r w:rsidR="00ED449A" w:rsidRPr="00BC1ABD">
        <w:rPr>
          <w:rFonts w:cs="Arial"/>
          <w:sz w:val="24"/>
          <w:szCs w:val="24"/>
          <w:lang w:val="en-GB"/>
        </w:rPr>
        <w:t xml:space="preserve"> of</w:t>
      </w:r>
      <w:r w:rsidR="00F47518" w:rsidRPr="00BC1ABD">
        <w:rPr>
          <w:rFonts w:cs="Arial"/>
          <w:sz w:val="24"/>
          <w:szCs w:val="24"/>
          <w:lang w:val="en-GB"/>
        </w:rPr>
        <w:t xml:space="preserve"> no agreement in line with </w:t>
      </w:r>
      <w:r w:rsidR="001449B6">
        <w:rPr>
          <w:rFonts w:cs="Arial"/>
          <w:sz w:val="24"/>
          <w:szCs w:val="24"/>
          <w:lang w:val="en-GB"/>
        </w:rPr>
        <w:t xml:space="preserve">the </w:t>
      </w:r>
      <w:r w:rsidR="00F47518" w:rsidRPr="00BC1ABD">
        <w:rPr>
          <w:rFonts w:cs="Arial"/>
          <w:sz w:val="24"/>
          <w:szCs w:val="24"/>
          <w:lang w:val="en-GB"/>
        </w:rPr>
        <w:t>symmetric ‘access’ (and interconnect</w:t>
      </w:r>
      <w:r w:rsidR="001449B6">
        <w:rPr>
          <w:rFonts w:cs="Arial"/>
          <w:sz w:val="24"/>
          <w:szCs w:val="24"/>
          <w:lang w:val="en-GB"/>
        </w:rPr>
        <w:t>ion</w:t>
      </w:r>
      <w:r w:rsidR="00F47518" w:rsidRPr="00BC1ABD">
        <w:rPr>
          <w:rFonts w:cs="Arial"/>
          <w:sz w:val="24"/>
          <w:szCs w:val="24"/>
          <w:lang w:val="en-GB"/>
        </w:rPr>
        <w:t xml:space="preserve">) obligation of </w:t>
      </w:r>
      <w:r w:rsidR="001449B6">
        <w:rPr>
          <w:rFonts w:cs="Arial"/>
          <w:sz w:val="24"/>
          <w:szCs w:val="24"/>
          <w:lang w:val="en-GB"/>
        </w:rPr>
        <w:t>A</w:t>
      </w:r>
      <w:r w:rsidR="00F47518" w:rsidRPr="00BC1ABD">
        <w:rPr>
          <w:rFonts w:cs="Arial"/>
          <w:sz w:val="24"/>
          <w:szCs w:val="24"/>
          <w:lang w:val="en-GB"/>
        </w:rPr>
        <w:t xml:space="preserve">rt. 19(1) of the </w:t>
      </w:r>
      <w:r w:rsidR="00ED449A" w:rsidRPr="00BC1ABD">
        <w:rPr>
          <w:rFonts w:cs="Arial"/>
          <w:sz w:val="24"/>
          <w:szCs w:val="24"/>
          <w:lang w:val="en-GB"/>
        </w:rPr>
        <w:t>L</w:t>
      </w:r>
      <w:r w:rsidR="00F47518" w:rsidRPr="00BC1ABD">
        <w:rPr>
          <w:rFonts w:cs="Arial"/>
          <w:sz w:val="24"/>
          <w:szCs w:val="24"/>
          <w:lang w:val="en-GB"/>
        </w:rPr>
        <w:t>aw.</w:t>
      </w:r>
    </w:p>
    <w:p w14:paraId="7144EEDB" w14:textId="4E9AF9B9" w:rsidR="00934A53" w:rsidRPr="00BC1ABD" w:rsidRDefault="00934A53" w:rsidP="005667A0">
      <w:pPr>
        <w:spacing w:line="259" w:lineRule="auto"/>
        <w:jc w:val="both"/>
        <w:rPr>
          <w:rFonts w:cs="Arial"/>
          <w:sz w:val="24"/>
          <w:szCs w:val="24"/>
          <w:lang w:val="en-GB"/>
        </w:rPr>
      </w:pPr>
      <w:r w:rsidRPr="00BC1ABD">
        <w:rPr>
          <w:rFonts w:cs="Arial"/>
          <w:sz w:val="24"/>
          <w:szCs w:val="24"/>
          <w:lang w:val="en-GB"/>
        </w:rPr>
        <w:t xml:space="preserve">Although </w:t>
      </w:r>
      <w:r w:rsidR="0098657D" w:rsidRPr="00BC1ABD">
        <w:rPr>
          <w:rFonts w:cs="Arial"/>
          <w:sz w:val="24"/>
          <w:szCs w:val="24"/>
          <w:lang w:val="en-GB"/>
        </w:rPr>
        <w:t>the access obligation</w:t>
      </w:r>
      <w:r w:rsidR="001449B6">
        <w:rPr>
          <w:rFonts w:cs="Arial"/>
          <w:sz w:val="24"/>
          <w:szCs w:val="24"/>
          <w:lang w:val="en-GB"/>
        </w:rPr>
        <w:t xml:space="preserve">s are </w:t>
      </w:r>
      <w:r w:rsidR="0098657D" w:rsidRPr="00BC1ABD">
        <w:rPr>
          <w:rFonts w:cs="Arial"/>
          <w:sz w:val="24"/>
          <w:szCs w:val="24"/>
          <w:lang w:val="en-GB"/>
        </w:rPr>
        <w:t>defined in this chapter</w:t>
      </w:r>
      <w:r w:rsidR="001449B6">
        <w:rPr>
          <w:rFonts w:cs="Arial"/>
          <w:sz w:val="24"/>
          <w:szCs w:val="24"/>
          <w:lang w:val="en-GB"/>
        </w:rPr>
        <w:t xml:space="preserve"> to </w:t>
      </w:r>
      <w:r w:rsidR="0098657D" w:rsidRPr="00BC1ABD">
        <w:rPr>
          <w:rFonts w:cs="Arial"/>
          <w:sz w:val="24"/>
          <w:szCs w:val="24"/>
          <w:lang w:val="en-GB"/>
        </w:rPr>
        <w:t>solv</w:t>
      </w:r>
      <w:r w:rsidR="001449B6">
        <w:rPr>
          <w:rFonts w:cs="Arial"/>
          <w:sz w:val="24"/>
          <w:szCs w:val="24"/>
          <w:lang w:val="en-GB"/>
        </w:rPr>
        <w:t>e</w:t>
      </w:r>
      <w:r w:rsidR="0098657D" w:rsidRPr="00BC1ABD">
        <w:rPr>
          <w:rFonts w:cs="Arial"/>
          <w:sz w:val="24"/>
          <w:szCs w:val="24"/>
          <w:lang w:val="en-GB"/>
        </w:rPr>
        <w:t xml:space="preserve"> the competition problems </w:t>
      </w:r>
      <w:r w:rsidR="00333E45" w:rsidRPr="00BC1ABD">
        <w:rPr>
          <w:rFonts w:cs="Arial"/>
          <w:sz w:val="24"/>
          <w:szCs w:val="24"/>
          <w:lang w:val="en-GB"/>
        </w:rPr>
        <w:t xml:space="preserve">defined in </w:t>
      </w:r>
      <w:r w:rsidR="0098657D" w:rsidRPr="00BC1ABD">
        <w:rPr>
          <w:rFonts w:cs="Arial"/>
          <w:sz w:val="24"/>
          <w:szCs w:val="24"/>
          <w:lang w:val="en-GB"/>
        </w:rPr>
        <w:t xml:space="preserve">the Chapter </w:t>
      </w:r>
      <w:r w:rsidR="00B0056C">
        <w:rPr>
          <w:rFonts w:cs="Arial"/>
          <w:sz w:val="24"/>
          <w:szCs w:val="24"/>
          <w:lang w:val="en-GB"/>
        </w:rPr>
        <w:t>7</w:t>
      </w:r>
      <w:r w:rsidR="0098657D" w:rsidRPr="00BC1ABD">
        <w:rPr>
          <w:rFonts w:cs="Arial"/>
          <w:sz w:val="24"/>
          <w:szCs w:val="24"/>
          <w:lang w:val="en-GB"/>
        </w:rPr>
        <w:t>.</w:t>
      </w:r>
      <w:r w:rsidR="00333E45" w:rsidRPr="00BC1ABD">
        <w:rPr>
          <w:rFonts w:cs="Arial"/>
          <w:sz w:val="24"/>
          <w:szCs w:val="24"/>
          <w:lang w:val="en-GB"/>
        </w:rPr>
        <w:t>2</w:t>
      </w:r>
      <w:r w:rsidR="00056E6C">
        <w:rPr>
          <w:rFonts w:cs="Arial"/>
          <w:sz w:val="24"/>
          <w:szCs w:val="24"/>
          <w:lang w:val="en-GB"/>
        </w:rPr>
        <w:t>,</w:t>
      </w:r>
      <w:r w:rsidR="0098657D" w:rsidRPr="00BC1ABD">
        <w:rPr>
          <w:rFonts w:cs="Arial"/>
          <w:sz w:val="24"/>
          <w:szCs w:val="24"/>
          <w:lang w:val="en-GB"/>
        </w:rPr>
        <w:t xml:space="preserve"> there is still room </w:t>
      </w:r>
      <w:r w:rsidR="001449B6">
        <w:rPr>
          <w:rFonts w:cs="Arial"/>
          <w:sz w:val="24"/>
          <w:szCs w:val="24"/>
          <w:lang w:val="en-GB"/>
        </w:rPr>
        <w:t>for the</w:t>
      </w:r>
      <w:r w:rsidR="00195B2F">
        <w:rPr>
          <w:rFonts w:cs="Arial"/>
          <w:sz w:val="24"/>
          <w:szCs w:val="24"/>
          <w:lang w:val="en-GB"/>
        </w:rPr>
        <w:t xml:space="preserve"> </w:t>
      </w:r>
      <w:r w:rsidR="0098657D" w:rsidRPr="00BC1ABD">
        <w:rPr>
          <w:rFonts w:cs="Arial"/>
          <w:sz w:val="24"/>
          <w:szCs w:val="24"/>
          <w:lang w:val="en-GB"/>
        </w:rPr>
        <w:t xml:space="preserve">SMP operator </w:t>
      </w:r>
      <w:r w:rsidR="00056E6C">
        <w:rPr>
          <w:rFonts w:cs="Arial"/>
          <w:sz w:val="24"/>
          <w:szCs w:val="24"/>
          <w:lang w:val="en-GB"/>
        </w:rPr>
        <w:t xml:space="preserve">to </w:t>
      </w:r>
      <w:r w:rsidR="0098657D" w:rsidRPr="00BC1ABD">
        <w:rPr>
          <w:rFonts w:cs="Arial"/>
          <w:sz w:val="24"/>
          <w:szCs w:val="24"/>
          <w:lang w:val="en-GB"/>
        </w:rPr>
        <w:t xml:space="preserve">abuse its market position in terms of the competition problems defined in chapters </w:t>
      </w:r>
      <w:r w:rsidR="00B0056C">
        <w:rPr>
          <w:rFonts w:cs="Arial"/>
          <w:sz w:val="24"/>
          <w:szCs w:val="24"/>
          <w:lang w:val="en-GB"/>
        </w:rPr>
        <w:t>7</w:t>
      </w:r>
      <w:r w:rsidR="0098657D" w:rsidRPr="00BC1ABD">
        <w:rPr>
          <w:rFonts w:cs="Arial"/>
          <w:sz w:val="24"/>
          <w:szCs w:val="24"/>
          <w:lang w:val="en-GB"/>
        </w:rPr>
        <w:t>.</w:t>
      </w:r>
      <w:r w:rsidR="00333E45" w:rsidRPr="00BC1ABD">
        <w:rPr>
          <w:rFonts w:cs="Arial"/>
          <w:sz w:val="24"/>
          <w:szCs w:val="24"/>
          <w:lang w:val="en-GB"/>
        </w:rPr>
        <w:t>3</w:t>
      </w:r>
      <w:r w:rsidR="0098657D" w:rsidRPr="00BC1ABD">
        <w:rPr>
          <w:rFonts w:cs="Arial"/>
          <w:sz w:val="24"/>
          <w:szCs w:val="24"/>
          <w:lang w:val="en-GB"/>
        </w:rPr>
        <w:t xml:space="preserve">. and </w:t>
      </w:r>
      <w:r w:rsidR="00B0056C">
        <w:rPr>
          <w:rFonts w:cs="Arial"/>
          <w:sz w:val="24"/>
          <w:szCs w:val="24"/>
          <w:lang w:val="en-GB"/>
        </w:rPr>
        <w:t>7</w:t>
      </w:r>
      <w:r w:rsidR="0098657D" w:rsidRPr="00BC1ABD">
        <w:rPr>
          <w:rFonts w:cs="Arial"/>
          <w:sz w:val="24"/>
          <w:szCs w:val="24"/>
          <w:lang w:val="en-GB"/>
        </w:rPr>
        <w:t>.</w:t>
      </w:r>
      <w:r w:rsidR="00333E45" w:rsidRPr="00BC1ABD">
        <w:rPr>
          <w:rFonts w:cs="Arial"/>
          <w:sz w:val="24"/>
          <w:szCs w:val="24"/>
          <w:lang w:val="en-GB"/>
        </w:rPr>
        <w:t>4</w:t>
      </w:r>
      <w:r w:rsidR="0098657D" w:rsidRPr="00BC1ABD">
        <w:rPr>
          <w:rFonts w:cs="Arial"/>
          <w:sz w:val="24"/>
          <w:szCs w:val="24"/>
          <w:lang w:val="en-GB"/>
        </w:rPr>
        <w:t xml:space="preserve">. This means that other regulatory obligations (per </w:t>
      </w:r>
      <w:r w:rsidR="002F05D0" w:rsidRPr="00BC1ABD">
        <w:rPr>
          <w:rFonts w:cs="Arial"/>
          <w:sz w:val="24"/>
          <w:szCs w:val="24"/>
          <w:lang w:val="en-GB"/>
        </w:rPr>
        <w:t>cluster</w:t>
      </w:r>
      <w:r w:rsidR="0098657D" w:rsidRPr="00BC1ABD">
        <w:rPr>
          <w:rFonts w:cs="Arial"/>
          <w:sz w:val="24"/>
          <w:szCs w:val="24"/>
          <w:lang w:val="en-GB"/>
        </w:rPr>
        <w:t xml:space="preserve">) </w:t>
      </w:r>
      <w:r w:rsidR="00056E6C">
        <w:rPr>
          <w:rFonts w:cs="Arial"/>
          <w:sz w:val="24"/>
          <w:szCs w:val="24"/>
          <w:lang w:val="en-GB"/>
        </w:rPr>
        <w:t xml:space="preserve">are required </w:t>
      </w:r>
      <w:r w:rsidR="0098657D" w:rsidRPr="00BC1ABD">
        <w:rPr>
          <w:rFonts w:cs="Arial"/>
          <w:sz w:val="24"/>
          <w:szCs w:val="24"/>
          <w:lang w:val="en-GB"/>
        </w:rPr>
        <w:t xml:space="preserve">to supplement the access </w:t>
      </w:r>
      <w:r w:rsidR="00056E6C">
        <w:rPr>
          <w:rFonts w:cs="Arial"/>
          <w:sz w:val="24"/>
          <w:szCs w:val="24"/>
          <w:lang w:val="en-GB"/>
        </w:rPr>
        <w:t>obligations defined for each Cluster.</w:t>
      </w:r>
    </w:p>
    <w:p w14:paraId="7C8C2A16" w14:textId="77777777" w:rsidR="0002667C" w:rsidRPr="00BC1ABD" w:rsidRDefault="0002667C" w:rsidP="0002667C">
      <w:pPr>
        <w:pStyle w:val="NormalWeb"/>
        <w:spacing w:after="0"/>
        <w:jc w:val="both"/>
        <w:rPr>
          <w:rFonts w:ascii="Cambria" w:hAnsi="Cambria"/>
          <w:i/>
          <w:iCs/>
          <w:color w:val="4F81BD"/>
          <w:spacing w:val="15"/>
          <w:lang w:val="en-GB"/>
        </w:rPr>
      </w:pPr>
    </w:p>
    <w:p w14:paraId="283788CD" w14:textId="77777777" w:rsidR="00E97488" w:rsidRPr="00BC1ABD" w:rsidRDefault="00E97488" w:rsidP="00C2733F">
      <w:pPr>
        <w:pStyle w:val="Heading2"/>
        <w:numPr>
          <w:ilvl w:val="1"/>
          <w:numId w:val="88"/>
        </w:numPr>
        <w:spacing w:after="240"/>
        <w:rPr>
          <w:lang w:val="en-GB"/>
        </w:rPr>
      </w:pPr>
      <w:bookmarkStart w:id="355" w:name="_Toc169259004"/>
      <w:r w:rsidRPr="00BC1ABD">
        <w:rPr>
          <w:lang w:val="en-GB"/>
        </w:rPr>
        <w:t>Non-discrimination</w:t>
      </w:r>
      <w:bookmarkEnd w:id="355"/>
      <w:r w:rsidR="00B271E6" w:rsidRPr="00BC1ABD">
        <w:rPr>
          <w:lang w:val="en-GB"/>
        </w:rPr>
        <w:t xml:space="preserve"> </w:t>
      </w:r>
    </w:p>
    <w:p w14:paraId="7587EF38" w14:textId="7F8DC77B" w:rsidR="00F47518" w:rsidRDefault="004C6228" w:rsidP="00E937BD">
      <w:pPr>
        <w:jc w:val="both"/>
        <w:rPr>
          <w:rFonts w:cs="Arial"/>
          <w:sz w:val="24"/>
          <w:szCs w:val="24"/>
          <w:lang w:val="en-GB"/>
        </w:rPr>
      </w:pPr>
      <w:r>
        <w:rPr>
          <w:rFonts w:cs="Arial"/>
          <w:sz w:val="24"/>
          <w:szCs w:val="24"/>
          <w:lang w:val="en-GB"/>
        </w:rPr>
        <w:t xml:space="preserve">The </w:t>
      </w:r>
      <w:r w:rsidR="00FB4489" w:rsidRPr="00BC1ABD">
        <w:rPr>
          <w:rFonts w:cs="Arial"/>
          <w:sz w:val="24"/>
          <w:szCs w:val="24"/>
          <w:lang w:val="en-GB"/>
        </w:rPr>
        <w:t>SMP</w:t>
      </w:r>
      <w:r w:rsidR="00F47518" w:rsidRPr="00BC1ABD">
        <w:rPr>
          <w:rFonts w:cs="Arial"/>
          <w:sz w:val="24"/>
          <w:szCs w:val="24"/>
          <w:lang w:val="en-GB"/>
        </w:rPr>
        <w:t xml:space="preserve"> operator</w:t>
      </w:r>
      <w:r w:rsidR="00EE3CCC">
        <w:rPr>
          <w:rFonts w:cs="Arial"/>
          <w:sz w:val="24"/>
          <w:szCs w:val="24"/>
          <w:lang w:val="en-GB"/>
        </w:rPr>
        <w:t xml:space="preserve"> </w:t>
      </w:r>
      <w:r>
        <w:rPr>
          <w:rFonts w:cs="Arial"/>
          <w:sz w:val="24"/>
          <w:szCs w:val="24"/>
          <w:lang w:val="en-GB"/>
        </w:rPr>
        <w:t>with</w:t>
      </w:r>
      <w:r w:rsidR="00F47518" w:rsidRPr="00BC1ABD">
        <w:rPr>
          <w:rFonts w:cs="Arial"/>
          <w:sz w:val="24"/>
          <w:szCs w:val="24"/>
          <w:lang w:val="en-GB"/>
        </w:rPr>
        <w:t xml:space="preserve"> a </w:t>
      </w:r>
      <w:r w:rsidR="00FB4489" w:rsidRPr="00BC1ABD">
        <w:rPr>
          <w:rFonts w:cs="Arial"/>
          <w:sz w:val="24"/>
          <w:szCs w:val="24"/>
          <w:lang w:val="en-GB"/>
        </w:rPr>
        <w:t>regulatory obligation</w:t>
      </w:r>
      <w:r w:rsidR="00F47518" w:rsidRPr="00BC1ABD">
        <w:rPr>
          <w:rFonts w:cs="Arial"/>
          <w:sz w:val="24"/>
          <w:szCs w:val="24"/>
          <w:lang w:val="en-GB"/>
        </w:rPr>
        <w:t xml:space="preserve"> of non-discrimination must</w:t>
      </w:r>
      <w:r w:rsidR="00056E6C">
        <w:rPr>
          <w:rFonts w:cs="Arial"/>
          <w:sz w:val="24"/>
          <w:szCs w:val="24"/>
          <w:lang w:val="en-GB"/>
        </w:rPr>
        <w:t>,</w:t>
      </w:r>
      <w:r w:rsidR="00F47518" w:rsidRPr="00BC1ABD">
        <w:rPr>
          <w:rFonts w:cs="Arial"/>
          <w:sz w:val="24"/>
          <w:szCs w:val="24"/>
          <w:lang w:val="en-GB"/>
        </w:rPr>
        <w:t xml:space="preserve"> in particular</w:t>
      </w:r>
      <w:r w:rsidR="00056E6C">
        <w:rPr>
          <w:rFonts w:cs="Arial"/>
          <w:sz w:val="24"/>
          <w:szCs w:val="24"/>
          <w:lang w:val="en-GB"/>
        </w:rPr>
        <w:t>,</w:t>
      </w:r>
      <w:r w:rsidR="00F47518" w:rsidRPr="00BC1ABD">
        <w:rPr>
          <w:rFonts w:cs="Arial"/>
          <w:sz w:val="24"/>
          <w:szCs w:val="24"/>
          <w:lang w:val="en-GB"/>
        </w:rPr>
        <w:t xml:space="preserve"> ensure equal conditions in equal circumstances for other operators who provide equal services, and must provide services and </w:t>
      </w:r>
      <w:r w:rsidR="00056E6C">
        <w:rPr>
          <w:rFonts w:cs="Arial"/>
          <w:sz w:val="24"/>
          <w:szCs w:val="24"/>
          <w:lang w:val="en-GB"/>
        </w:rPr>
        <w:t>information</w:t>
      </w:r>
      <w:r w:rsidR="00F47518" w:rsidRPr="00BC1ABD">
        <w:rPr>
          <w:rFonts w:cs="Arial"/>
          <w:sz w:val="24"/>
          <w:szCs w:val="24"/>
          <w:lang w:val="en-GB"/>
        </w:rPr>
        <w:t xml:space="preserve"> to other operators under the same conditions and with the same quality that it provides for its own services </w:t>
      </w:r>
      <w:r w:rsidR="00FB4489" w:rsidRPr="00BC1ABD">
        <w:rPr>
          <w:rFonts w:cs="Arial"/>
          <w:sz w:val="24"/>
          <w:szCs w:val="24"/>
          <w:lang w:val="en-GB"/>
        </w:rPr>
        <w:t>(its retail arm)</w:t>
      </w:r>
      <w:r w:rsidR="006810D1" w:rsidRPr="00BC1ABD">
        <w:rPr>
          <w:rFonts w:cs="Arial"/>
          <w:sz w:val="24"/>
          <w:szCs w:val="24"/>
          <w:lang w:val="en-GB"/>
        </w:rPr>
        <w:t xml:space="preserve"> </w:t>
      </w:r>
      <w:r w:rsidR="00F23AFD" w:rsidRPr="00BC1ABD">
        <w:rPr>
          <w:rFonts w:cs="Arial"/>
          <w:sz w:val="24"/>
          <w:szCs w:val="24"/>
          <w:lang w:val="en-GB"/>
        </w:rPr>
        <w:t>and</w:t>
      </w:r>
      <w:r w:rsidR="006810D1" w:rsidRPr="00BC1ABD">
        <w:rPr>
          <w:rFonts w:cs="Arial"/>
          <w:sz w:val="24"/>
          <w:szCs w:val="24"/>
          <w:lang w:val="en-GB"/>
        </w:rPr>
        <w:t xml:space="preserve"> its affiliated companies</w:t>
      </w:r>
      <w:r w:rsidR="00F47518" w:rsidRPr="00BC1ABD">
        <w:rPr>
          <w:rFonts w:cs="Arial"/>
          <w:sz w:val="24"/>
          <w:szCs w:val="24"/>
          <w:lang w:val="en-GB"/>
        </w:rPr>
        <w:t>.</w:t>
      </w:r>
      <w:r w:rsidR="00B26791">
        <w:rPr>
          <w:rStyle w:val="FootnoteReference"/>
          <w:rFonts w:cs="Arial"/>
          <w:sz w:val="24"/>
          <w:szCs w:val="24"/>
          <w:lang w:val="en-GB"/>
        </w:rPr>
        <w:footnoteReference w:id="108"/>
      </w:r>
    </w:p>
    <w:p w14:paraId="7AF133DF" w14:textId="437C7ACC" w:rsidR="00F47518" w:rsidRPr="009A3D65" w:rsidRDefault="00C673C8" w:rsidP="00F47518">
      <w:pPr>
        <w:pStyle w:val="NormalWeb"/>
        <w:spacing w:after="0"/>
        <w:jc w:val="both"/>
        <w:rPr>
          <w:rFonts w:ascii="Calibri" w:hAnsi="Calibri" w:cs="Arial"/>
          <w:lang w:val="en-GB"/>
        </w:rPr>
      </w:pPr>
      <w:r w:rsidRPr="009A3D65">
        <w:rPr>
          <w:rFonts w:ascii="Calibri" w:hAnsi="Calibri" w:cs="Arial"/>
          <w:lang w:val="en-GB"/>
        </w:rPr>
        <w:t>According to Article 32 of the Law</w:t>
      </w:r>
      <w:r w:rsidR="00F23AFD" w:rsidRPr="009319E5">
        <w:rPr>
          <w:rFonts w:ascii="Calibri" w:hAnsi="Calibri" w:cs="Arial"/>
          <w:lang w:val="en-GB"/>
        </w:rPr>
        <w:t xml:space="preserve"> </w:t>
      </w:r>
      <w:r w:rsidR="00F23AFD" w:rsidRPr="009A3D65">
        <w:rPr>
          <w:rFonts w:ascii="Calibri" w:hAnsi="Calibri" w:cs="Arial"/>
          <w:lang w:val="en-GB"/>
        </w:rPr>
        <w:t>and in line with the principle of</w:t>
      </w:r>
      <w:r w:rsidR="00E46B8B" w:rsidRPr="009319E5">
        <w:rPr>
          <w:rFonts w:ascii="Calibri" w:hAnsi="Calibri" w:cs="Arial"/>
          <w:lang w:val="en-GB"/>
        </w:rPr>
        <w:t xml:space="preserve"> proportionality set out in Art.</w:t>
      </w:r>
      <w:r w:rsidR="00E46B8B" w:rsidRPr="00603F78">
        <w:rPr>
          <w:rFonts w:ascii="Calibri" w:hAnsi="Calibri" w:cs="Arial"/>
          <w:highlight w:val="green"/>
          <w:lang w:val="en-GB"/>
        </w:rPr>
        <w:t>1</w:t>
      </w:r>
      <w:r w:rsidR="00DE2E8C" w:rsidRPr="00603F78">
        <w:rPr>
          <w:rFonts w:ascii="Calibri" w:hAnsi="Calibri" w:cs="Arial"/>
          <w:highlight w:val="green"/>
          <w:lang w:val="en-GB"/>
        </w:rPr>
        <w:t>7</w:t>
      </w:r>
      <w:r w:rsidR="00E46B8B" w:rsidRPr="00603F78">
        <w:rPr>
          <w:rFonts w:ascii="Calibri" w:hAnsi="Calibri" w:cs="Arial"/>
          <w:highlight w:val="green"/>
          <w:lang w:val="en-GB"/>
        </w:rPr>
        <w:t>(</w:t>
      </w:r>
      <w:r w:rsidR="00DE2E8C" w:rsidRPr="00603F78">
        <w:rPr>
          <w:rFonts w:ascii="Calibri" w:hAnsi="Calibri" w:cs="Arial"/>
          <w:highlight w:val="green"/>
          <w:lang w:val="en-GB"/>
        </w:rPr>
        <w:t>1</w:t>
      </w:r>
      <w:r w:rsidR="00E46B8B" w:rsidRPr="00603F78">
        <w:rPr>
          <w:rFonts w:ascii="Calibri" w:hAnsi="Calibri" w:cs="Arial"/>
          <w:highlight w:val="green"/>
          <w:lang w:val="en-GB"/>
        </w:rPr>
        <w:t xml:space="preserve">) </w:t>
      </w:r>
      <w:r w:rsidR="00DE2E8C" w:rsidRPr="00603F78">
        <w:rPr>
          <w:rFonts w:ascii="Calibri" w:hAnsi="Calibri" w:cs="Arial"/>
          <w:highlight w:val="green"/>
          <w:lang w:val="en-GB"/>
        </w:rPr>
        <w:t>c</w:t>
      </w:r>
      <w:r w:rsidR="00E46B8B" w:rsidRPr="00603F78">
        <w:rPr>
          <w:rFonts w:ascii="Calibri" w:hAnsi="Calibri" w:cs="Arial"/>
          <w:highlight w:val="green"/>
          <w:lang w:val="en-GB"/>
        </w:rPr>
        <w:t>) of the revised</w:t>
      </w:r>
      <w:r w:rsidR="00E46B8B" w:rsidRPr="009319E5">
        <w:rPr>
          <w:rFonts w:ascii="Calibri" w:hAnsi="Calibri" w:cs="Arial"/>
          <w:lang w:val="en-GB"/>
        </w:rPr>
        <w:t xml:space="preserve"> </w:t>
      </w:r>
      <w:r w:rsidR="00F23AFD" w:rsidRPr="009A3D65">
        <w:rPr>
          <w:rFonts w:ascii="Calibri" w:hAnsi="Calibri" w:cs="Arial"/>
          <w:lang w:val="en-GB"/>
        </w:rPr>
        <w:t xml:space="preserve">Methodological rules (based on findings from Chapter </w:t>
      </w:r>
      <w:r w:rsidR="00B0056C" w:rsidRPr="009A3D65">
        <w:rPr>
          <w:rFonts w:ascii="Calibri" w:hAnsi="Calibri" w:cs="Arial"/>
          <w:lang w:val="en-GB"/>
        </w:rPr>
        <w:t>7</w:t>
      </w:r>
      <w:r w:rsidR="00F23AFD" w:rsidRPr="009A3D65">
        <w:rPr>
          <w:rFonts w:ascii="Calibri" w:hAnsi="Calibri" w:cs="Arial"/>
          <w:lang w:val="en-GB"/>
        </w:rPr>
        <w:t>.1)</w:t>
      </w:r>
      <w:r w:rsidRPr="009A3D65">
        <w:rPr>
          <w:rFonts w:ascii="Calibri" w:hAnsi="Calibri" w:cs="Arial"/>
          <w:lang w:val="en-GB"/>
        </w:rPr>
        <w:t xml:space="preserve">, ComCom proposes that </w:t>
      </w:r>
      <w:r w:rsidR="00E56C46">
        <w:rPr>
          <w:rFonts w:ascii="Calibri" w:hAnsi="Calibri" w:cs="Arial"/>
          <w:lang w:val="en-GB"/>
        </w:rPr>
        <w:t xml:space="preserve">the </w:t>
      </w:r>
      <w:r w:rsidRPr="009A3D65">
        <w:rPr>
          <w:rFonts w:ascii="Calibri" w:hAnsi="Calibri" w:cs="Arial"/>
          <w:lang w:val="en-GB"/>
        </w:rPr>
        <w:t xml:space="preserve">SMP operator </w:t>
      </w:r>
      <w:r w:rsidR="00E56C46">
        <w:rPr>
          <w:rFonts w:ascii="Calibri" w:hAnsi="Calibri" w:cs="Arial"/>
          <w:lang w:val="en-GB"/>
        </w:rPr>
        <w:t>has the</w:t>
      </w:r>
      <w:r w:rsidRPr="009A3D65">
        <w:rPr>
          <w:rFonts w:ascii="Calibri" w:hAnsi="Calibri" w:cs="Arial"/>
          <w:lang w:val="en-GB"/>
        </w:rPr>
        <w:t xml:space="preserve"> following regulatory obligations:</w:t>
      </w:r>
    </w:p>
    <w:p w14:paraId="125FEE05" w14:textId="77777777" w:rsidR="00F47518" w:rsidRPr="00BC1ABD" w:rsidRDefault="00F47518" w:rsidP="00F47518">
      <w:pPr>
        <w:pStyle w:val="NormalWeb"/>
        <w:spacing w:after="0"/>
        <w:jc w:val="both"/>
        <w:rPr>
          <w:rFonts w:ascii="Calibri" w:hAnsi="Calibri" w:cs="Calibri"/>
          <w:lang w:val="en-GB"/>
        </w:rPr>
      </w:pPr>
    </w:p>
    <w:p w14:paraId="053B00F9" w14:textId="77777777" w:rsidR="00F47518" w:rsidRPr="00BC1ABD" w:rsidRDefault="002F05D0" w:rsidP="00F47518">
      <w:pPr>
        <w:pStyle w:val="NormalWeb"/>
        <w:spacing w:after="0"/>
        <w:jc w:val="both"/>
        <w:rPr>
          <w:rFonts w:ascii="Calibri" w:hAnsi="Calibri" w:cs="Calibri"/>
          <w:u w:val="single"/>
          <w:lang w:val="en-GB"/>
        </w:rPr>
      </w:pPr>
      <w:r w:rsidRPr="00BC1ABD">
        <w:rPr>
          <w:rFonts w:ascii="Calibri" w:hAnsi="Calibri" w:cs="Calibri"/>
          <w:u w:val="single"/>
          <w:lang w:val="en-GB"/>
        </w:rPr>
        <w:t>Cluster</w:t>
      </w:r>
      <w:r w:rsidR="00F23AFD" w:rsidRPr="00BC1ABD">
        <w:rPr>
          <w:rFonts w:ascii="Calibri" w:hAnsi="Calibri" w:cs="Calibri"/>
          <w:u w:val="single"/>
          <w:lang w:val="en-GB"/>
        </w:rPr>
        <w:t xml:space="preserve"> </w:t>
      </w:r>
      <w:r w:rsidR="00F47518" w:rsidRPr="00BC1ABD">
        <w:rPr>
          <w:rFonts w:ascii="Calibri" w:hAnsi="Calibri" w:cs="Calibri"/>
          <w:u w:val="single"/>
          <w:lang w:val="en-GB"/>
        </w:rPr>
        <w:t>I</w:t>
      </w:r>
    </w:p>
    <w:p w14:paraId="43A10B0D" w14:textId="3BDC4232" w:rsidR="009479FF" w:rsidRPr="00BC1ABD" w:rsidRDefault="00786861">
      <w:pPr>
        <w:pStyle w:val="NormalWeb"/>
        <w:numPr>
          <w:ilvl w:val="0"/>
          <w:numId w:val="18"/>
        </w:numPr>
        <w:spacing w:after="0"/>
        <w:jc w:val="both"/>
        <w:rPr>
          <w:rFonts w:ascii="Calibri" w:hAnsi="Calibri" w:cs="Calibri"/>
          <w:lang w:val="en-GB"/>
        </w:rPr>
      </w:pPr>
      <w:r w:rsidRPr="00BC1ABD">
        <w:rPr>
          <w:rFonts w:ascii="Calibri" w:hAnsi="Calibri" w:cs="Calibri"/>
          <w:lang w:val="en-GB"/>
        </w:rPr>
        <w:t>E</w:t>
      </w:r>
      <w:r w:rsidR="00C673C8" w:rsidRPr="00BC1ABD">
        <w:rPr>
          <w:rFonts w:ascii="Calibri" w:hAnsi="Calibri" w:cs="Calibri"/>
          <w:lang w:val="en-GB"/>
        </w:rPr>
        <w:t xml:space="preserve">nsuring equal terms and conditions </w:t>
      </w:r>
      <w:r w:rsidR="00F23AFD" w:rsidRPr="00BC1ABD">
        <w:rPr>
          <w:rFonts w:ascii="Calibri" w:hAnsi="Calibri" w:cs="Calibri"/>
          <w:lang w:val="en-GB"/>
        </w:rPr>
        <w:t>(deadlines, prices, information, quality, etc</w:t>
      </w:r>
      <w:r w:rsidR="009A3D65">
        <w:rPr>
          <w:rFonts w:ascii="Calibri" w:hAnsi="Calibri" w:cs="Calibri"/>
          <w:lang w:val="en-GB"/>
        </w:rPr>
        <w:t>.</w:t>
      </w:r>
      <w:r w:rsidR="00F23AFD" w:rsidRPr="00BC1ABD">
        <w:rPr>
          <w:rFonts w:ascii="Calibri" w:hAnsi="Calibri" w:cs="Calibri"/>
          <w:lang w:val="en-GB"/>
        </w:rPr>
        <w:t xml:space="preserve">) </w:t>
      </w:r>
      <w:r w:rsidR="007D4C61">
        <w:rPr>
          <w:rFonts w:ascii="Calibri" w:hAnsi="Calibri" w:cs="Calibri"/>
          <w:lang w:val="en-GB"/>
        </w:rPr>
        <w:t>for the</w:t>
      </w:r>
      <w:r w:rsidR="00C673C8" w:rsidRPr="00BC1ABD">
        <w:rPr>
          <w:rFonts w:ascii="Calibri" w:hAnsi="Calibri" w:cs="Calibri"/>
          <w:lang w:val="en-GB"/>
        </w:rPr>
        <w:t xml:space="preserve"> </w:t>
      </w:r>
      <w:r w:rsidR="00F23AFD" w:rsidRPr="00BC1ABD">
        <w:rPr>
          <w:rFonts w:ascii="Calibri" w:hAnsi="Calibri" w:cs="Calibri"/>
          <w:lang w:val="en-GB"/>
        </w:rPr>
        <w:t xml:space="preserve">provision of </w:t>
      </w:r>
      <w:r w:rsidR="00E03A63" w:rsidRPr="00603F78">
        <w:rPr>
          <w:rFonts w:ascii="Calibri" w:hAnsi="Calibri" w:cs="Calibri"/>
          <w:highlight w:val="yellow"/>
          <w:lang w:val="en-GB"/>
        </w:rPr>
        <w:t xml:space="preserve">VULA and </w:t>
      </w:r>
      <w:r w:rsidR="00C673C8" w:rsidRPr="00603F78">
        <w:rPr>
          <w:rFonts w:ascii="Calibri" w:hAnsi="Calibri" w:cs="Calibri"/>
          <w:highlight w:val="yellow"/>
          <w:lang w:val="en-GB"/>
        </w:rPr>
        <w:t>wholesale</w:t>
      </w:r>
      <w:r w:rsidR="00195B2F">
        <w:rPr>
          <w:rFonts w:ascii="Calibri" w:hAnsi="Calibri" w:cs="Calibri"/>
          <w:lang w:val="en-GB"/>
        </w:rPr>
        <w:t xml:space="preserve"> </w:t>
      </w:r>
      <w:r w:rsidR="00C673C8" w:rsidRPr="00BC1ABD">
        <w:rPr>
          <w:rFonts w:ascii="Calibri" w:hAnsi="Calibri" w:cs="Calibri"/>
          <w:lang w:val="en-GB"/>
        </w:rPr>
        <w:t>central access (bitstream access) and related services in equal circumstances for other operators who provide equal services</w:t>
      </w:r>
      <w:r w:rsidR="00306F46" w:rsidRPr="00BC1ABD">
        <w:rPr>
          <w:rFonts w:ascii="Calibri" w:hAnsi="Calibri" w:cs="Calibri"/>
          <w:lang w:val="en-GB"/>
        </w:rPr>
        <w:t xml:space="preserve"> and </w:t>
      </w:r>
      <w:r w:rsidR="000E1901" w:rsidRPr="00BC1ABD">
        <w:rPr>
          <w:rFonts w:ascii="Calibri" w:hAnsi="Calibri" w:cs="Calibri"/>
          <w:lang w:val="en-GB"/>
        </w:rPr>
        <w:t>monitoring</w:t>
      </w:r>
      <w:r w:rsidR="00306F46" w:rsidRPr="00BC1ABD">
        <w:rPr>
          <w:rFonts w:ascii="Calibri" w:hAnsi="Calibri" w:cs="Calibri"/>
          <w:lang w:val="en-GB"/>
        </w:rPr>
        <w:t xml:space="preserve"> </w:t>
      </w:r>
      <w:r w:rsidR="000E1901" w:rsidRPr="00BC1ABD">
        <w:rPr>
          <w:rFonts w:ascii="Calibri" w:hAnsi="Calibri" w:cs="Calibri"/>
          <w:lang w:val="en-GB"/>
        </w:rPr>
        <w:t xml:space="preserve">this </w:t>
      </w:r>
      <w:r w:rsidR="00306F46" w:rsidRPr="00BC1ABD">
        <w:rPr>
          <w:rFonts w:ascii="Calibri" w:hAnsi="Calibri" w:cs="Calibri"/>
          <w:lang w:val="en-GB"/>
        </w:rPr>
        <w:t xml:space="preserve">obligation through </w:t>
      </w:r>
      <w:r w:rsidR="007D4C61">
        <w:rPr>
          <w:rFonts w:ascii="Calibri" w:hAnsi="Calibri" w:cs="Calibri"/>
          <w:lang w:val="en-GB"/>
        </w:rPr>
        <w:t xml:space="preserve">the </w:t>
      </w:r>
      <w:r w:rsidR="00306F46" w:rsidRPr="00BC1ABD">
        <w:rPr>
          <w:rFonts w:ascii="Calibri" w:hAnsi="Calibri" w:cs="Calibri"/>
          <w:lang w:val="en-GB"/>
        </w:rPr>
        <w:t xml:space="preserve">KPI’s </w:t>
      </w:r>
      <w:r w:rsidR="006B0295">
        <w:rPr>
          <w:rFonts w:ascii="Calibri" w:hAnsi="Calibri" w:cs="Calibri"/>
          <w:lang w:val="en-GB"/>
        </w:rPr>
        <w:t>defined</w:t>
      </w:r>
      <w:r w:rsidR="00306F46" w:rsidRPr="00BC1ABD">
        <w:rPr>
          <w:rFonts w:ascii="Calibri" w:hAnsi="Calibri" w:cs="Calibri"/>
          <w:lang w:val="en-GB"/>
        </w:rPr>
        <w:t xml:space="preserve"> in section </w:t>
      </w:r>
      <w:r w:rsidR="009319E5">
        <w:rPr>
          <w:rFonts w:ascii="Calibri" w:hAnsi="Calibri" w:cs="Calibri"/>
          <w:lang w:val="en-GB"/>
        </w:rPr>
        <w:t>8</w:t>
      </w:r>
      <w:r w:rsidR="00306F46" w:rsidRPr="00BC1ABD">
        <w:rPr>
          <w:rFonts w:ascii="Calibri" w:hAnsi="Calibri" w:cs="Calibri"/>
          <w:lang w:val="en-GB"/>
        </w:rPr>
        <w:t>.2.1</w:t>
      </w:r>
      <w:r w:rsidR="006B0295">
        <w:rPr>
          <w:rFonts w:ascii="Calibri" w:hAnsi="Calibri" w:cs="Calibri"/>
          <w:lang w:val="en-GB"/>
        </w:rPr>
        <w:t>;</w:t>
      </w:r>
    </w:p>
    <w:p w14:paraId="1431CD37" w14:textId="7B00A60A" w:rsidR="00C673C8" w:rsidRPr="00BC1ABD" w:rsidRDefault="00786861">
      <w:pPr>
        <w:pStyle w:val="NormalWeb"/>
        <w:numPr>
          <w:ilvl w:val="0"/>
          <w:numId w:val="18"/>
        </w:numPr>
        <w:spacing w:after="0"/>
        <w:jc w:val="both"/>
        <w:rPr>
          <w:rFonts w:ascii="Calibri" w:hAnsi="Calibri" w:cs="Calibri"/>
          <w:lang w:val="en-GB"/>
        </w:rPr>
      </w:pPr>
      <w:r w:rsidRPr="00BC1ABD">
        <w:rPr>
          <w:rFonts w:ascii="Calibri" w:hAnsi="Calibri" w:cs="Calibri"/>
          <w:lang w:val="en-GB"/>
        </w:rPr>
        <w:t>P</w:t>
      </w:r>
      <w:r w:rsidR="00C673C8" w:rsidRPr="00BC1ABD">
        <w:rPr>
          <w:rFonts w:ascii="Calibri" w:hAnsi="Calibri" w:cs="Calibri"/>
          <w:lang w:val="en-GB"/>
        </w:rPr>
        <w:t>roviding services and data to other operators under the same conditions and of the same quality that they provide for their own services (for its retail arm)</w:t>
      </w:r>
      <w:r w:rsidR="00F23AFD" w:rsidRPr="00BC1ABD">
        <w:rPr>
          <w:rFonts w:ascii="Calibri" w:hAnsi="Calibri" w:cs="Calibri"/>
          <w:lang w:val="en-GB"/>
        </w:rPr>
        <w:t xml:space="preserve"> and its affiliated companies</w:t>
      </w:r>
      <w:r w:rsidR="00C453D5" w:rsidRPr="00BC1ABD">
        <w:rPr>
          <w:rStyle w:val="FootnoteReference"/>
          <w:rFonts w:ascii="Calibri" w:hAnsi="Calibri" w:cs="Calibri"/>
          <w:lang w:val="en-GB"/>
        </w:rPr>
        <w:footnoteReference w:id="109"/>
      </w:r>
      <w:r w:rsidR="000E1901" w:rsidRPr="00BC1ABD">
        <w:rPr>
          <w:rFonts w:ascii="Calibri" w:hAnsi="Calibri" w:cs="Calibri"/>
          <w:lang w:val="en-GB"/>
        </w:rPr>
        <w:t xml:space="preserve"> </w:t>
      </w:r>
      <w:r w:rsidR="00C453D5" w:rsidRPr="00BC1ABD">
        <w:rPr>
          <w:rFonts w:ascii="Calibri" w:hAnsi="Calibri" w:cs="Calibri"/>
          <w:lang w:val="en-GB"/>
        </w:rPr>
        <w:t xml:space="preserve">and </w:t>
      </w:r>
      <w:r w:rsidR="000E1901" w:rsidRPr="00BC1ABD">
        <w:rPr>
          <w:rFonts w:ascii="Calibri" w:hAnsi="Calibri" w:cs="Calibri"/>
          <w:lang w:val="en-GB"/>
        </w:rPr>
        <w:t xml:space="preserve">monitoring this obligation through KPI’s </w:t>
      </w:r>
      <w:r w:rsidR="006B0295">
        <w:rPr>
          <w:rFonts w:ascii="Calibri" w:hAnsi="Calibri" w:cs="Calibri"/>
          <w:lang w:val="en-GB"/>
        </w:rPr>
        <w:t>defined</w:t>
      </w:r>
      <w:r w:rsidR="000E1901" w:rsidRPr="00BC1ABD">
        <w:rPr>
          <w:rFonts w:ascii="Calibri" w:hAnsi="Calibri" w:cs="Calibri"/>
          <w:lang w:val="en-GB"/>
        </w:rPr>
        <w:t xml:space="preserve"> in section </w:t>
      </w:r>
      <w:r w:rsidR="009319E5">
        <w:rPr>
          <w:rFonts w:ascii="Calibri" w:hAnsi="Calibri" w:cs="Calibri"/>
          <w:lang w:val="en-GB"/>
        </w:rPr>
        <w:t>8</w:t>
      </w:r>
      <w:r w:rsidR="000E1901" w:rsidRPr="00BC1ABD">
        <w:rPr>
          <w:rFonts w:ascii="Calibri" w:hAnsi="Calibri" w:cs="Calibri"/>
          <w:lang w:val="en-GB"/>
        </w:rPr>
        <w:t>.2.1</w:t>
      </w:r>
      <w:r w:rsidR="006B0295">
        <w:rPr>
          <w:rFonts w:ascii="Calibri" w:hAnsi="Calibri" w:cs="Calibri"/>
          <w:lang w:val="en-GB"/>
        </w:rPr>
        <w:t>;</w:t>
      </w:r>
    </w:p>
    <w:p w14:paraId="559A6223" w14:textId="27DCBD54" w:rsidR="00C673C8" w:rsidRPr="00BC1ABD" w:rsidRDefault="00786861">
      <w:pPr>
        <w:pStyle w:val="NormalWeb"/>
        <w:numPr>
          <w:ilvl w:val="0"/>
          <w:numId w:val="18"/>
        </w:numPr>
        <w:spacing w:after="0"/>
        <w:jc w:val="both"/>
        <w:rPr>
          <w:rFonts w:ascii="Calibri" w:hAnsi="Calibri" w:cs="Calibri"/>
          <w:lang w:val="en-GB"/>
        </w:rPr>
      </w:pPr>
      <w:r w:rsidRPr="00BC1ABD">
        <w:rPr>
          <w:rFonts w:ascii="Calibri" w:hAnsi="Calibri" w:cs="Calibri"/>
          <w:lang w:val="en-GB"/>
        </w:rPr>
        <w:t>S</w:t>
      </w:r>
      <w:r w:rsidR="00C673C8" w:rsidRPr="00BC1ABD">
        <w:rPr>
          <w:rFonts w:ascii="Calibri" w:hAnsi="Calibri" w:cs="Calibri"/>
          <w:lang w:val="en-GB"/>
        </w:rPr>
        <w:t xml:space="preserve">ubmit to ComCom </w:t>
      </w:r>
      <w:r w:rsidR="006B0295">
        <w:rPr>
          <w:rFonts w:ascii="Calibri" w:hAnsi="Calibri" w:cs="Calibri"/>
          <w:lang w:val="en-GB"/>
        </w:rPr>
        <w:t xml:space="preserve">the </w:t>
      </w:r>
      <w:r w:rsidR="00C673C8" w:rsidRPr="00BC1ABD">
        <w:rPr>
          <w:rFonts w:ascii="Calibri" w:hAnsi="Calibri" w:cs="Calibri"/>
          <w:lang w:val="en-GB"/>
        </w:rPr>
        <w:t xml:space="preserve">contracts concluded on the basis of reference offers for services regulated by this analysis, within 15 days from the date of conclusion of the contract. This is necessary as a main tool for verifying compliance with the obligation of non-discrimination. If there is any misconduct and intentional breach of regulatory obligations defined, ComCom </w:t>
      </w:r>
      <w:r w:rsidR="006B0295">
        <w:rPr>
          <w:rFonts w:ascii="Calibri" w:hAnsi="Calibri" w:cs="Calibri"/>
          <w:lang w:val="en-GB"/>
        </w:rPr>
        <w:t>will exercise the</w:t>
      </w:r>
      <w:r w:rsidR="00C673C8" w:rsidRPr="00BC1ABD">
        <w:rPr>
          <w:rFonts w:ascii="Calibri" w:hAnsi="Calibri" w:cs="Calibri"/>
          <w:lang w:val="en-GB"/>
        </w:rPr>
        <w:t xml:space="preserve"> possibility to react in a timely manner</w:t>
      </w:r>
      <w:r w:rsidR="006B0295">
        <w:rPr>
          <w:rFonts w:ascii="Calibri" w:hAnsi="Calibri" w:cs="Calibri"/>
          <w:lang w:val="en-GB"/>
        </w:rPr>
        <w:t>;</w:t>
      </w:r>
    </w:p>
    <w:p w14:paraId="1EB3CA89" w14:textId="6602F5EA" w:rsidR="005C6690" w:rsidRPr="00BC1ABD" w:rsidRDefault="00786861">
      <w:pPr>
        <w:pStyle w:val="ListParagraph"/>
        <w:numPr>
          <w:ilvl w:val="0"/>
          <w:numId w:val="18"/>
        </w:numPr>
        <w:jc w:val="both"/>
        <w:rPr>
          <w:rFonts w:cs="Calibri"/>
          <w:sz w:val="24"/>
          <w:szCs w:val="24"/>
          <w:lang w:val="en-GB"/>
        </w:rPr>
      </w:pPr>
      <w:r w:rsidRPr="00BC1ABD">
        <w:rPr>
          <w:rFonts w:cs="Calibri"/>
          <w:sz w:val="24"/>
          <w:szCs w:val="24"/>
          <w:lang w:val="en-GB"/>
        </w:rPr>
        <w:t>S</w:t>
      </w:r>
      <w:r w:rsidR="005C6690" w:rsidRPr="00BC1ABD">
        <w:rPr>
          <w:rFonts w:cs="Calibri"/>
          <w:sz w:val="24"/>
          <w:szCs w:val="24"/>
          <w:lang w:val="en-GB"/>
        </w:rPr>
        <w:t xml:space="preserve">ubmit reports to ComCom </w:t>
      </w:r>
      <w:r w:rsidR="006B0295">
        <w:rPr>
          <w:rFonts w:cs="Calibri"/>
          <w:sz w:val="24"/>
          <w:szCs w:val="24"/>
          <w:lang w:val="en-GB"/>
        </w:rPr>
        <w:t xml:space="preserve">containing </w:t>
      </w:r>
      <w:r w:rsidR="005C6690" w:rsidRPr="00BC1ABD">
        <w:rPr>
          <w:rFonts w:cs="Calibri"/>
          <w:sz w:val="24"/>
          <w:szCs w:val="24"/>
          <w:lang w:val="en-GB"/>
        </w:rPr>
        <w:t xml:space="preserve">all relevant results of KPIs from section </w:t>
      </w:r>
      <w:r w:rsidR="00085F99">
        <w:rPr>
          <w:rFonts w:cs="Calibri"/>
          <w:sz w:val="24"/>
          <w:szCs w:val="24"/>
          <w:lang w:val="en-GB"/>
        </w:rPr>
        <w:t>8</w:t>
      </w:r>
      <w:r w:rsidR="005C6690" w:rsidRPr="00BC1ABD">
        <w:rPr>
          <w:rFonts w:cs="Calibri"/>
          <w:sz w:val="24"/>
          <w:szCs w:val="24"/>
          <w:lang w:val="en-GB"/>
        </w:rPr>
        <w:t xml:space="preserve">.2.1. </w:t>
      </w:r>
      <w:r w:rsidR="006B0295">
        <w:rPr>
          <w:rFonts w:cs="Calibri"/>
          <w:sz w:val="24"/>
          <w:szCs w:val="24"/>
          <w:lang w:val="en-GB"/>
        </w:rPr>
        <w:t>for other</w:t>
      </w:r>
      <w:r w:rsidR="005C6690" w:rsidRPr="00BC1ABD">
        <w:rPr>
          <w:rFonts w:cs="Calibri"/>
          <w:sz w:val="24"/>
          <w:szCs w:val="24"/>
          <w:lang w:val="en-GB"/>
        </w:rPr>
        <w:t xml:space="preserve"> operator</w:t>
      </w:r>
      <w:r w:rsidR="006B0295">
        <w:rPr>
          <w:rFonts w:cs="Calibri"/>
          <w:sz w:val="24"/>
          <w:szCs w:val="24"/>
          <w:lang w:val="en-GB"/>
        </w:rPr>
        <w:t>s who provide equal services</w:t>
      </w:r>
      <w:r w:rsidR="005C6690" w:rsidRPr="00BC1ABD">
        <w:rPr>
          <w:rFonts w:cs="Calibri"/>
          <w:sz w:val="24"/>
          <w:szCs w:val="24"/>
          <w:lang w:val="en-GB"/>
        </w:rPr>
        <w:t xml:space="preserve"> and compar</w:t>
      </w:r>
      <w:r w:rsidR="006B0295">
        <w:rPr>
          <w:rFonts w:cs="Calibri"/>
          <w:sz w:val="24"/>
          <w:szCs w:val="24"/>
          <w:lang w:val="en-GB"/>
        </w:rPr>
        <w:t>ing these</w:t>
      </w:r>
      <w:r w:rsidR="005C6690" w:rsidRPr="00BC1ABD">
        <w:rPr>
          <w:rFonts w:cs="Calibri"/>
          <w:sz w:val="24"/>
          <w:szCs w:val="24"/>
          <w:lang w:val="en-GB"/>
        </w:rPr>
        <w:t xml:space="preserve"> results of </w:t>
      </w:r>
      <w:r w:rsidR="006B0295">
        <w:rPr>
          <w:rFonts w:cs="Calibri"/>
          <w:sz w:val="24"/>
          <w:szCs w:val="24"/>
          <w:lang w:val="en-GB"/>
        </w:rPr>
        <w:t xml:space="preserve">the </w:t>
      </w:r>
      <w:r w:rsidR="005C6690" w:rsidRPr="00BC1ABD">
        <w:rPr>
          <w:rFonts w:cs="Calibri"/>
          <w:sz w:val="24"/>
          <w:szCs w:val="24"/>
          <w:lang w:val="en-GB"/>
        </w:rPr>
        <w:t>SMP operators’ retail arm separately (and with its affiliated companies, if applicable), which prove</w:t>
      </w:r>
      <w:r w:rsidR="006B0295">
        <w:rPr>
          <w:rFonts w:cs="Calibri"/>
          <w:sz w:val="24"/>
          <w:szCs w:val="24"/>
          <w:lang w:val="en-GB"/>
        </w:rPr>
        <w:t>s</w:t>
      </w:r>
      <w:r w:rsidR="005C6690" w:rsidRPr="00BC1ABD">
        <w:rPr>
          <w:rFonts w:cs="Calibri"/>
          <w:sz w:val="24"/>
          <w:szCs w:val="24"/>
          <w:lang w:val="en-GB"/>
        </w:rPr>
        <w:t xml:space="preserve"> equal treatment for all operators on the market.</w:t>
      </w:r>
    </w:p>
    <w:p w14:paraId="726D99DF" w14:textId="77777777" w:rsidR="00F47518" w:rsidRPr="00BC1ABD" w:rsidRDefault="002F05D0" w:rsidP="00F47518">
      <w:pPr>
        <w:pStyle w:val="NormalWeb"/>
        <w:spacing w:after="0"/>
        <w:jc w:val="both"/>
        <w:rPr>
          <w:rFonts w:ascii="Calibri" w:hAnsi="Calibri" w:cs="Calibri"/>
          <w:u w:val="single"/>
          <w:lang w:val="en-GB"/>
        </w:rPr>
      </w:pPr>
      <w:r w:rsidRPr="00BC1ABD">
        <w:rPr>
          <w:rFonts w:ascii="Calibri" w:hAnsi="Calibri" w:cs="Calibri"/>
          <w:u w:val="single"/>
          <w:lang w:val="en-GB"/>
        </w:rPr>
        <w:t>Cluster</w:t>
      </w:r>
      <w:r w:rsidR="00363B16" w:rsidRPr="00BC1ABD">
        <w:rPr>
          <w:rFonts w:ascii="Calibri" w:hAnsi="Calibri" w:cs="Calibri"/>
          <w:u w:val="single"/>
          <w:lang w:val="en-GB"/>
        </w:rPr>
        <w:t xml:space="preserve"> </w:t>
      </w:r>
      <w:r w:rsidR="00F47518" w:rsidRPr="00BC1ABD">
        <w:rPr>
          <w:rFonts w:ascii="Calibri" w:hAnsi="Calibri" w:cs="Calibri"/>
          <w:u w:val="single"/>
          <w:lang w:val="en-GB"/>
        </w:rPr>
        <w:t>II</w:t>
      </w:r>
    </w:p>
    <w:p w14:paraId="71B4F160" w14:textId="5315481E" w:rsidR="00585337" w:rsidRPr="00BC1ABD" w:rsidRDefault="00786861">
      <w:pPr>
        <w:pStyle w:val="NormalWeb"/>
        <w:numPr>
          <w:ilvl w:val="0"/>
          <w:numId w:val="18"/>
        </w:numPr>
        <w:spacing w:after="0"/>
        <w:jc w:val="both"/>
        <w:rPr>
          <w:rFonts w:ascii="Calibri" w:hAnsi="Calibri" w:cs="Calibri"/>
          <w:lang w:val="en-GB"/>
        </w:rPr>
      </w:pPr>
      <w:r w:rsidRPr="00BC1ABD">
        <w:rPr>
          <w:rFonts w:ascii="Calibri" w:hAnsi="Calibri" w:cs="Calibri"/>
          <w:lang w:val="en-GB"/>
        </w:rPr>
        <w:t>E</w:t>
      </w:r>
      <w:r w:rsidR="00585337" w:rsidRPr="00BC1ABD">
        <w:rPr>
          <w:rFonts w:ascii="Calibri" w:hAnsi="Calibri" w:cs="Calibri"/>
          <w:lang w:val="en-GB"/>
        </w:rPr>
        <w:t xml:space="preserve">nsuring equal terms and conditions </w:t>
      </w:r>
      <w:r w:rsidR="00363B16" w:rsidRPr="00BC1ABD">
        <w:rPr>
          <w:rFonts w:ascii="Calibri" w:hAnsi="Calibri" w:cs="Calibri"/>
          <w:lang w:val="en-GB"/>
        </w:rPr>
        <w:t xml:space="preserve">(deadlines, prices, information, quality, etc) </w:t>
      </w:r>
      <w:r w:rsidR="006B0295">
        <w:rPr>
          <w:rFonts w:ascii="Calibri" w:hAnsi="Calibri" w:cs="Calibri"/>
          <w:lang w:val="en-GB"/>
        </w:rPr>
        <w:t>in</w:t>
      </w:r>
      <w:r w:rsidR="00585337" w:rsidRPr="00BC1ABD">
        <w:rPr>
          <w:rFonts w:ascii="Calibri" w:hAnsi="Calibri" w:cs="Calibri"/>
          <w:lang w:val="en-GB"/>
        </w:rPr>
        <w:t xml:space="preserve"> </w:t>
      </w:r>
      <w:r w:rsidR="006B0295">
        <w:rPr>
          <w:rFonts w:ascii="Calibri" w:hAnsi="Calibri" w:cs="Calibri"/>
          <w:lang w:val="en-GB"/>
        </w:rPr>
        <w:t xml:space="preserve">the </w:t>
      </w:r>
      <w:r w:rsidR="00363B16" w:rsidRPr="00BC1ABD">
        <w:rPr>
          <w:rFonts w:ascii="Calibri" w:hAnsi="Calibri" w:cs="Calibri"/>
          <w:lang w:val="en-GB"/>
        </w:rPr>
        <w:t>provision of</w:t>
      </w:r>
      <w:r w:rsidR="00585337" w:rsidRPr="00BC1ABD">
        <w:rPr>
          <w:rFonts w:ascii="Calibri" w:hAnsi="Calibri" w:cs="Calibri"/>
          <w:lang w:val="en-GB"/>
        </w:rPr>
        <w:t xml:space="preserve"> </w:t>
      </w:r>
      <w:r w:rsidR="0091770A" w:rsidRPr="00603F78">
        <w:rPr>
          <w:rFonts w:ascii="Calibri" w:hAnsi="Calibri" w:cs="Calibri"/>
          <w:highlight w:val="yellow"/>
          <w:lang w:val="en-GB"/>
        </w:rPr>
        <w:t xml:space="preserve">VULA and </w:t>
      </w:r>
      <w:r w:rsidR="00585337" w:rsidRPr="00603F78">
        <w:rPr>
          <w:rFonts w:ascii="Calibri" w:hAnsi="Calibri" w:cs="Calibri"/>
          <w:highlight w:val="yellow"/>
          <w:lang w:val="en-GB"/>
        </w:rPr>
        <w:t>wholesale</w:t>
      </w:r>
      <w:r w:rsidR="00585337" w:rsidRPr="00BC1ABD">
        <w:rPr>
          <w:rFonts w:ascii="Calibri" w:hAnsi="Calibri" w:cs="Calibri"/>
          <w:lang w:val="en-GB"/>
        </w:rPr>
        <w:t xml:space="preserve"> central access (bitstream access) and related services in equal circumstances for other operators who provide equal services</w:t>
      </w:r>
      <w:r w:rsidR="000E1901" w:rsidRPr="00BC1ABD">
        <w:rPr>
          <w:rFonts w:ascii="Calibri" w:hAnsi="Calibri" w:cs="Calibri"/>
          <w:lang w:val="en-GB"/>
        </w:rPr>
        <w:t xml:space="preserve"> and monitoring this obligation through KPI’s </w:t>
      </w:r>
      <w:r w:rsidR="006B0295">
        <w:rPr>
          <w:rFonts w:ascii="Calibri" w:hAnsi="Calibri" w:cs="Calibri"/>
          <w:lang w:val="en-GB"/>
        </w:rPr>
        <w:t>defined</w:t>
      </w:r>
      <w:r w:rsidR="000E1901" w:rsidRPr="00BC1ABD">
        <w:rPr>
          <w:rFonts w:ascii="Calibri" w:hAnsi="Calibri" w:cs="Calibri"/>
          <w:lang w:val="en-GB"/>
        </w:rPr>
        <w:t xml:space="preserve"> in section </w:t>
      </w:r>
      <w:r w:rsidR="00085F99">
        <w:rPr>
          <w:rFonts w:ascii="Calibri" w:hAnsi="Calibri" w:cs="Calibri"/>
          <w:lang w:val="en-GB"/>
        </w:rPr>
        <w:t>8</w:t>
      </w:r>
      <w:r w:rsidR="000E1901" w:rsidRPr="00BC1ABD">
        <w:rPr>
          <w:rFonts w:ascii="Calibri" w:hAnsi="Calibri" w:cs="Calibri"/>
          <w:lang w:val="en-GB"/>
        </w:rPr>
        <w:t>.2.1</w:t>
      </w:r>
      <w:r w:rsidR="006B0295">
        <w:rPr>
          <w:rFonts w:ascii="Calibri" w:hAnsi="Calibri" w:cs="Calibri"/>
          <w:lang w:val="en-GB"/>
        </w:rPr>
        <w:t>;</w:t>
      </w:r>
    </w:p>
    <w:p w14:paraId="459CE955" w14:textId="1D63DFBA" w:rsidR="00585337" w:rsidRPr="00BC1ABD" w:rsidRDefault="00786861">
      <w:pPr>
        <w:pStyle w:val="NormalWeb"/>
        <w:numPr>
          <w:ilvl w:val="0"/>
          <w:numId w:val="18"/>
        </w:numPr>
        <w:spacing w:after="0"/>
        <w:jc w:val="both"/>
        <w:rPr>
          <w:rFonts w:ascii="Calibri" w:hAnsi="Calibri" w:cs="Calibri"/>
          <w:lang w:val="en-GB"/>
        </w:rPr>
      </w:pPr>
      <w:r w:rsidRPr="00BC1ABD">
        <w:rPr>
          <w:rFonts w:ascii="Calibri" w:hAnsi="Calibri" w:cs="Calibri"/>
          <w:lang w:val="en-GB"/>
        </w:rPr>
        <w:t>P</w:t>
      </w:r>
      <w:r w:rsidR="00585337" w:rsidRPr="00BC1ABD">
        <w:rPr>
          <w:rFonts w:ascii="Calibri" w:hAnsi="Calibri" w:cs="Calibri"/>
          <w:lang w:val="en-GB"/>
        </w:rPr>
        <w:t xml:space="preserve">roviding services and </w:t>
      </w:r>
      <w:r w:rsidR="006B0295">
        <w:rPr>
          <w:rFonts w:ascii="Calibri" w:hAnsi="Calibri" w:cs="Calibri"/>
          <w:lang w:val="en-GB"/>
        </w:rPr>
        <w:t>information</w:t>
      </w:r>
      <w:r w:rsidR="00585337" w:rsidRPr="00BC1ABD">
        <w:rPr>
          <w:rFonts w:ascii="Calibri" w:hAnsi="Calibri" w:cs="Calibri"/>
          <w:lang w:val="en-GB"/>
        </w:rPr>
        <w:t xml:space="preserve"> to other operators under the same conditions and of the same quality that they provide for their own services (for its retail arm)</w:t>
      </w:r>
      <w:r w:rsidR="00363B16" w:rsidRPr="00BC1ABD">
        <w:rPr>
          <w:rFonts w:ascii="Calibri" w:hAnsi="Calibri" w:cs="Calibri"/>
          <w:lang w:val="en-GB"/>
        </w:rPr>
        <w:t xml:space="preserve"> and its affiliated companies</w:t>
      </w:r>
      <w:r w:rsidR="000E1901" w:rsidRPr="00BC1ABD">
        <w:rPr>
          <w:rFonts w:ascii="Calibri" w:hAnsi="Calibri" w:cs="Calibri"/>
          <w:lang w:val="en-GB"/>
        </w:rPr>
        <w:t xml:space="preserve"> and monitoring this obligation through </w:t>
      </w:r>
      <w:r w:rsidR="006B0295">
        <w:rPr>
          <w:rFonts w:ascii="Calibri" w:hAnsi="Calibri" w:cs="Calibri"/>
          <w:lang w:val="en-GB"/>
        </w:rPr>
        <w:t xml:space="preserve">the </w:t>
      </w:r>
      <w:r w:rsidR="000E1901" w:rsidRPr="00BC1ABD">
        <w:rPr>
          <w:rFonts w:ascii="Calibri" w:hAnsi="Calibri" w:cs="Calibri"/>
          <w:lang w:val="en-GB"/>
        </w:rPr>
        <w:t xml:space="preserve">KPI’s </w:t>
      </w:r>
      <w:r w:rsidR="006B0295">
        <w:rPr>
          <w:rFonts w:ascii="Calibri" w:hAnsi="Calibri" w:cs="Calibri"/>
          <w:lang w:val="en-GB"/>
        </w:rPr>
        <w:t>defined</w:t>
      </w:r>
      <w:r w:rsidR="000E1901" w:rsidRPr="00BC1ABD">
        <w:rPr>
          <w:rFonts w:ascii="Calibri" w:hAnsi="Calibri" w:cs="Calibri"/>
          <w:lang w:val="en-GB"/>
        </w:rPr>
        <w:t xml:space="preserve"> in section </w:t>
      </w:r>
      <w:r w:rsidR="00085F99">
        <w:rPr>
          <w:rFonts w:ascii="Calibri" w:hAnsi="Calibri" w:cs="Calibri"/>
          <w:lang w:val="en-GB"/>
        </w:rPr>
        <w:t>8</w:t>
      </w:r>
      <w:r w:rsidR="000E1901" w:rsidRPr="00BC1ABD">
        <w:rPr>
          <w:rFonts w:ascii="Calibri" w:hAnsi="Calibri" w:cs="Calibri"/>
          <w:lang w:val="en-GB"/>
        </w:rPr>
        <w:t>.2.1</w:t>
      </w:r>
      <w:r w:rsidR="006B0295">
        <w:rPr>
          <w:rFonts w:ascii="Calibri" w:hAnsi="Calibri" w:cs="Calibri"/>
          <w:lang w:val="en-GB"/>
        </w:rPr>
        <w:t>;</w:t>
      </w:r>
    </w:p>
    <w:p w14:paraId="2FB04CA7" w14:textId="32C44CD4" w:rsidR="00585337" w:rsidRPr="00BC1ABD" w:rsidRDefault="00786861">
      <w:pPr>
        <w:pStyle w:val="NormalWeb"/>
        <w:numPr>
          <w:ilvl w:val="0"/>
          <w:numId w:val="18"/>
        </w:numPr>
        <w:spacing w:after="0"/>
        <w:jc w:val="both"/>
        <w:rPr>
          <w:rFonts w:ascii="Calibri" w:hAnsi="Calibri" w:cs="Calibri"/>
          <w:lang w:val="en-GB"/>
        </w:rPr>
      </w:pPr>
      <w:r w:rsidRPr="00BC1ABD">
        <w:rPr>
          <w:rFonts w:ascii="Calibri" w:hAnsi="Calibri" w:cs="Calibri"/>
          <w:lang w:val="en-GB"/>
        </w:rPr>
        <w:t>S</w:t>
      </w:r>
      <w:r w:rsidR="00585337" w:rsidRPr="00BC1ABD">
        <w:rPr>
          <w:rFonts w:ascii="Calibri" w:hAnsi="Calibri" w:cs="Calibri"/>
          <w:lang w:val="en-GB"/>
        </w:rPr>
        <w:t xml:space="preserve">ubmit to the ComCom contracts concluded on the basis of reference offers for services regulated by this analysis, within 15 days from the date of conclusion of the contract. This is necessary as a main tool for verifying compliance with the obligation of non-discrimination. If there is any misconduct and intentional breach of regulatory obligations defined, ComCom will </w:t>
      </w:r>
      <w:r w:rsidR="006B0295">
        <w:rPr>
          <w:rFonts w:ascii="Calibri" w:hAnsi="Calibri" w:cs="Calibri"/>
          <w:lang w:val="en-GB"/>
        </w:rPr>
        <w:t>exercise the</w:t>
      </w:r>
      <w:r w:rsidR="00585337" w:rsidRPr="00BC1ABD">
        <w:rPr>
          <w:rFonts w:ascii="Calibri" w:hAnsi="Calibri" w:cs="Calibri"/>
          <w:lang w:val="en-GB"/>
        </w:rPr>
        <w:t xml:space="preserve"> possibility to react in a timely manner</w:t>
      </w:r>
      <w:r w:rsidR="006B0295">
        <w:rPr>
          <w:rFonts w:ascii="Calibri" w:hAnsi="Calibri" w:cs="Calibri"/>
          <w:lang w:val="en-GB"/>
        </w:rPr>
        <w:t>;</w:t>
      </w:r>
    </w:p>
    <w:p w14:paraId="11C9EC03" w14:textId="5F4AAEB8" w:rsidR="006B0295" w:rsidRPr="00BC1ABD" w:rsidRDefault="006B0295" w:rsidP="006B0295">
      <w:pPr>
        <w:pStyle w:val="ListParagraph"/>
        <w:numPr>
          <w:ilvl w:val="0"/>
          <w:numId w:val="18"/>
        </w:numPr>
        <w:jc w:val="both"/>
        <w:rPr>
          <w:rFonts w:cs="Calibri"/>
          <w:sz w:val="24"/>
          <w:szCs w:val="24"/>
          <w:lang w:val="en-GB"/>
        </w:rPr>
      </w:pPr>
      <w:r w:rsidRPr="00BC1ABD">
        <w:rPr>
          <w:rFonts w:cs="Calibri"/>
          <w:sz w:val="24"/>
          <w:szCs w:val="24"/>
          <w:lang w:val="en-GB"/>
        </w:rPr>
        <w:t xml:space="preserve">Submit reports to ComCom </w:t>
      </w:r>
      <w:r>
        <w:rPr>
          <w:rFonts w:cs="Calibri"/>
          <w:sz w:val="24"/>
          <w:szCs w:val="24"/>
          <w:lang w:val="en-GB"/>
        </w:rPr>
        <w:t xml:space="preserve">containing </w:t>
      </w:r>
      <w:r w:rsidRPr="00BC1ABD">
        <w:rPr>
          <w:rFonts w:cs="Calibri"/>
          <w:sz w:val="24"/>
          <w:szCs w:val="24"/>
          <w:lang w:val="en-GB"/>
        </w:rPr>
        <w:t xml:space="preserve">all relevant results of KPIs from section </w:t>
      </w:r>
      <w:r>
        <w:rPr>
          <w:rFonts w:cs="Calibri"/>
          <w:sz w:val="24"/>
          <w:szCs w:val="24"/>
          <w:lang w:val="en-GB"/>
        </w:rPr>
        <w:t>8</w:t>
      </w:r>
      <w:r w:rsidRPr="00BC1ABD">
        <w:rPr>
          <w:rFonts w:cs="Calibri"/>
          <w:sz w:val="24"/>
          <w:szCs w:val="24"/>
          <w:lang w:val="en-GB"/>
        </w:rPr>
        <w:t xml:space="preserve">.2.1. </w:t>
      </w:r>
      <w:r>
        <w:rPr>
          <w:rFonts w:cs="Calibri"/>
          <w:sz w:val="24"/>
          <w:szCs w:val="24"/>
          <w:lang w:val="en-GB"/>
        </w:rPr>
        <w:t>for other</w:t>
      </w:r>
      <w:r w:rsidRPr="00BC1ABD">
        <w:rPr>
          <w:rFonts w:cs="Calibri"/>
          <w:sz w:val="24"/>
          <w:szCs w:val="24"/>
          <w:lang w:val="en-GB"/>
        </w:rPr>
        <w:t xml:space="preserve"> operator</w:t>
      </w:r>
      <w:r>
        <w:rPr>
          <w:rFonts w:cs="Calibri"/>
          <w:sz w:val="24"/>
          <w:szCs w:val="24"/>
          <w:lang w:val="en-GB"/>
        </w:rPr>
        <w:t>s who provide equal services</w:t>
      </w:r>
      <w:r w:rsidRPr="00BC1ABD">
        <w:rPr>
          <w:rFonts w:cs="Calibri"/>
          <w:sz w:val="24"/>
          <w:szCs w:val="24"/>
          <w:lang w:val="en-GB"/>
        </w:rPr>
        <w:t xml:space="preserve"> and compar</w:t>
      </w:r>
      <w:r>
        <w:rPr>
          <w:rFonts w:cs="Calibri"/>
          <w:sz w:val="24"/>
          <w:szCs w:val="24"/>
          <w:lang w:val="en-GB"/>
        </w:rPr>
        <w:t>ing these</w:t>
      </w:r>
      <w:r w:rsidRPr="00BC1ABD">
        <w:rPr>
          <w:rFonts w:cs="Calibri"/>
          <w:sz w:val="24"/>
          <w:szCs w:val="24"/>
          <w:lang w:val="en-GB"/>
        </w:rPr>
        <w:t xml:space="preserve"> results of </w:t>
      </w:r>
      <w:r>
        <w:rPr>
          <w:rFonts w:cs="Calibri"/>
          <w:sz w:val="24"/>
          <w:szCs w:val="24"/>
          <w:lang w:val="en-GB"/>
        </w:rPr>
        <w:t xml:space="preserve">the </w:t>
      </w:r>
      <w:r w:rsidRPr="00BC1ABD">
        <w:rPr>
          <w:rFonts w:cs="Calibri"/>
          <w:sz w:val="24"/>
          <w:szCs w:val="24"/>
          <w:lang w:val="en-GB"/>
        </w:rPr>
        <w:t>SMP operators’ retail arm separately (and with its affiliated companies, if applicable), which prove</w:t>
      </w:r>
      <w:r>
        <w:rPr>
          <w:rFonts w:cs="Calibri"/>
          <w:sz w:val="24"/>
          <w:szCs w:val="24"/>
          <w:lang w:val="en-GB"/>
        </w:rPr>
        <w:t>s</w:t>
      </w:r>
      <w:r w:rsidRPr="00BC1ABD">
        <w:rPr>
          <w:rFonts w:cs="Calibri"/>
          <w:sz w:val="24"/>
          <w:szCs w:val="24"/>
          <w:lang w:val="en-GB"/>
        </w:rPr>
        <w:t xml:space="preserve"> equal treatment for all operators on the market</w:t>
      </w:r>
      <w:r>
        <w:rPr>
          <w:rFonts w:cs="Calibri"/>
          <w:sz w:val="24"/>
          <w:szCs w:val="24"/>
          <w:lang w:val="en-GB"/>
        </w:rPr>
        <w:t>;</w:t>
      </w:r>
    </w:p>
    <w:p w14:paraId="63BBC3A1" w14:textId="77777777" w:rsidR="00F47518" w:rsidRPr="00BC1ABD" w:rsidRDefault="002F05D0" w:rsidP="00F47518">
      <w:pPr>
        <w:pStyle w:val="NormalWeb"/>
        <w:spacing w:after="0"/>
        <w:jc w:val="both"/>
        <w:rPr>
          <w:rFonts w:ascii="Calibri" w:hAnsi="Calibri" w:cs="Calibri"/>
          <w:u w:val="single"/>
          <w:lang w:val="en-GB"/>
        </w:rPr>
      </w:pPr>
      <w:r w:rsidRPr="00BC1ABD">
        <w:rPr>
          <w:rFonts w:ascii="Calibri" w:hAnsi="Calibri" w:cs="Calibri"/>
          <w:u w:val="single"/>
          <w:lang w:val="en-GB"/>
        </w:rPr>
        <w:t>Cluster</w:t>
      </w:r>
      <w:r w:rsidR="00F47518" w:rsidRPr="00BC1ABD">
        <w:rPr>
          <w:rFonts w:ascii="Calibri" w:hAnsi="Calibri" w:cs="Calibri"/>
          <w:u w:val="single"/>
          <w:lang w:val="en-GB"/>
        </w:rPr>
        <w:t xml:space="preserve"> III</w:t>
      </w:r>
    </w:p>
    <w:p w14:paraId="354CF405" w14:textId="26A87566" w:rsidR="00F47518" w:rsidRPr="00BC1ABD" w:rsidRDefault="006B0295">
      <w:pPr>
        <w:pStyle w:val="NormalWeb"/>
        <w:numPr>
          <w:ilvl w:val="0"/>
          <w:numId w:val="2"/>
        </w:numPr>
        <w:spacing w:after="0"/>
        <w:jc w:val="both"/>
        <w:rPr>
          <w:rFonts w:ascii="Calibri" w:hAnsi="Calibri" w:cs="Calibri"/>
          <w:lang w:val="en-GB"/>
        </w:rPr>
      </w:pPr>
      <w:r>
        <w:rPr>
          <w:rFonts w:ascii="Calibri" w:hAnsi="Calibri" w:cs="Calibri"/>
          <w:lang w:val="en-GB"/>
        </w:rPr>
        <w:t>The r</w:t>
      </w:r>
      <w:r w:rsidR="00585337" w:rsidRPr="00BC1ABD">
        <w:rPr>
          <w:rFonts w:ascii="Calibri" w:hAnsi="Calibri" w:cs="Calibri"/>
          <w:lang w:val="en-GB"/>
        </w:rPr>
        <w:t>egulatory obligation</w:t>
      </w:r>
      <w:r>
        <w:rPr>
          <w:rFonts w:ascii="Calibri" w:hAnsi="Calibri" w:cs="Calibri"/>
          <w:lang w:val="en-GB"/>
        </w:rPr>
        <w:t>s</w:t>
      </w:r>
      <w:r w:rsidR="00585337" w:rsidRPr="00BC1ABD">
        <w:rPr>
          <w:rFonts w:ascii="Calibri" w:hAnsi="Calibri" w:cs="Calibri"/>
          <w:lang w:val="en-GB"/>
        </w:rPr>
        <w:t xml:space="preserve"> of non-discrimination </w:t>
      </w:r>
      <w:r>
        <w:rPr>
          <w:rFonts w:ascii="Calibri" w:hAnsi="Calibri" w:cs="Calibri"/>
          <w:lang w:val="en-GB"/>
        </w:rPr>
        <w:t>are</w:t>
      </w:r>
      <w:r w:rsidR="00145CC4" w:rsidRPr="00BC1ABD">
        <w:rPr>
          <w:rFonts w:ascii="Calibri" w:hAnsi="Calibri" w:cs="Calibri"/>
          <w:lang w:val="en-GB"/>
        </w:rPr>
        <w:t xml:space="preserve"> </w:t>
      </w:r>
      <w:r w:rsidR="00585337" w:rsidRPr="00BC1ABD">
        <w:rPr>
          <w:rFonts w:ascii="Calibri" w:hAnsi="Calibri" w:cs="Calibri"/>
          <w:lang w:val="en-GB"/>
        </w:rPr>
        <w:t xml:space="preserve">not imposed which means that </w:t>
      </w:r>
      <w:r w:rsidR="00F47518" w:rsidRPr="00BC1ABD">
        <w:rPr>
          <w:rFonts w:ascii="Calibri" w:hAnsi="Calibri" w:cs="Calibri"/>
          <w:lang w:val="en-GB"/>
        </w:rPr>
        <w:t xml:space="preserve">commercial negotiations </w:t>
      </w:r>
      <w:r>
        <w:rPr>
          <w:rFonts w:ascii="Calibri" w:hAnsi="Calibri" w:cs="Calibri"/>
          <w:lang w:val="en-GB"/>
        </w:rPr>
        <w:t>will determine the conditions for access-seekers</w:t>
      </w:r>
      <w:r w:rsidR="00585337" w:rsidRPr="00BC1ABD">
        <w:rPr>
          <w:rFonts w:ascii="Calibri" w:hAnsi="Calibri" w:cs="Calibri"/>
          <w:lang w:val="en-GB"/>
        </w:rPr>
        <w:t>.</w:t>
      </w:r>
    </w:p>
    <w:p w14:paraId="643A394F" w14:textId="77777777" w:rsidR="00BC75C2" w:rsidRPr="00BC1ABD" w:rsidRDefault="00BC75C2" w:rsidP="00BC75C2">
      <w:pPr>
        <w:pStyle w:val="NormalWeb"/>
        <w:spacing w:after="0"/>
        <w:jc w:val="both"/>
        <w:rPr>
          <w:rFonts w:ascii="Calibri" w:hAnsi="Calibri" w:cs="Calibri"/>
          <w:lang w:val="en-GB"/>
        </w:rPr>
      </w:pPr>
    </w:p>
    <w:p w14:paraId="28B56F35" w14:textId="08E34F07" w:rsidR="00BC75C2" w:rsidRPr="00BC1ABD" w:rsidRDefault="00BC75C2" w:rsidP="00BC75C2">
      <w:pPr>
        <w:jc w:val="both"/>
        <w:rPr>
          <w:rFonts w:cs="Arial"/>
          <w:sz w:val="24"/>
          <w:szCs w:val="24"/>
          <w:lang w:val="en-GB"/>
        </w:rPr>
      </w:pPr>
      <w:r w:rsidRPr="00BC1ABD">
        <w:rPr>
          <w:rFonts w:cs="Arial"/>
          <w:sz w:val="24"/>
          <w:szCs w:val="24"/>
          <w:lang w:val="en-GB"/>
        </w:rPr>
        <w:t xml:space="preserve">The non-discrimination obligation deals with competition problems defined in the chapter </w:t>
      </w:r>
      <w:r w:rsidR="00B0056C">
        <w:rPr>
          <w:rFonts w:cs="Arial"/>
          <w:sz w:val="24"/>
          <w:szCs w:val="24"/>
          <w:lang w:val="en-GB"/>
        </w:rPr>
        <w:t>7</w:t>
      </w:r>
      <w:r w:rsidRPr="00BC1ABD">
        <w:rPr>
          <w:rFonts w:cs="Arial"/>
          <w:sz w:val="24"/>
          <w:szCs w:val="24"/>
          <w:lang w:val="en-GB"/>
        </w:rPr>
        <w:t xml:space="preserve">.2. and </w:t>
      </w:r>
      <w:r w:rsidR="005E2533">
        <w:rPr>
          <w:rFonts w:cs="Arial"/>
          <w:sz w:val="24"/>
          <w:szCs w:val="24"/>
          <w:lang w:val="en-GB"/>
        </w:rPr>
        <w:t>7.</w:t>
      </w:r>
      <w:r w:rsidRPr="00BC1ABD">
        <w:rPr>
          <w:rFonts w:cs="Arial"/>
          <w:sz w:val="24"/>
          <w:szCs w:val="24"/>
          <w:lang w:val="en-GB"/>
        </w:rPr>
        <w:t>3. as well as with all similar competition problems that are not directly defined and could lead to the same consequences on the market.</w:t>
      </w:r>
    </w:p>
    <w:p w14:paraId="5378001F" w14:textId="77777777" w:rsidR="00BC75C2" w:rsidRPr="00BC1ABD" w:rsidRDefault="00BC75C2" w:rsidP="006A1B1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56" w:name="_Toc169259005"/>
      <w:r w:rsidRPr="00BC1ABD">
        <w:rPr>
          <w:rFonts w:asciiTheme="minorHAnsi" w:hAnsiTheme="minorHAnsi" w:cstheme="minorHAnsi"/>
          <w:b w:val="0"/>
          <w:bCs w:val="0"/>
          <w:sz w:val="24"/>
          <w:szCs w:val="24"/>
          <w:lang w:val="en-GB"/>
        </w:rPr>
        <w:t>Key performance indicators (KPIs)</w:t>
      </w:r>
      <w:bookmarkEnd w:id="356"/>
    </w:p>
    <w:p w14:paraId="3DA9841F" w14:textId="4A81402A" w:rsidR="00BC75C2" w:rsidRPr="00BC1ABD" w:rsidRDefault="00BC75C2" w:rsidP="00BC75C2">
      <w:pPr>
        <w:jc w:val="both"/>
        <w:rPr>
          <w:rFonts w:cs="Arial"/>
          <w:sz w:val="24"/>
          <w:szCs w:val="24"/>
          <w:lang w:val="en-GB"/>
        </w:rPr>
      </w:pPr>
      <w:r w:rsidRPr="00BC1ABD">
        <w:rPr>
          <w:rFonts w:cs="Arial"/>
          <w:sz w:val="24"/>
          <w:szCs w:val="24"/>
          <w:lang w:val="en-GB"/>
        </w:rPr>
        <w:t xml:space="preserve">In order to ensure that </w:t>
      </w:r>
      <w:r w:rsidR="007A3998">
        <w:rPr>
          <w:rFonts w:cs="Arial"/>
          <w:sz w:val="24"/>
          <w:szCs w:val="24"/>
          <w:lang w:val="en-GB"/>
        </w:rPr>
        <w:t xml:space="preserve">the </w:t>
      </w:r>
      <w:r w:rsidR="000E1901" w:rsidRPr="00BC1ABD">
        <w:rPr>
          <w:rFonts w:cs="Arial"/>
          <w:sz w:val="24"/>
          <w:szCs w:val="24"/>
          <w:lang w:val="en-GB"/>
        </w:rPr>
        <w:t xml:space="preserve">non-discrimination </w:t>
      </w:r>
      <w:r w:rsidRPr="00BC1ABD">
        <w:rPr>
          <w:rFonts w:cs="Arial"/>
          <w:sz w:val="24"/>
          <w:szCs w:val="24"/>
          <w:lang w:val="en-GB"/>
        </w:rPr>
        <w:t>obligation</w:t>
      </w:r>
      <w:r w:rsidR="007A3998">
        <w:rPr>
          <w:rFonts w:cs="Arial"/>
          <w:sz w:val="24"/>
          <w:szCs w:val="24"/>
          <w:lang w:val="en-GB"/>
        </w:rPr>
        <w:t>s</w:t>
      </w:r>
      <w:r w:rsidRPr="00BC1ABD">
        <w:rPr>
          <w:rFonts w:cs="Arial"/>
          <w:sz w:val="24"/>
          <w:szCs w:val="24"/>
          <w:lang w:val="en-GB"/>
        </w:rPr>
        <w:t xml:space="preserve"> can be monitored in practice the following </w:t>
      </w:r>
      <w:r w:rsidR="000E1901" w:rsidRPr="00BC1ABD">
        <w:rPr>
          <w:rFonts w:cs="Arial"/>
          <w:sz w:val="24"/>
          <w:szCs w:val="24"/>
          <w:lang w:val="en-GB"/>
        </w:rPr>
        <w:t>KPI’s are defined</w:t>
      </w:r>
      <w:r w:rsidRPr="00BC1ABD">
        <w:rPr>
          <w:rFonts w:cs="Arial"/>
          <w:sz w:val="24"/>
          <w:szCs w:val="24"/>
          <w:lang w:val="en-GB"/>
        </w:rPr>
        <w:t>:</w:t>
      </w:r>
    </w:p>
    <w:p w14:paraId="2B3E7174" w14:textId="0DAB9AC9"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N</w:t>
      </w:r>
      <w:r w:rsidR="00BC75C2" w:rsidRPr="00BC1ABD">
        <w:rPr>
          <w:rFonts w:cs="Arial"/>
          <w:sz w:val="24"/>
          <w:szCs w:val="24"/>
          <w:lang w:val="en-GB"/>
        </w:rPr>
        <w:t>umber of requests received by transmission speeds</w:t>
      </w:r>
      <w:r w:rsidR="003F5EDC">
        <w:rPr>
          <w:rFonts w:cs="Arial"/>
          <w:sz w:val="24"/>
          <w:szCs w:val="24"/>
          <w:lang w:val="en-GB"/>
        </w:rPr>
        <w:t>;</w:t>
      </w:r>
    </w:p>
    <w:p w14:paraId="159340F7" w14:textId="4144F6DF"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N</w:t>
      </w:r>
      <w:r w:rsidR="00BC75C2" w:rsidRPr="00BC1ABD">
        <w:rPr>
          <w:rFonts w:cs="Arial"/>
          <w:sz w:val="24"/>
          <w:szCs w:val="24"/>
          <w:lang w:val="en-GB"/>
        </w:rPr>
        <w:t>umber of received requests per connection point (POP)</w:t>
      </w:r>
      <w:r w:rsidR="003F5EDC">
        <w:rPr>
          <w:rFonts w:cs="Arial"/>
          <w:sz w:val="24"/>
          <w:szCs w:val="24"/>
          <w:lang w:val="en-GB"/>
        </w:rPr>
        <w:t>;</w:t>
      </w:r>
    </w:p>
    <w:p w14:paraId="4D3004B1" w14:textId="2D209FE4"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N</w:t>
      </w:r>
      <w:r w:rsidR="00BC75C2" w:rsidRPr="00BC1ABD">
        <w:rPr>
          <w:rFonts w:cs="Arial"/>
          <w:sz w:val="24"/>
          <w:szCs w:val="24"/>
          <w:lang w:val="en-GB"/>
        </w:rPr>
        <w:t>umber of rejected requests by reasons for rejection</w:t>
      </w:r>
      <w:r w:rsidR="003F5EDC">
        <w:rPr>
          <w:rFonts w:cs="Arial"/>
          <w:sz w:val="24"/>
          <w:szCs w:val="24"/>
          <w:lang w:val="en-GB"/>
        </w:rPr>
        <w:t>;</w:t>
      </w:r>
    </w:p>
    <w:p w14:paraId="4630E6A6" w14:textId="581A29BC"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N</w:t>
      </w:r>
      <w:r w:rsidR="00BC75C2" w:rsidRPr="00BC1ABD">
        <w:rPr>
          <w:rFonts w:cs="Arial"/>
          <w:sz w:val="24"/>
          <w:szCs w:val="24"/>
          <w:lang w:val="en-GB"/>
        </w:rPr>
        <w:t>umber of accepted and subsequently rejected requests, separately for new and existing users</w:t>
      </w:r>
      <w:r w:rsidR="003F5EDC">
        <w:rPr>
          <w:rFonts w:cs="Arial"/>
          <w:sz w:val="24"/>
          <w:szCs w:val="24"/>
          <w:lang w:val="en-GB"/>
        </w:rPr>
        <w:t>;</w:t>
      </w:r>
    </w:p>
    <w:p w14:paraId="5D0D3ACE" w14:textId="5436A6CA"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N</w:t>
      </w:r>
      <w:r w:rsidR="00BC75C2" w:rsidRPr="00BC1ABD">
        <w:rPr>
          <w:rFonts w:cs="Arial"/>
          <w:sz w:val="24"/>
          <w:szCs w:val="24"/>
          <w:lang w:val="en-GB"/>
        </w:rPr>
        <w:t>umber of reali</w:t>
      </w:r>
      <w:r w:rsidR="002E7EAF">
        <w:rPr>
          <w:rFonts w:cs="Arial"/>
          <w:sz w:val="24"/>
          <w:szCs w:val="24"/>
          <w:lang w:val="en-GB"/>
        </w:rPr>
        <w:t>s</w:t>
      </w:r>
      <w:r w:rsidR="00BC75C2" w:rsidRPr="00BC1ABD">
        <w:rPr>
          <w:rFonts w:cs="Arial"/>
          <w:sz w:val="24"/>
          <w:szCs w:val="24"/>
          <w:lang w:val="en-GB"/>
        </w:rPr>
        <w:t>ed requests within a certain period</w:t>
      </w:r>
      <w:r w:rsidR="003F5EDC">
        <w:rPr>
          <w:rFonts w:cs="Arial"/>
          <w:sz w:val="24"/>
          <w:szCs w:val="24"/>
          <w:lang w:val="en-GB"/>
        </w:rPr>
        <w:t>;</w:t>
      </w:r>
    </w:p>
    <w:p w14:paraId="5F95DC22" w14:textId="4FA97F22"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P</w:t>
      </w:r>
      <w:r w:rsidR="00BC75C2" w:rsidRPr="00BC1ABD">
        <w:rPr>
          <w:rFonts w:cs="Arial"/>
          <w:sz w:val="24"/>
          <w:szCs w:val="24"/>
          <w:lang w:val="en-GB"/>
        </w:rPr>
        <w:t>ercentage of requests reali</w:t>
      </w:r>
      <w:r w:rsidR="002E7EAF">
        <w:rPr>
          <w:rFonts w:cs="Arial"/>
          <w:sz w:val="24"/>
          <w:szCs w:val="24"/>
          <w:lang w:val="en-GB"/>
        </w:rPr>
        <w:t>s</w:t>
      </w:r>
      <w:r w:rsidR="00BC75C2" w:rsidRPr="00BC1ABD">
        <w:rPr>
          <w:rFonts w:cs="Arial"/>
          <w:sz w:val="24"/>
          <w:szCs w:val="24"/>
          <w:lang w:val="en-GB"/>
        </w:rPr>
        <w:t>ed within the desired or expected time, separately for new and existing users</w:t>
      </w:r>
      <w:r w:rsidR="003F5EDC">
        <w:rPr>
          <w:rFonts w:cs="Arial"/>
          <w:sz w:val="24"/>
          <w:szCs w:val="24"/>
          <w:lang w:val="en-GB"/>
        </w:rPr>
        <w:t>;</w:t>
      </w:r>
    </w:p>
    <w:p w14:paraId="6F3BC83A" w14:textId="2904FD95" w:rsidR="00BC75C2" w:rsidRPr="00BC1ABD" w:rsidRDefault="009A1967">
      <w:pPr>
        <w:pStyle w:val="ListParagraph"/>
        <w:numPr>
          <w:ilvl w:val="0"/>
          <w:numId w:val="12"/>
        </w:numPr>
        <w:jc w:val="both"/>
        <w:rPr>
          <w:rFonts w:cs="Arial"/>
          <w:sz w:val="24"/>
          <w:szCs w:val="24"/>
          <w:lang w:val="en-GB"/>
        </w:rPr>
      </w:pPr>
      <w:r w:rsidRPr="00F55A77">
        <w:rPr>
          <w:rFonts w:cs="Arial"/>
          <w:sz w:val="24"/>
          <w:szCs w:val="24"/>
          <w:lang w:val="en-GB"/>
        </w:rPr>
        <w:t>Number of failures reported by the retail operator to the SMP operator which were fully resolved by the SMP operator within 2 days, from 2 to 10 days and from 10 to 30 days from activation;</w:t>
      </w:r>
      <w:r w:rsidR="00EB2ABF">
        <w:rPr>
          <w:rFonts w:cs="Arial"/>
          <w:sz w:val="24"/>
          <w:szCs w:val="24"/>
          <w:lang w:val="en-GB"/>
        </w:rPr>
        <w:t xml:space="preserve"> </w:t>
      </w:r>
      <w:r w:rsidR="00786861" w:rsidRPr="00BC1ABD">
        <w:rPr>
          <w:rFonts w:cs="Arial"/>
          <w:sz w:val="24"/>
          <w:szCs w:val="24"/>
          <w:lang w:val="en-GB"/>
        </w:rPr>
        <w:t>N</w:t>
      </w:r>
      <w:r w:rsidR="00BC75C2" w:rsidRPr="00BC1ABD">
        <w:rPr>
          <w:rFonts w:cs="Arial"/>
          <w:sz w:val="24"/>
          <w:szCs w:val="24"/>
          <w:lang w:val="en-GB"/>
        </w:rPr>
        <w:t>umber of untimely (late/</w:t>
      </w:r>
      <w:r w:rsidR="00E61C36">
        <w:rPr>
          <w:rFonts w:cs="Arial"/>
          <w:sz w:val="24"/>
          <w:szCs w:val="24"/>
          <w:lang w:val="en-GB"/>
        </w:rPr>
        <w:t xml:space="preserve"> </w:t>
      </w:r>
      <w:r w:rsidR="00BC75C2" w:rsidRPr="00BC1ABD">
        <w:rPr>
          <w:rFonts w:cs="Arial"/>
          <w:sz w:val="24"/>
          <w:szCs w:val="24"/>
          <w:lang w:val="en-GB"/>
        </w:rPr>
        <w:t>premature) reali</w:t>
      </w:r>
      <w:r w:rsidR="002E7EAF">
        <w:rPr>
          <w:rFonts w:cs="Arial"/>
          <w:sz w:val="24"/>
          <w:szCs w:val="24"/>
          <w:lang w:val="en-GB"/>
        </w:rPr>
        <w:t>s</w:t>
      </w:r>
      <w:r w:rsidR="00BC75C2" w:rsidRPr="00BC1ABD">
        <w:rPr>
          <w:rFonts w:cs="Arial"/>
          <w:sz w:val="24"/>
          <w:szCs w:val="24"/>
          <w:lang w:val="en-GB"/>
        </w:rPr>
        <w:t>ation of requests</w:t>
      </w:r>
      <w:r w:rsidR="00E61C36">
        <w:rPr>
          <w:rFonts w:cs="Arial"/>
          <w:sz w:val="24"/>
          <w:szCs w:val="24"/>
          <w:lang w:val="en-GB"/>
        </w:rPr>
        <w:t>;</w:t>
      </w:r>
    </w:p>
    <w:p w14:paraId="637D5839" w14:textId="168F9A20"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A</w:t>
      </w:r>
      <w:r w:rsidR="00BC75C2" w:rsidRPr="00BC1ABD">
        <w:rPr>
          <w:rFonts w:cs="Arial"/>
          <w:sz w:val="24"/>
          <w:szCs w:val="24"/>
          <w:lang w:val="en-GB"/>
        </w:rPr>
        <w:t>verage time of reali</w:t>
      </w:r>
      <w:r w:rsidR="002E7EAF">
        <w:rPr>
          <w:rFonts w:cs="Arial"/>
          <w:sz w:val="24"/>
          <w:szCs w:val="24"/>
          <w:lang w:val="en-GB"/>
        </w:rPr>
        <w:t>s</w:t>
      </w:r>
      <w:r w:rsidR="00BC75C2" w:rsidRPr="00BC1ABD">
        <w:rPr>
          <w:rFonts w:cs="Arial"/>
          <w:sz w:val="24"/>
          <w:szCs w:val="24"/>
          <w:lang w:val="en-GB"/>
        </w:rPr>
        <w:t>ation of requests separately for new and existing users</w:t>
      </w:r>
      <w:r w:rsidR="00E61C36">
        <w:rPr>
          <w:rFonts w:cs="Arial"/>
          <w:sz w:val="24"/>
          <w:szCs w:val="24"/>
          <w:lang w:val="en-GB"/>
        </w:rPr>
        <w:t>;</w:t>
      </w:r>
    </w:p>
    <w:p w14:paraId="5AAE65FC" w14:textId="7999928B"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N</w:t>
      </w:r>
      <w:r w:rsidR="00BC75C2" w:rsidRPr="00BC1ABD">
        <w:rPr>
          <w:rFonts w:cs="Arial"/>
          <w:sz w:val="24"/>
          <w:szCs w:val="24"/>
          <w:lang w:val="en-GB"/>
        </w:rPr>
        <w:t>umber of reported failures (disturbances) by type of access</w:t>
      </w:r>
      <w:r w:rsidR="00E61C36">
        <w:rPr>
          <w:rFonts w:cs="Arial"/>
          <w:sz w:val="24"/>
          <w:szCs w:val="24"/>
          <w:lang w:val="en-GB"/>
        </w:rPr>
        <w:t>;</w:t>
      </w:r>
    </w:p>
    <w:p w14:paraId="6F8B683C" w14:textId="658A99AF"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A</w:t>
      </w:r>
      <w:r w:rsidR="00BC75C2" w:rsidRPr="00BC1ABD">
        <w:rPr>
          <w:rFonts w:cs="Arial"/>
          <w:sz w:val="24"/>
          <w:szCs w:val="24"/>
          <w:lang w:val="en-GB"/>
        </w:rPr>
        <w:t>verage time of troubleshooting per service</w:t>
      </w:r>
      <w:r w:rsidR="00E61C36">
        <w:rPr>
          <w:rFonts w:cs="Arial"/>
          <w:sz w:val="24"/>
          <w:szCs w:val="24"/>
          <w:lang w:val="en-GB"/>
        </w:rPr>
        <w:t>;</w:t>
      </w:r>
    </w:p>
    <w:p w14:paraId="522AB105" w14:textId="6FD7F5E6"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T</w:t>
      </w:r>
      <w:r w:rsidR="00BC75C2" w:rsidRPr="00BC1ABD">
        <w:rPr>
          <w:rFonts w:cs="Arial"/>
          <w:sz w:val="24"/>
          <w:szCs w:val="24"/>
          <w:lang w:val="en-GB"/>
        </w:rPr>
        <w:t>he number of repaired faults within the defined time separately for each defined time</w:t>
      </w:r>
      <w:r w:rsidR="00E61C36">
        <w:rPr>
          <w:rFonts w:cs="Arial"/>
          <w:sz w:val="24"/>
          <w:szCs w:val="24"/>
          <w:lang w:val="en-GB"/>
        </w:rPr>
        <w:t>;</w:t>
      </w:r>
    </w:p>
    <w:p w14:paraId="4AD5E3F5" w14:textId="2260173F" w:rsidR="00BC75C2" w:rsidRPr="00BC1ABD" w:rsidRDefault="00786861">
      <w:pPr>
        <w:pStyle w:val="ListParagraph"/>
        <w:numPr>
          <w:ilvl w:val="0"/>
          <w:numId w:val="12"/>
        </w:numPr>
        <w:jc w:val="both"/>
        <w:rPr>
          <w:rFonts w:cs="Arial"/>
          <w:sz w:val="24"/>
          <w:szCs w:val="24"/>
          <w:lang w:val="en-GB"/>
        </w:rPr>
      </w:pPr>
      <w:r w:rsidRPr="00BC1ABD">
        <w:rPr>
          <w:rFonts w:cs="Arial"/>
          <w:sz w:val="24"/>
          <w:szCs w:val="24"/>
          <w:lang w:val="en-GB"/>
        </w:rPr>
        <w:t>P</w:t>
      </w:r>
      <w:r w:rsidR="00BC75C2" w:rsidRPr="00BC1ABD">
        <w:rPr>
          <w:rFonts w:cs="Arial"/>
          <w:sz w:val="24"/>
          <w:szCs w:val="24"/>
          <w:lang w:val="en-GB"/>
        </w:rPr>
        <w:t>ercentage of resolved faults outside the defined time</w:t>
      </w:r>
      <w:r w:rsidR="00E61C36">
        <w:rPr>
          <w:rFonts w:cs="Arial"/>
          <w:sz w:val="24"/>
          <w:szCs w:val="24"/>
          <w:lang w:val="en-GB"/>
        </w:rPr>
        <w:t>;</w:t>
      </w:r>
    </w:p>
    <w:p w14:paraId="0A97115D" w14:textId="273DAAA1" w:rsidR="00BC75C2" w:rsidRPr="00BC1ABD" w:rsidRDefault="00BC75C2">
      <w:pPr>
        <w:pStyle w:val="ListParagraph"/>
        <w:numPr>
          <w:ilvl w:val="0"/>
          <w:numId w:val="12"/>
        </w:numPr>
        <w:jc w:val="both"/>
        <w:rPr>
          <w:rFonts w:cs="Arial"/>
          <w:sz w:val="24"/>
          <w:szCs w:val="24"/>
          <w:lang w:val="en-GB"/>
        </w:rPr>
      </w:pPr>
      <w:r w:rsidRPr="00BC1ABD">
        <w:rPr>
          <w:rFonts w:cs="Arial"/>
          <w:sz w:val="24"/>
          <w:szCs w:val="24"/>
          <w:lang w:val="en-GB"/>
        </w:rPr>
        <w:t>QoS for VOIP</w:t>
      </w:r>
      <w:r w:rsidR="002C46C0">
        <w:rPr>
          <w:rFonts w:cs="Arial"/>
          <w:sz w:val="24"/>
          <w:szCs w:val="24"/>
          <w:lang w:val="en-GB"/>
        </w:rPr>
        <w:t>.</w:t>
      </w:r>
    </w:p>
    <w:p w14:paraId="6081CAB7" w14:textId="2EC7B458" w:rsidR="00BC75C2" w:rsidRPr="00BC1ABD" w:rsidRDefault="00BC75C2" w:rsidP="00B678D0">
      <w:pPr>
        <w:spacing w:after="0"/>
        <w:jc w:val="both"/>
        <w:rPr>
          <w:rFonts w:cs="Arial"/>
          <w:sz w:val="24"/>
          <w:szCs w:val="24"/>
          <w:lang w:val="en-GB"/>
        </w:rPr>
      </w:pPr>
      <w:r w:rsidRPr="00BC1ABD">
        <w:rPr>
          <w:rFonts w:cs="Arial"/>
          <w:sz w:val="24"/>
          <w:szCs w:val="24"/>
          <w:lang w:val="en-GB"/>
        </w:rPr>
        <w:t>And where applicable</w:t>
      </w:r>
      <w:r w:rsidR="002C46C0">
        <w:rPr>
          <w:rFonts w:cs="Arial"/>
          <w:sz w:val="24"/>
          <w:szCs w:val="24"/>
          <w:lang w:val="en-GB"/>
        </w:rPr>
        <w:t>:</w:t>
      </w:r>
    </w:p>
    <w:p w14:paraId="6E4AB594" w14:textId="57331C46" w:rsidR="00BC75C2" w:rsidRPr="00BC1ABD" w:rsidRDefault="00BC75C2">
      <w:pPr>
        <w:pStyle w:val="ListParagraph"/>
        <w:numPr>
          <w:ilvl w:val="0"/>
          <w:numId w:val="12"/>
        </w:numPr>
        <w:jc w:val="both"/>
        <w:rPr>
          <w:rFonts w:cs="Arial"/>
          <w:sz w:val="24"/>
          <w:szCs w:val="24"/>
          <w:lang w:val="en-GB"/>
        </w:rPr>
      </w:pPr>
      <w:r w:rsidRPr="00BC1ABD">
        <w:rPr>
          <w:rFonts w:cs="Arial"/>
          <w:sz w:val="24"/>
          <w:szCs w:val="24"/>
          <w:lang w:val="en-GB"/>
        </w:rPr>
        <w:t>QoS for IPTV</w:t>
      </w:r>
      <w:r w:rsidR="002C46C0">
        <w:rPr>
          <w:rFonts w:cs="Arial"/>
          <w:sz w:val="24"/>
          <w:szCs w:val="24"/>
          <w:lang w:val="en-GB"/>
        </w:rPr>
        <w:t>;</w:t>
      </w:r>
    </w:p>
    <w:p w14:paraId="7A9475FA" w14:textId="30E307EF" w:rsidR="00BC75C2" w:rsidRPr="006A1B15" w:rsidRDefault="00BC75C2" w:rsidP="006A1B15">
      <w:pPr>
        <w:pStyle w:val="ListParagraph"/>
        <w:numPr>
          <w:ilvl w:val="0"/>
          <w:numId w:val="12"/>
        </w:numPr>
        <w:jc w:val="both"/>
        <w:rPr>
          <w:rFonts w:cs="Arial"/>
          <w:sz w:val="24"/>
          <w:szCs w:val="24"/>
          <w:lang w:val="en-GB"/>
        </w:rPr>
      </w:pPr>
      <w:r w:rsidRPr="00BC1ABD">
        <w:rPr>
          <w:rFonts w:cs="Arial"/>
          <w:sz w:val="24"/>
          <w:szCs w:val="24"/>
          <w:lang w:val="en-GB"/>
        </w:rPr>
        <w:t>QoS for VoD.</w:t>
      </w:r>
    </w:p>
    <w:p w14:paraId="2C7EE8F7" w14:textId="1191B277" w:rsidR="002353F4" w:rsidRPr="00BC1ABD" w:rsidRDefault="002353F4" w:rsidP="006A1B1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57" w:name="_Toc169259006"/>
      <w:r w:rsidRPr="00BC1ABD">
        <w:rPr>
          <w:rFonts w:asciiTheme="minorHAnsi" w:hAnsiTheme="minorHAnsi" w:cstheme="minorHAnsi"/>
          <w:b w:val="0"/>
          <w:bCs w:val="0"/>
          <w:sz w:val="24"/>
          <w:szCs w:val="24"/>
          <w:lang w:val="en-GB"/>
        </w:rPr>
        <w:t>Margin squeeze test</w:t>
      </w:r>
      <w:bookmarkEnd w:id="357"/>
    </w:p>
    <w:p w14:paraId="1BBC0A00" w14:textId="70128FB0" w:rsidR="002353F4" w:rsidRPr="00BC1ABD" w:rsidRDefault="002353F4" w:rsidP="002353F4">
      <w:pPr>
        <w:jc w:val="both"/>
        <w:rPr>
          <w:rFonts w:cs="Arial"/>
          <w:sz w:val="24"/>
          <w:szCs w:val="24"/>
          <w:lang w:val="en-GB"/>
        </w:rPr>
      </w:pPr>
      <w:r w:rsidRPr="00BC1ABD">
        <w:rPr>
          <w:rFonts w:cs="Arial"/>
          <w:sz w:val="24"/>
          <w:szCs w:val="24"/>
          <w:lang w:val="en-GB"/>
        </w:rPr>
        <w:t xml:space="preserve">ComCom will monitor possible price-based discrimination in the form of margin squeeze by implementing a margin squeeze test </w:t>
      </w:r>
      <w:r w:rsidR="00EA294A">
        <w:rPr>
          <w:rFonts w:cs="Arial"/>
          <w:sz w:val="24"/>
          <w:szCs w:val="24"/>
          <w:lang w:val="en-GB"/>
        </w:rPr>
        <w:t xml:space="preserve">(MST) </w:t>
      </w:r>
      <w:r w:rsidRPr="00BC1ABD">
        <w:rPr>
          <w:rFonts w:cs="Arial"/>
          <w:sz w:val="24"/>
          <w:szCs w:val="24"/>
          <w:lang w:val="en-GB"/>
        </w:rPr>
        <w:t xml:space="preserve">in </w:t>
      </w:r>
      <w:r w:rsidR="00EA294A">
        <w:rPr>
          <w:rFonts w:cs="Arial"/>
          <w:sz w:val="24"/>
          <w:szCs w:val="24"/>
          <w:lang w:val="en-GB"/>
        </w:rPr>
        <w:t xml:space="preserve">the </w:t>
      </w:r>
      <w:r w:rsidRPr="00BC1ABD">
        <w:rPr>
          <w:rFonts w:cs="Arial"/>
          <w:sz w:val="24"/>
          <w:szCs w:val="24"/>
          <w:lang w:val="en-GB"/>
        </w:rPr>
        <w:t xml:space="preserve">case </w:t>
      </w:r>
      <w:r w:rsidR="00EA294A">
        <w:rPr>
          <w:rFonts w:cs="Arial"/>
          <w:sz w:val="24"/>
          <w:szCs w:val="24"/>
          <w:lang w:val="en-GB"/>
        </w:rPr>
        <w:t xml:space="preserve">where </w:t>
      </w:r>
      <w:r w:rsidRPr="00BC1ABD">
        <w:rPr>
          <w:rFonts w:cs="Arial"/>
          <w:sz w:val="24"/>
          <w:szCs w:val="24"/>
          <w:lang w:val="en-GB"/>
        </w:rPr>
        <w:t>complaints</w:t>
      </w:r>
      <w:r w:rsidR="00EA294A">
        <w:rPr>
          <w:rFonts w:cs="Arial"/>
          <w:sz w:val="24"/>
          <w:szCs w:val="24"/>
          <w:lang w:val="en-GB"/>
        </w:rPr>
        <w:t xml:space="preserve"> are received from operators that are competing with the SMP operator</w:t>
      </w:r>
      <w:r w:rsidRPr="00BC1ABD">
        <w:rPr>
          <w:rFonts w:cs="Arial"/>
          <w:sz w:val="24"/>
          <w:szCs w:val="24"/>
          <w:lang w:val="en-GB"/>
        </w:rPr>
        <w:t>. The main elements of the test will be published on ComCom’s website within 6 months after the entry into force of the SMP decision.</w:t>
      </w:r>
      <w:r w:rsidR="00E8660F" w:rsidRPr="00F1372A">
        <w:rPr>
          <w:rFonts w:cs="Arial"/>
          <w:sz w:val="24"/>
          <w:szCs w:val="24"/>
          <w:lang w:val="en-GB"/>
        </w:rPr>
        <w:t xml:space="preserve"> </w:t>
      </w:r>
      <w:r w:rsidR="0034274B" w:rsidRPr="00F1372A">
        <w:rPr>
          <w:rFonts w:cs="Arial"/>
          <w:sz w:val="24"/>
          <w:szCs w:val="24"/>
          <w:lang w:val="en-GB"/>
        </w:rPr>
        <w:t xml:space="preserve">The </w:t>
      </w:r>
      <w:r w:rsidR="00EA294A">
        <w:rPr>
          <w:rFonts w:cs="Arial"/>
          <w:sz w:val="24"/>
          <w:szCs w:val="24"/>
          <w:lang w:val="en-GB"/>
        </w:rPr>
        <w:t>MST</w:t>
      </w:r>
      <w:r w:rsidR="00E8660F" w:rsidRPr="00BC1ABD">
        <w:rPr>
          <w:rFonts w:cs="Arial"/>
          <w:sz w:val="24"/>
          <w:szCs w:val="24"/>
          <w:lang w:val="en-GB"/>
        </w:rPr>
        <w:t xml:space="preserve"> could be applied to all retail services that include broadband</w:t>
      </w:r>
      <w:r w:rsidR="002B7429" w:rsidRPr="00BC1ABD">
        <w:rPr>
          <w:rFonts w:cs="Arial"/>
          <w:sz w:val="24"/>
          <w:szCs w:val="24"/>
          <w:lang w:val="en-GB"/>
        </w:rPr>
        <w:t xml:space="preserve"> service (i.e. including bundled offers)</w:t>
      </w:r>
      <w:r w:rsidR="00E8660F" w:rsidRPr="00BC1ABD">
        <w:rPr>
          <w:rFonts w:cs="Arial"/>
          <w:sz w:val="24"/>
          <w:szCs w:val="24"/>
          <w:lang w:val="en-GB"/>
        </w:rPr>
        <w:t xml:space="preserve">, but the details of the concept will be defined in </w:t>
      </w:r>
      <w:r w:rsidR="0034274B">
        <w:rPr>
          <w:rFonts w:cs="Arial"/>
          <w:sz w:val="24"/>
          <w:szCs w:val="24"/>
          <w:lang w:val="en-GB"/>
        </w:rPr>
        <w:t xml:space="preserve">a </w:t>
      </w:r>
      <w:r w:rsidR="00E8660F" w:rsidRPr="00BC1ABD">
        <w:rPr>
          <w:rFonts w:cs="Arial"/>
          <w:sz w:val="24"/>
          <w:szCs w:val="24"/>
          <w:lang w:val="en-GB"/>
        </w:rPr>
        <w:t xml:space="preserve">separate decision </w:t>
      </w:r>
      <w:r w:rsidR="002B7429" w:rsidRPr="00BC1ABD">
        <w:rPr>
          <w:rFonts w:cs="Arial"/>
          <w:sz w:val="24"/>
          <w:szCs w:val="24"/>
          <w:lang w:val="en-GB"/>
        </w:rPr>
        <w:t xml:space="preserve">related to the </w:t>
      </w:r>
      <w:r w:rsidR="00CC1A0F">
        <w:rPr>
          <w:rFonts w:cs="Arial"/>
          <w:sz w:val="24"/>
          <w:szCs w:val="24"/>
          <w:lang w:val="en-GB"/>
        </w:rPr>
        <w:t>m</w:t>
      </w:r>
      <w:r w:rsidR="002B7429" w:rsidRPr="00BC1ABD">
        <w:rPr>
          <w:rFonts w:cs="Arial"/>
          <w:sz w:val="24"/>
          <w:szCs w:val="24"/>
          <w:lang w:val="en-GB"/>
        </w:rPr>
        <w:t>ethodology of the margin squeeze test</w:t>
      </w:r>
      <w:r w:rsidR="00E8660F" w:rsidRPr="00BC1ABD">
        <w:rPr>
          <w:rFonts w:cs="Arial"/>
          <w:sz w:val="24"/>
          <w:szCs w:val="24"/>
          <w:lang w:val="en-GB"/>
        </w:rPr>
        <w:t>.</w:t>
      </w:r>
    </w:p>
    <w:p w14:paraId="3ADDC90C" w14:textId="77777777" w:rsidR="00433355" w:rsidRDefault="002353F4" w:rsidP="002353F4">
      <w:pPr>
        <w:jc w:val="both"/>
        <w:rPr>
          <w:rFonts w:cs="Arial"/>
          <w:sz w:val="24"/>
          <w:szCs w:val="24"/>
          <w:lang w:val="en-GB"/>
        </w:rPr>
      </w:pPr>
      <w:r w:rsidRPr="00BC1ABD">
        <w:rPr>
          <w:rFonts w:cs="Arial"/>
          <w:sz w:val="24"/>
          <w:szCs w:val="24"/>
          <w:lang w:val="en-GB"/>
        </w:rPr>
        <w:t xml:space="preserve">This test will make use of the accounts established by the SMP operator in accordance with </w:t>
      </w:r>
      <w:r w:rsidR="004F1083">
        <w:rPr>
          <w:rFonts w:cs="Arial"/>
          <w:sz w:val="24"/>
          <w:szCs w:val="24"/>
          <w:lang w:val="en-GB"/>
        </w:rPr>
        <w:t xml:space="preserve">the </w:t>
      </w:r>
      <w:r w:rsidR="004F1083" w:rsidRPr="004F1083">
        <w:rPr>
          <w:rFonts w:cs="Arial"/>
          <w:sz w:val="24"/>
          <w:szCs w:val="24"/>
          <w:lang w:val="en-GB"/>
        </w:rPr>
        <w:t>Resolution N 5 of the Georgian National Communications Commission of April 20, 2006 on Approval of Rules of Separate Accounting and Cost Accounting Methodology by Authori</w:t>
      </w:r>
      <w:r w:rsidR="0034274B">
        <w:rPr>
          <w:rFonts w:cs="Arial"/>
          <w:sz w:val="24"/>
          <w:szCs w:val="24"/>
          <w:lang w:val="en-GB"/>
        </w:rPr>
        <w:t>s</w:t>
      </w:r>
      <w:r w:rsidR="004F1083" w:rsidRPr="004F1083">
        <w:rPr>
          <w:rFonts w:cs="Arial"/>
          <w:sz w:val="24"/>
          <w:szCs w:val="24"/>
          <w:lang w:val="en-GB"/>
        </w:rPr>
        <w:t>ed Entities.</w:t>
      </w:r>
    </w:p>
    <w:p w14:paraId="1A4367DC" w14:textId="3F65AE55" w:rsidR="00CC1A0F" w:rsidRDefault="002353F4" w:rsidP="002353F4">
      <w:pPr>
        <w:jc w:val="both"/>
        <w:rPr>
          <w:rFonts w:cs="Arial"/>
          <w:sz w:val="24"/>
          <w:szCs w:val="24"/>
          <w:lang w:val="en-GB"/>
        </w:rPr>
      </w:pPr>
      <w:r w:rsidRPr="00BC1ABD">
        <w:rPr>
          <w:rFonts w:cs="Arial"/>
          <w:sz w:val="24"/>
          <w:szCs w:val="24"/>
          <w:lang w:val="en-GB"/>
        </w:rPr>
        <w:t>The test will be based on the following formula</w:t>
      </w:r>
      <w:r w:rsidR="00CC1A0F">
        <w:rPr>
          <w:rFonts w:cs="Arial"/>
          <w:sz w:val="24"/>
          <w:szCs w:val="24"/>
          <w:lang w:val="en-GB"/>
        </w:rPr>
        <w:t>:</w:t>
      </w:r>
    </w:p>
    <w:p w14:paraId="4E478627" w14:textId="2E4254E0" w:rsidR="00CC1A0F" w:rsidRDefault="002353F4" w:rsidP="00CC1A0F">
      <w:pPr>
        <w:ind w:left="720"/>
        <w:jc w:val="both"/>
        <w:rPr>
          <w:rFonts w:cs="Arial"/>
          <w:sz w:val="24"/>
          <w:szCs w:val="24"/>
          <w:lang w:val="en-GB"/>
        </w:rPr>
      </w:pPr>
      <w:r w:rsidRPr="00BC1ABD">
        <w:rPr>
          <w:rFonts w:cs="Arial"/>
          <w:sz w:val="24"/>
          <w:szCs w:val="24"/>
          <w:lang w:val="en-GB"/>
        </w:rPr>
        <w:t>RP</w:t>
      </w:r>
      <w:r w:rsidRPr="002509D2">
        <w:rPr>
          <w:rFonts w:cs="Arial"/>
          <w:sz w:val="24"/>
          <w:szCs w:val="24"/>
          <w:vertAlign w:val="subscript"/>
          <w:lang w:val="en-GB"/>
        </w:rPr>
        <w:t>smp</w:t>
      </w:r>
      <w:r w:rsidRPr="00BC1ABD">
        <w:rPr>
          <w:rFonts w:cs="Arial"/>
          <w:sz w:val="24"/>
          <w:szCs w:val="24"/>
          <w:lang w:val="en-GB"/>
        </w:rPr>
        <w:t xml:space="preserve"> ≥ WC</w:t>
      </w:r>
      <w:r w:rsidRPr="002509D2">
        <w:rPr>
          <w:rFonts w:cs="Arial"/>
          <w:sz w:val="24"/>
          <w:szCs w:val="24"/>
          <w:vertAlign w:val="subscript"/>
          <w:lang w:val="en-GB"/>
        </w:rPr>
        <w:t>reg</w:t>
      </w:r>
      <w:r w:rsidRPr="00BC1ABD">
        <w:rPr>
          <w:rFonts w:cs="Arial"/>
          <w:sz w:val="24"/>
          <w:szCs w:val="24"/>
          <w:lang w:val="en-GB"/>
        </w:rPr>
        <w:t xml:space="preserve"> + WC</w:t>
      </w:r>
      <w:r w:rsidRPr="002509D2">
        <w:rPr>
          <w:rFonts w:cs="Arial"/>
          <w:sz w:val="24"/>
          <w:szCs w:val="24"/>
          <w:vertAlign w:val="subscript"/>
          <w:lang w:val="en-GB"/>
        </w:rPr>
        <w:t>non-reg</w:t>
      </w:r>
      <w:r w:rsidRPr="00BC1ABD">
        <w:rPr>
          <w:rFonts w:cs="Arial"/>
          <w:sz w:val="24"/>
          <w:szCs w:val="24"/>
          <w:lang w:val="en-GB"/>
        </w:rPr>
        <w:t xml:space="preserve"> + RC.</w:t>
      </w:r>
    </w:p>
    <w:p w14:paraId="2E3290DE" w14:textId="434F8B94" w:rsidR="00CC1A0F" w:rsidRDefault="00CC1A0F" w:rsidP="002509D2">
      <w:pPr>
        <w:spacing w:line="180" w:lineRule="auto"/>
        <w:ind w:left="720"/>
        <w:jc w:val="both"/>
        <w:rPr>
          <w:rFonts w:cs="Arial"/>
          <w:sz w:val="24"/>
          <w:szCs w:val="24"/>
          <w:lang w:val="en-GB"/>
        </w:rPr>
      </w:pPr>
      <w:r>
        <w:rPr>
          <w:rFonts w:cs="Arial"/>
          <w:sz w:val="24"/>
          <w:szCs w:val="24"/>
          <w:lang w:val="en-GB"/>
        </w:rPr>
        <w:t>Where RP</w:t>
      </w:r>
      <w:r w:rsidRPr="002509D2">
        <w:rPr>
          <w:rFonts w:cs="Arial"/>
          <w:sz w:val="24"/>
          <w:szCs w:val="24"/>
          <w:vertAlign w:val="subscript"/>
          <w:lang w:val="en-GB"/>
        </w:rPr>
        <w:t>smp</w:t>
      </w:r>
      <w:r>
        <w:rPr>
          <w:rFonts w:cs="Arial"/>
          <w:sz w:val="24"/>
          <w:szCs w:val="24"/>
          <w:vertAlign w:val="subscript"/>
          <w:lang w:val="en-GB"/>
        </w:rPr>
        <w:t xml:space="preserve"> </w:t>
      </w:r>
      <w:r w:rsidRPr="002509D2">
        <w:rPr>
          <w:rFonts w:cs="Arial"/>
          <w:sz w:val="24"/>
          <w:szCs w:val="24"/>
          <w:lang w:val="en-GB"/>
        </w:rPr>
        <w:t>=</w:t>
      </w:r>
      <w:r>
        <w:rPr>
          <w:rFonts w:cs="Arial"/>
          <w:sz w:val="24"/>
          <w:szCs w:val="24"/>
          <w:lang w:val="en-GB"/>
        </w:rPr>
        <w:t xml:space="preserve"> the retail price of the SMP operator’s </w:t>
      </w:r>
      <w:r w:rsidR="00F12D37">
        <w:rPr>
          <w:rFonts w:cs="Arial"/>
          <w:sz w:val="24"/>
          <w:szCs w:val="24"/>
          <w:lang w:val="en-GB"/>
        </w:rPr>
        <w:t xml:space="preserve">retail </w:t>
      </w:r>
      <w:r>
        <w:rPr>
          <w:rFonts w:cs="Arial"/>
          <w:sz w:val="24"/>
          <w:szCs w:val="24"/>
          <w:lang w:val="en-GB"/>
        </w:rPr>
        <w:t>service</w:t>
      </w:r>
    </w:p>
    <w:p w14:paraId="3BAD3F25" w14:textId="7B2B28E0" w:rsidR="00CC1A0F" w:rsidRDefault="00CC1A0F" w:rsidP="002509D2">
      <w:pPr>
        <w:spacing w:line="180" w:lineRule="auto"/>
        <w:ind w:left="720"/>
        <w:jc w:val="both"/>
        <w:rPr>
          <w:rFonts w:cs="Arial"/>
          <w:sz w:val="24"/>
          <w:szCs w:val="24"/>
          <w:lang w:val="en-GB"/>
        </w:rPr>
      </w:pPr>
      <w:r>
        <w:rPr>
          <w:rFonts w:cs="Arial"/>
          <w:sz w:val="24"/>
          <w:szCs w:val="24"/>
          <w:lang w:val="en-GB"/>
        </w:rPr>
        <w:t>WC</w:t>
      </w:r>
      <w:r w:rsidRPr="002509D2">
        <w:rPr>
          <w:rFonts w:cs="Arial"/>
          <w:sz w:val="24"/>
          <w:szCs w:val="24"/>
          <w:vertAlign w:val="subscript"/>
          <w:lang w:val="en-GB"/>
        </w:rPr>
        <w:t>reg</w:t>
      </w:r>
      <w:r>
        <w:rPr>
          <w:rFonts w:cs="Arial"/>
          <w:sz w:val="24"/>
          <w:szCs w:val="24"/>
          <w:lang w:val="en-GB"/>
        </w:rPr>
        <w:t xml:space="preserve"> = the wholesale cost of the SMP operator’s </w:t>
      </w:r>
      <w:r w:rsidR="00C44A80">
        <w:rPr>
          <w:rFonts w:cs="Arial"/>
          <w:sz w:val="24"/>
          <w:szCs w:val="24"/>
          <w:lang w:val="en-GB"/>
        </w:rPr>
        <w:t xml:space="preserve">regulated </w:t>
      </w:r>
      <w:r>
        <w:rPr>
          <w:rFonts w:cs="Arial"/>
          <w:sz w:val="24"/>
          <w:szCs w:val="24"/>
          <w:lang w:val="en-GB"/>
        </w:rPr>
        <w:t>service</w:t>
      </w:r>
    </w:p>
    <w:p w14:paraId="17FD0F7E" w14:textId="63615D39" w:rsidR="00CC1A0F" w:rsidRDefault="00CC1A0F" w:rsidP="002509D2">
      <w:pPr>
        <w:spacing w:line="180" w:lineRule="auto"/>
        <w:ind w:left="720"/>
        <w:jc w:val="both"/>
        <w:rPr>
          <w:rFonts w:cs="Arial"/>
          <w:sz w:val="24"/>
          <w:szCs w:val="24"/>
          <w:lang w:val="en-GB"/>
        </w:rPr>
      </w:pPr>
      <w:r>
        <w:rPr>
          <w:rFonts w:cs="Arial"/>
          <w:sz w:val="24"/>
          <w:szCs w:val="24"/>
          <w:lang w:val="en-GB"/>
        </w:rPr>
        <w:t>WC</w:t>
      </w:r>
      <w:r w:rsidRPr="002509D2">
        <w:rPr>
          <w:rFonts w:cs="Arial"/>
          <w:sz w:val="24"/>
          <w:szCs w:val="24"/>
          <w:vertAlign w:val="subscript"/>
          <w:lang w:val="en-GB"/>
        </w:rPr>
        <w:t>non-reg</w:t>
      </w:r>
      <w:r>
        <w:rPr>
          <w:rFonts w:cs="Arial"/>
          <w:sz w:val="24"/>
          <w:szCs w:val="24"/>
          <w:vertAlign w:val="subscript"/>
          <w:lang w:val="en-GB"/>
        </w:rPr>
        <w:t xml:space="preserve"> </w:t>
      </w:r>
      <w:r w:rsidRPr="002509D2">
        <w:rPr>
          <w:rFonts w:cs="Arial"/>
          <w:sz w:val="24"/>
          <w:szCs w:val="24"/>
          <w:lang w:val="en-GB"/>
        </w:rPr>
        <w:t>=</w:t>
      </w:r>
      <w:r>
        <w:rPr>
          <w:rFonts w:cs="Arial"/>
          <w:sz w:val="24"/>
          <w:szCs w:val="24"/>
          <w:lang w:val="en-GB"/>
        </w:rPr>
        <w:t xml:space="preserve"> the </w:t>
      </w:r>
      <w:r w:rsidR="00F12D37">
        <w:rPr>
          <w:rFonts w:cs="Arial"/>
          <w:sz w:val="24"/>
          <w:szCs w:val="24"/>
          <w:lang w:val="en-GB"/>
        </w:rPr>
        <w:t xml:space="preserve">cost of the access-seeker’s </w:t>
      </w:r>
      <w:r w:rsidR="00C44A80">
        <w:rPr>
          <w:rFonts w:cs="Arial"/>
          <w:sz w:val="24"/>
          <w:szCs w:val="24"/>
          <w:lang w:val="en-GB"/>
        </w:rPr>
        <w:t xml:space="preserve">network for providing </w:t>
      </w:r>
      <w:r w:rsidR="00F12D37">
        <w:rPr>
          <w:rFonts w:cs="Arial"/>
          <w:sz w:val="24"/>
          <w:szCs w:val="24"/>
          <w:lang w:val="en-GB"/>
        </w:rPr>
        <w:t>service</w:t>
      </w:r>
    </w:p>
    <w:p w14:paraId="75CFC7BB" w14:textId="7CA2F1F7" w:rsidR="00F12D37" w:rsidRDefault="00F12D37" w:rsidP="002509D2">
      <w:pPr>
        <w:spacing w:line="180" w:lineRule="auto"/>
        <w:ind w:left="720"/>
        <w:jc w:val="both"/>
        <w:rPr>
          <w:rFonts w:cs="Arial"/>
          <w:sz w:val="24"/>
          <w:szCs w:val="24"/>
          <w:lang w:val="en-GB"/>
        </w:rPr>
      </w:pPr>
      <w:r>
        <w:rPr>
          <w:rFonts w:cs="Arial"/>
          <w:sz w:val="24"/>
          <w:szCs w:val="24"/>
          <w:lang w:val="en-GB"/>
        </w:rPr>
        <w:t>RC = the retail cost of the access-seeker’s retail service</w:t>
      </w:r>
    </w:p>
    <w:p w14:paraId="69C4FC86" w14:textId="77777777" w:rsidR="002509D2" w:rsidRDefault="002C46C0" w:rsidP="002353F4">
      <w:pPr>
        <w:jc w:val="both"/>
        <w:rPr>
          <w:rFonts w:cs="Arial"/>
          <w:sz w:val="24"/>
          <w:szCs w:val="24"/>
          <w:lang w:val="en-GB"/>
        </w:rPr>
      </w:pPr>
      <w:r w:rsidRPr="002509D2">
        <w:rPr>
          <w:rFonts w:cs="Arial"/>
          <w:sz w:val="24"/>
          <w:szCs w:val="24"/>
          <w:lang w:val="en-GB"/>
        </w:rPr>
        <w:t>This means that the retail price of the SMP operator for a given service must not be less than the sum of the wholesale cost of the SMP operator for that service plus the own-network cost of the access-seeker for that service plus the retail cost of the access-seeker for that service.</w:t>
      </w:r>
    </w:p>
    <w:p w14:paraId="6FD6BCD5" w14:textId="6CD60685" w:rsidR="002353F4" w:rsidRPr="00BC1ABD" w:rsidRDefault="002353F4" w:rsidP="002353F4">
      <w:pPr>
        <w:jc w:val="both"/>
        <w:rPr>
          <w:rFonts w:cs="Arial"/>
          <w:sz w:val="24"/>
          <w:szCs w:val="24"/>
          <w:lang w:val="en-GB"/>
        </w:rPr>
      </w:pPr>
      <w:r w:rsidRPr="00BC1ABD">
        <w:rPr>
          <w:rFonts w:cs="Arial"/>
          <w:sz w:val="24"/>
          <w:szCs w:val="24"/>
          <w:lang w:val="en-GB"/>
        </w:rPr>
        <w:t>Th</w:t>
      </w:r>
      <w:r w:rsidR="002C46C0">
        <w:rPr>
          <w:rFonts w:cs="Arial"/>
          <w:sz w:val="24"/>
          <w:szCs w:val="24"/>
          <w:lang w:val="en-GB"/>
        </w:rPr>
        <w:t>e</w:t>
      </w:r>
      <w:r w:rsidR="008F6C6F">
        <w:rPr>
          <w:rFonts w:cs="Arial"/>
          <w:sz w:val="24"/>
          <w:szCs w:val="24"/>
          <w:lang w:val="en-GB"/>
        </w:rPr>
        <w:t xml:space="preserve"> </w:t>
      </w:r>
      <w:r w:rsidRPr="00BC1ABD">
        <w:rPr>
          <w:rFonts w:cs="Arial"/>
          <w:sz w:val="24"/>
          <w:szCs w:val="24"/>
          <w:lang w:val="en-GB"/>
        </w:rPr>
        <w:t>regulatory obligation</w:t>
      </w:r>
      <w:r w:rsidR="002C46C0">
        <w:rPr>
          <w:rFonts w:cs="Arial"/>
          <w:sz w:val="24"/>
          <w:szCs w:val="24"/>
          <w:lang w:val="en-GB"/>
        </w:rPr>
        <w:t xml:space="preserve"> described in Chapters 8.1 and 8.2</w:t>
      </w:r>
      <w:r w:rsidRPr="00BC1ABD">
        <w:rPr>
          <w:rFonts w:cs="Arial"/>
          <w:sz w:val="24"/>
          <w:szCs w:val="24"/>
          <w:lang w:val="en-GB"/>
        </w:rPr>
        <w:t>, applied jointly, will address all the competition problems listed in</w:t>
      </w:r>
      <w:r w:rsidR="002C46C0">
        <w:rPr>
          <w:rFonts w:cs="Arial"/>
          <w:sz w:val="24"/>
          <w:szCs w:val="24"/>
          <w:lang w:val="en-GB"/>
        </w:rPr>
        <w:t xml:space="preserve"> C</w:t>
      </w:r>
      <w:r w:rsidRPr="00BC1ABD">
        <w:rPr>
          <w:rFonts w:cs="Arial"/>
          <w:sz w:val="24"/>
          <w:szCs w:val="24"/>
          <w:lang w:val="en-GB"/>
        </w:rPr>
        <w:t xml:space="preserve">hapters </w:t>
      </w:r>
      <w:r w:rsidR="00D53DBF">
        <w:rPr>
          <w:rFonts w:cs="Arial"/>
          <w:sz w:val="24"/>
          <w:szCs w:val="24"/>
          <w:lang w:val="en-GB"/>
        </w:rPr>
        <w:t>7</w:t>
      </w:r>
      <w:r w:rsidRPr="00BC1ABD">
        <w:rPr>
          <w:rFonts w:cs="Arial"/>
          <w:sz w:val="24"/>
          <w:szCs w:val="24"/>
          <w:lang w:val="en-GB"/>
        </w:rPr>
        <w:t xml:space="preserve">.2. and </w:t>
      </w:r>
      <w:r w:rsidR="00D53DBF">
        <w:rPr>
          <w:rFonts w:cs="Arial"/>
          <w:sz w:val="24"/>
          <w:szCs w:val="24"/>
          <w:lang w:val="en-GB"/>
        </w:rPr>
        <w:t>7</w:t>
      </w:r>
      <w:r w:rsidRPr="00BC1ABD">
        <w:rPr>
          <w:rFonts w:cs="Arial"/>
          <w:sz w:val="24"/>
          <w:szCs w:val="24"/>
          <w:lang w:val="en-GB"/>
        </w:rPr>
        <w:t xml:space="preserve">.3. related to possible discrimination. </w:t>
      </w:r>
    </w:p>
    <w:p w14:paraId="1C17211B" w14:textId="77777777" w:rsidR="00B271E6" w:rsidRPr="00BC1ABD" w:rsidRDefault="00B271E6" w:rsidP="00C2733F">
      <w:pPr>
        <w:pStyle w:val="Heading2"/>
        <w:numPr>
          <w:ilvl w:val="1"/>
          <w:numId w:val="88"/>
        </w:numPr>
        <w:spacing w:after="240"/>
        <w:rPr>
          <w:lang w:val="en-GB"/>
        </w:rPr>
      </w:pPr>
      <w:bookmarkStart w:id="358" w:name="_Toc169259007"/>
      <w:r w:rsidRPr="00BC1ABD">
        <w:rPr>
          <w:lang w:val="en-GB"/>
        </w:rPr>
        <w:t>Transparency</w:t>
      </w:r>
      <w:bookmarkEnd w:id="358"/>
    </w:p>
    <w:p w14:paraId="3E5DC7AD" w14:textId="1C859DB5" w:rsidR="00193A29" w:rsidRPr="00BC1ABD" w:rsidRDefault="00193A29" w:rsidP="00193A29">
      <w:pPr>
        <w:jc w:val="both"/>
        <w:rPr>
          <w:rFonts w:cs="Arial"/>
          <w:sz w:val="24"/>
          <w:szCs w:val="24"/>
          <w:lang w:val="en-GB"/>
        </w:rPr>
      </w:pPr>
      <w:r w:rsidRPr="00BC1ABD">
        <w:rPr>
          <w:rFonts w:cs="Arial"/>
          <w:sz w:val="24"/>
          <w:szCs w:val="24"/>
          <w:lang w:val="en-GB"/>
        </w:rPr>
        <w:t xml:space="preserve">According to Article </w:t>
      </w:r>
      <w:r w:rsidR="00A27647" w:rsidRPr="00BC1ABD">
        <w:rPr>
          <w:rFonts w:cs="Arial"/>
          <w:sz w:val="24"/>
          <w:szCs w:val="24"/>
          <w:lang w:val="en-GB"/>
        </w:rPr>
        <w:t>31 of the Law</w:t>
      </w:r>
      <w:r w:rsidR="007D4C61">
        <w:rPr>
          <w:rFonts w:cs="Arial"/>
          <w:sz w:val="24"/>
          <w:szCs w:val="24"/>
          <w:lang w:val="en-GB"/>
        </w:rPr>
        <w:t>,</w:t>
      </w:r>
      <w:r w:rsidR="00A27647" w:rsidRPr="00BC1ABD">
        <w:rPr>
          <w:rFonts w:cs="Arial"/>
          <w:sz w:val="24"/>
          <w:szCs w:val="24"/>
          <w:lang w:val="en-GB"/>
        </w:rPr>
        <w:t xml:space="preserve"> </w:t>
      </w:r>
      <w:r w:rsidRPr="00BC1ABD">
        <w:rPr>
          <w:rFonts w:cs="Arial"/>
          <w:sz w:val="24"/>
          <w:szCs w:val="24"/>
          <w:lang w:val="en-GB"/>
        </w:rPr>
        <w:t xml:space="preserve">operators with </w:t>
      </w:r>
      <w:r w:rsidR="003F5EDC">
        <w:rPr>
          <w:rFonts w:cs="Arial"/>
          <w:sz w:val="24"/>
          <w:szCs w:val="24"/>
          <w:lang w:val="en-GB"/>
        </w:rPr>
        <w:t>SMP</w:t>
      </w:r>
      <w:r w:rsidRPr="00BC1ABD">
        <w:rPr>
          <w:rFonts w:cs="Arial"/>
          <w:sz w:val="24"/>
          <w:szCs w:val="24"/>
          <w:lang w:val="en-GB"/>
        </w:rPr>
        <w:t xml:space="preserve"> may be subject to a regulatory obligation of </w:t>
      </w:r>
      <w:r w:rsidR="00A27647" w:rsidRPr="00BC1ABD">
        <w:rPr>
          <w:rFonts w:cs="Arial"/>
          <w:sz w:val="24"/>
          <w:szCs w:val="24"/>
          <w:lang w:val="en-GB"/>
        </w:rPr>
        <w:t xml:space="preserve">ensuring transparency of information </w:t>
      </w:r>
      <w:r w:rsidRPr="00BC1ABD">
        <w:rPr>
          <w:rFonts w:cs="Arial"/>
          <w:sz w:val="24"/>
          <w:szCs w:val="24"/>
          <w:lang w:val="en-GB"/>
        </w:rPr>
        <w:t>in the form of publishing certain information, such as:</w:t>
      </w:r>
    </w:p>
    <w:p w14:paraId="2EC1FA89" w14:textId="21A359FC" w:rsidR="00193A29" w:rsidRPr="00BC1ABD" w:rsidRDefault="00786861">
      <w:pPr>
        <w:pStyle w:val="ListParagraph"/>
        <w:numPr>
          <w:ilvl w:val="0"/>
          <w:numId w:val="10"/>
        </w:numPr>
        <w:jc w:val="both"/>
        <w:rPr>
          <w:rFonts w:cs="Arial"/>
          <w:sz w:val="24"/>
          <w:szCs w:val="24"/>
          <w:lang w:val="en-GB"/>
        </w:rPr>
      </w:pPr>
      <w:r w:rsidRPr="00BC1ABD">
        <w:rPr>
          <w:rFonts w:cs="Arial"/>
          <w:sz w:val="24"/>
          <w:szCs w:val="24"/>
          <w:lang w:val="en-GB"/>
        </w:rPr>
        <w:t>A</w:t>
      </w:r>
      <w:r w:rsidR="00193A29" w:rsidRPr="00BC1ABD">
        <w:rPr>
          <w:rFonts w:cs="Arial"/>
          <w:sz w:val="24"/>
          <w:szCs w:val="24"/>
          <w:lang w:val="en-GB"/>
        </w:rPr>
        <w:t>ccounting data</w:t>
      </w:r>
      <w:r w:rsidR="003F5EDC">
        <w:rPr>
          <w:rFonts w:cs="Arial"/>
          <w:sz w:val="24"/>
          <w:szCs w:val="24"/>
          <w:lang w:val="en-GB"/>
        </w:rPr>
        <w:t>;</w:t>
      </w:r>
    </w:p>
    <w:p w14:paraId="62B52692" w14:textId="68E538F9" w:rsidR="00193A29" w:rsidRPr="00BC1ABD" w:rsidRDefault="00786861">
      <w:pPr>
        <w:pStyle w:val="ListParagraph"/>
        <w:numPr>
          <w:ilvl w:val="0"/>
          <w:numId w:val="10"/>
        </w:numPr>
        <w:jc w:val="both"/>
        <w:rPr>
          <w:rFonts w:cs="Arial"/>
          <w:sz w:val="24"/>
          <w:szCs w:val="24"/>
          <w:lang w:val="en-GB"/>
        </w:rPr>
      </w:pPr>
      <w:r w:rsidRPr="00BC1ABD">
        <w:rPr>
          <w:rFonts w:cs="Arial"/>
          <w:sz w:val="24"/>
          <w:szCs w:val="24"/>
          <w:lang w:val="en-GB"/>
        </w:rPr>
        <w:t>T</w:t>
      </w:r>
      <w:r w:rsidR="00193A29" w:rsidRPr="00BC1ABD">
        <w:rPr>
          <w:rFonts w:cs="Arial"/>
          <w:sz w:val="24"/>
          <w:szCs w:val="24"/>
          <w:lang w:val="en-GB"/>
        </w:rPr>
        <w:t>e</w:t>
      </w:r>
      <w:r w:rsidR="000207F3" w:rsidRPr="00BC1ABD">
        <w:rPr>
          <w:rFonts w:cs="Arial"/>
          <w:sz w:val="24"/>
          <w:szCs w:val="24"/>
          <w:lang w:val="en-GB"/>
        </w:rPr>
        <w:t>c</w:t>
      </w:r>
      <w:r w:rsidR="00193A29" w:rsidRPr="00BC1ABD">
        <w:rPr>
          <w:rFonts w:cs="Arial"/>
          <w:sz w:val="24"/>
          <w:szCs w:val="24"/>
          <w:lang w:val="en-GB"/>
        </w:rPr>
        <w:t>hnical specifications</w:t>
      </w:r>
      <w:r w:rsidR="003F5EDC">
        <w:rPr>
          <w:rFonts w:cs="Arial"/>
          <w:sz w:val="24"/>
          <w:szCs w:val="24"/>
          <w:lang w:val="en-GB"/>
        </w:rPr>
        <w:t>;</w:t>
      </w:r>
    </w:p>
    <w:p w14:paraId="5A958FD8" w14:textId="6F082B49" w:rsidR="00193A29" w:rsidRPr="00BC1ABD" w:rsidRDefault="00786861">
      <w:pPr>
        <w:pStyle w:val="ListParagraph"/>
        <w:numPr>
          <w:ilvl w:val="0"/>
          <w:numId w:val="10"/>
        </w:numPr>
        <w:jc w:val="both"/>
        <w:rPr>
          <w:rFonts w:cs="Arial"/>
          <w:sz w:val="24"/>
          <w:szCs w:val="24"/>
          <w:lang w:val="en-GB"/>
        </w:rPr>
      </w:pPr>
      <w:r w:rsidRPr="00BC1ABD">
        <w:rPr>
          <w:rFonts w:cs="Arial"/>
          <w:sz w:val="24"/>
          <w:szCs w:val="24"/>
          <w:lang w:val="en-GB"/>
        </w:rPr>
        <w:t>N</w:t>
      </w:r>
      <w:r w:rsidR="00193A29" w:rsidRPr="00BC1ABD">
        <w:rPr>
          <w:rFonts w:cs="Arial"/>
          <w:sz w:val="24"/>
          <w:szCs w:val="24"/>
          <w:lang w:val="en-GB"/>
        </w:rPr>
        <w:t>etwork characteristics</w:t>
      </w:r>
      <w:r w:rsidR="000207F3" w:rsidRPr="00BC1ABD">
        <w:rPr>
          <w:rFonts w:cs="Arial"/>
          <w:sz w:val="24"/>
          <w:szCs w:val="24"/>
          <w:lang w:val="en-GB"/>
        </w:rPr>
        <w:t xml:space="preserve"> (topology, coverage, etc.)</w:t>
      </w:r>
      <w:r w:rsidR="003F5EDC">
        <w:rPr>
          <w:rFonts w:cs="Arial"/>
          <w:sz w:val="24"/>
          <w:szCs w:val="24"/>
          <w:lang w:val="en-GB"/>
        </w:rPr>
        <w:t>;</w:t>
      </w:r>
    </w:p>
    <w:p w14:paraId="36BC4562" w14:textId="1D9E61BA" w:rsidR="00193A29" w:rsidRPr="00BC1ABD" w:rsidRDefault="00786861">
      <w:pPr>
        <w:pStyle w:val="ListParagraph"/>
        <w:numPr>
          <w:ilvl w:val="0"/>
          <w:numId w:val="10"/>
        </w:numPr>
        <w:jc w:val="both"/>
        <w:rPr>
          <w:rFonts w:cs="Arial"/>
          <w:sz w:val="24"/>
          <w:szCs w:val="24"/>
          <w:lang w:val="en-GB"/>
        </w:rPr>
      </w:pPr>
      <w:r w:rsidRPr="00BC1ABD">
        <w:rPr>
          <w:rFonts w:cs="Arial"/>
          <w:sz w:val="24"/>
          <w:szCs w:val="24"/>
          <w:lang w:val="en-GB"/>
        </w:rPr>
        <w:t>T</w:t>
      </w:r>
      <w:r w:rsidR="00193A29" w:rsidRPr="00BC1ABD">
        <w:rPr>
          <w:rFonts w:cs="Arial"/>
          <w:sz w:val="24"/>
          <w:szCs w:val="24"/>
          <w:lang w:val="en-GB"/>
        </w:rPr>
        <w:t>erms and conditions for providing services</w:t>
      </w:r>
      <w:r w:rsidR="003F5EDC">
        <w:rPr>
          <w:rFonts w:cs="Arial"/>
          <w:sz w:val="24"/>
          <w:szCs w:val="24"/>
          <w:lang w:val="en-GB"/>
        </w:rPr>
        <w:t>;</w:t>
      </w:r>
    </w:p>
    <w:p w14:paraId="6FBE9A5D" w14:textId="77777777" w:rsidR="00193A29" w:rsidRPr="00BC1ABD" w:rsidRDefault="00786861">
      <w:pPr>
        <w:pStyle w:val="ListParagraph"/>
        <w:numPr>
          <w:ilvl w:val="0"/>
          <w:numId w:val="10"/>
        </w:numPr>
        <w:jc w:val="both"/>
        <w:rPr>
          <w:rFonts w:cs="Arial"/>
          <w:sz w:val="24"/>
          <w:szCs w:val="24"/>
          <w:lang w:val="en-GB"/>
        </w:rPr>
      </w:pPr>
      <w:r w:rsidRPr="00BC1ABD">
        <w:rPr>
          <w:rFonts w:cs="Arial"/>
          <w:sz w:val="24"/>
          <w:szCs w:val="24"/>
          <w:lang w:val="en-GB"/>
        </w:rPr>
        <w:t>P</w:t>
      </w:r>
      <w:r w:rsidR="00193A29" w:rsidRPr="00BC1ABD">
        <w:rPr>
          <w:rFonts w:cs="Arial"/>
          <w:sz w:val="24"/>
          <w:szCs w:val="24"/>
          <w:lang w:val="en-GB"/>
        </w:rPr>
        <w:t>rices.</w:t>
      </w:r>
    </w:p>
    <w:p w14:paraId="7E34D2D9" w14:textId="12E3A4BE" w:rsidR="00193A29" w:rsidRPr="00BC1ABD" w:rsidRDefault="00F87453" w:rsidP="00193A29">
      <w:pPr>
        <w:jc w:val="both"/>
        <w:rPr>
          <w:rFonts w:cs="Arial"/>
          <w:sz w:val="24"/>
          <w:szCs w:val="24"/>
          <w:lang w:val="en-GB"/>
        </w:rPr>
      </w:pPr>
      <w:r w:rsidRPr="00BC1ABD">
        <w:rPr>
          <w:rFonts w:cs="Arial"/>
          <w:sz w:val="24"/>
          <w:szCs w:val="24"/>
          <w:lang w:val="en-GB"/>
        </w:rPr>
        <w:t xml:space="preserve">According to Article </w:t>
      </w:r>
      <w:r w:rsidR="00917892" w:rsidRPr="00BC1ABD">
        <w:rPr>
          <w:rFonts w:cs="Arial"/>
          <w:sz w:val="24"/>
          <w:szCs w:val="24"/>
          <w:lang w:val="en-GB"/>
        </w:rPr>
        <w:t xml:space="preserve">31 </w:t>
      </w:r>
      <w:r w:rsidRPr="00BC1ABD">
        <w:rPr>
          <w:rFonts w:cs="Arial"/>
          <w:sz w:val="24"/>
          <w:szCs w:val="24"/>
          <w:lang w:val="en-GB"/>
        </w:rPr>
        <w:t xml:space="preserve">of the </w:t>
      </w:r>
      <w:r w:rsidR="00917892" w:rsidRPr="00BC1ABD">
        <w:rPr>
          <w:rFonts w:cs="Arial"/>
          <w:sz w:val="24"/>
          <w:szCs w:val="24"/>
          <w:lang w:val="en-GB"/>
        </w:rPr>
        <w:t>L</w:t>
      </w:r>
      <w:r w:rsidRPr="00BC1ABD">
        <w:rPr>
          <w:rFonts w:cs="Arial"/>
          <w:sz w:val="24"/>
          <w:szCs w:val="24"/>
          <w:lang w:val="en-GB"/>
        </w:rPr>
        <w:t xml:space="preserve">aw, as part of the </w:t>
      </w:r>
      <w:r w:rsidR="005D7AFB" w:rsidRPr="00BC1ABD">
        <w:rPr>
          <w:rFonts w:cs="Arial"/>
          <w:sz w:val="24"/>
          <w:szCs w:val="24"/>
          <w:lang w:val="en-GB"/>
        </w:rPr>
        <w:t>transparency</w:t>
      </w:r>
      <w:r w:rsidRPr="00BC1ABD">
        <w:rPr>
          <w:rFonts w:cs="Arial"/>
          <w:sz w:val="24"/>
          <w:szCs w:val="24"/>
          <w:lang w:val="en-GB"/>
        </w:rPr>
        <w:t xml:space="preserve"> obligation, ComCom </w:t>
      </w:r>
      <w:r w:rsidR="00193A29" w:rsidRPr="00BC1ABD">
        <w:rPr>
          <w:rFonts w:cs="Arial"/>
          <w:sz w:val="24"/>
          <w:szCs w:val="24"/>
          <w:lang w:val="en-GB"/>
        </w:rPr>
        <w:t xml:space="preserve">has the right to request the </w:t>
      </w:r>
      <w:r w:rsidRPr="00BC1ABD">
        <w:rPr>
          <w:rFonts w:cs="Arial"/>
          <w:sz w:val="24"/>
          <w:szCs w:val="24"/>
          <w:lang w:val="en-GB"/>
        </w:rPr>
        <w:t xml:space="preserve">SMP </w:t>
      </w:r>
      <w:r w:rsidR="00193A29" w:rsidRPr="00BC1ABD">
        <w:rPr>
          <w:rFonts w:cs="Arial"/>
          <w:sz w:val="24"/>
          <w:szCs w:val="24"/>
          <w:lang w:val="en-GB"/>
        </w:rPr>
        <w:t>operator</w:t>
      </w:r>
      <w:r w:rsidRPr="00BC1ABD">
        <w:rPr>
          <w:rFonts w:cs="Arial"/>
          <w:sz w:val="24"/>
          <w:szCs w:val="24"/>
          <w:lang w:val="en-GB"/>
        </w:rPr>
        <w:t xml:space="preserve"> </w:t>
      </w:r>
      <w:r w:rsidR="00193A29" w:rsidRPr="00BC1ABD">
        <w:rPr>
          <w:rFonts w:cs="Arial"/>
          <w:sz w:val="24"/>
          <w:szCs w:val="24"/>
          <w:lang w:val="en-GB"/>
        </w:rPr>
        <w:t>to publish reference offers for interconnection and/</w:t>
      </w:r>
      <w:r w:rsidR="003F5EDC">
        <w:rPr>
          <w:rFonts w:cs="Arial"/>
          <w:sz w:val="24"/>
          <w:szCs w:val="24"/>
          <w:lang w:val="en-GB"/>
        </w:rPr>
        <w:t xml:space="preserve"> </w:t>
      </w:r>
      <w:r w:rsidR="00193A29" w:rsidRPr="00BC1ABD">
        <w:rPr>
          <w:rFonts w:cs="Arial"/>
          <w:sz w:val="24"/>
          <w:szCs w:val="24"/>
          <w:lang w:val="en-GB"/>
        </w:rPr>
        <w:t>or access, on the basis of which the operator requesting interconnection and/</w:t>
      </w:r>
      <w:r w:rsidR="003F5EDC">
        <w:rPr>
          <w:rFonts w:cs="Arial"/>
          <w:sz w:val="24"/>
          <w:szCs w:val="24"/>
          <w:lang w:val="en-GB"/>
        </w:rPr>
        <w:t xml:space="preserve"> </w:t>
      </w:r>
      <w:r w:rsidR="00193A29" w:rsidRPr="00BC1ABD">
        <w:rPr>
          <w:rFonts w:cs="Arial"/>
          <w:sz w:val="24"/>
          <w:szCs w:val="24"/>
          <w:lang w:val="en-GB"/>
        </w:rPr>
        <w:t xml:space="preserve">or access </w:t>
      </w:r>
      <w:r w:rsidR="00F854A1" w:rsidRPr="00BC1ABD">
        <w:rPr>
          <w:rFonts w:cs="Arial"/>
          <w:sz w:val="24"/>
          <w:szCs w:val="24"/>
          <w:lang w:val="en-GB"/>
        </w:rPr>
        <w:t>will not have to</w:t>
      </w:r>
      <w:r w:rsidR="00193A29" w:rsidRPr="00BC1ABD">
        <w:rPr>
          <w:rFonts w:cs="Arial"/>
          <w:sz w:val="24"/>
          <w:szCs w:val="24"/>
          <w:lang w:val="en-GB"/>
        </w:rPr>
        <w:t xml:space="preserve"> pay </w:t>
      </w:r>
      <w:r w:rsidR="003F5EDC">
        <w:rPr>
          <w:rFonts w:cs="Arial"/>
          <w:sz w:val="24"/>
          <w:szCs w:val="24"/>
          <w:lang w:val="en-GB"/>
        </w:rPr>
        <w:t xml:space="preserve">any </w:t>
      </w:r>
      <w:r w:rsidR="00193A29" w:rsidRPr="00BC1ABD">
        <w:rPr>
          <w:rFonts w:cs="Arial"/>
          <w:sz w:val="24"/>
          <w:szCs w:val="24"/>
          <w:lang w:val="en-GB"/>
        </w:rPr>
        <w:t>additional costs</w:t>
      </w:r>
      <w:r w:rsidR="003F5EDC">
        <w:rPr>
          <w:rFonts w:cs="Arial"/>
          <w:sz w:val="24"/>
          <w:szCs w:val="24"/>
          <w:lang w:val="en-GB"/>
        </w:rPr>
        <w:t xml:space="preserve"> that</w:t>
      </w:r>
      <w:r w:rsidR="00193A29" w:rsidRPr="00BC1ABD">
        <w:rPr>
          <w:rFonts w:cs="Arial"/>
          <w:sz w:val="24"/>
          <w:szCs w:val="24"/>
          <w:lang w:val="en-GB"/>
        </w:rPr>
        <w:t xml:space="preserve"> are not necessary to provide the requested service. Reference offers must be broken down in detail in accordance with the needs of the market, and must contain a detailed description of the services, associated terms, conditions and prices of the services.</w:t>
      </w:r>
    </w:p>
    <w:p w14:paraId="4B89D2C8" w14:textId="65BEE6BE" w:rsidR="00193A29" w:rsidRPr="00BC1ABD" w:rsidRDefault="00193A29" w:rsidP="00193A29">
      <w:pPr>
        <w:jc w:val="both"/>
        <w:rPr>
          <w:rFonts w:cs="Arial"/>
          <w:sz w:val="24"/>
          <w:szCs w:val="24"/>
          <w:lang w:val="en-GB"/>
        </w:rPr>
      </w:pPr>
      <w:r w:rsidRPr="00BC1ABD">
        <w:rPr>
          <w:rFonts w:cs="Arial"/>
          <w:sz w:val="24"/>
          <w:szCs w:val="24"/>
          <w:lang w:val="en-GB"/>
        </w:rPr>
        <w:t xml:space="preserve">The purpose of the obligation of transparency is </w:t>
      </w:r>
      <w:r w:rsidR="003F5EDC">
        <w:rPr>
          <w:rFonts w:cs="Arial"/>
          <w:sz w:val="24"/>
          <w:szCs w:val="24"/>
          <w:lang w:val="en-GB"/>
        </w:rPr>
        <w:t xml:space="preserve">to ensure </w:t>
      </w:r>
      <w:r w:rsidRPr="00BC1ABD">
        <w:rPr>
          <w:rFonts w:cs="Arial"/>
          <w:sz w:val="24"/>
          <w:szCs w:val="24"/>
          <w:lang w:val="en-GB"/>
        </w:rPr>
        <w:t>that all operators on the market</w:t>
      </w:r>
      <w:r w:rsidR="00580732">
        <w:rPr>
          <w:rFonts w:cs="Arial"/>
          <w:sz w:val="24"/>
          <w:szCs w:val="24"/>
          <w:lang w:val="en-GB"/>
        </w:rPr>
        <w:t>,</w:t>
      </w:r>
      <w:r w:rsidRPr="00BC1ABD">
        <w:rPr>
          <w:rFonts w:cs="Arial"/>
          <w:sz w:val="24"/>
          <w:szCs w:val="24"/>
          <w:lang w:val="en-GB"/>
        </w:rPr>
        <w:t xml:space="preserve"> who are users or potential users of </w:t>
      </w:r>
      <w:r w:rsidR="00580732">
        <w:rPr>
          <w:rFonts w:cs="Arial"/>
          <w:sz w:val="24"/>
          <w:szCs w:val="24"/>
          <w:lang w:val="en-GB"/>
        </w:rPr>
        <w:t xml:space="preserve">the </w:t>
      </w:r>
      <w:r w:rsidRPr="00BC1ABD">
        <w:rPr>
          <w:rFonts w:cs="Arial"/>
          <w:sz w:val="24"/>
          <w:szCs w:val="24"/>
          <w:lang w:val="en-GB"/>
        </w:rPr>
        <w:t>regulated wholesale services on the relevant market</w:t>
      </w:r>
      <w:r w:rsidR="00580732">
        <w:rPr>
          <w:rFonts w:cs="Arial"/>
          <w:sz w:val="24"/>
          <w:szCs w:val="24"/>
          <w:lang w:val="en-GB"/>
        </w:rPr>
        <w:t>,</w:t>
      </w:r>
      <w:r w:rsidRPr="00BC1ABD">
        <w:rPr>
          <w:rFonts w:cs="Arial"/>
          <w:sz w:val="24"/>
          <w:szCs w:val="24"/>
          <w:lang w:val="en-GB"/>
        </w:rPr>
        <w:t xml:space="preserve"> have transparently available conditions for the use of wholesale services for which the obligation of access has been </w:t>
      </w:r>
      <w:r w:rsidR="00917892" w:rsidRPr="00BC1ABD">
        <w:rPr>
          <w:rFonts w:cs="Arial"/>
          <w:sz w:val="24"/>
          <w:szCs w:val="24"/>
          <w:lang w:val="en-GB"/>
        </w:rPr>
        <w:t>imposed</w:t>
      </w:r>
      <w:r w:rsidRPr="00BC1ABD">
        <w:rPr>
          <w:rFonts w:cs="Arial"/>
          <w:sz w:val="24"/>
          <w:szCs w:val="24"/>
          <w:lang w:val="en-GB"/>
        </w:rPr>
        <w:t xml:space="preserve">. As stated in the </w:t>
      </w:r>
      <w:r w:rsidR="003F5EDC">
        <w:rPr>
          <w:rFonts w:cs="Arial"/>
          <w:sz w:val="24"/>
          <w:szCs w:val="24"/>
          <w:lang w:val="en-GB"/>
        </w:rPr>
        <w:t>C</w:t>
      </w:r>
      <w:r w:rsidRPr="00BC1ABD">
        <w:rPr>
          <w:rFonts w:cs="Arial"/>
          <w:sz w:val="24"/>
          <w:szCs w:val="24"/>
          <w:lang w:val="en-GB"/>
        </w:rPr>
        <w:t>hapter</w:t>
      </w:r>
      <w:r w:rsidR="003F5EDC">
        <w:rPr>
          <w:rFonts w:cs="Arial"/>
          <w:sz w:val="24"/>
          <w:szCs w:val="24"/>
          <w:lang w:val="en-GB"/>
        </w:rPr>
        <w:t xml:space="preserve"> 8.2</w:t>
      </w:r>
      <w:r w:rsidRPr="00BC1ABD">
        <w:rPr>
          <w:rFonts w:cs="Arial"/>
          <w:sz w:val="24"/>
          <w:szCs w:val="24"/>
          <w:lang w:val="en-GB"/>
        </w:rPr>
        <w:t>, the obligation of transparency is supplemented with the obligation of non-discrimination</w:t>
      </w:r>
      <w:r w:rsidR="00F854A1" w:rsidRPr="00BC1ABD">
        <w:rPr>
          <w:rFonts w:cs="Arial"/>
          <w:sz w:val="24"/>
          <w:szCs w:val="24"/>
          <w:lang w:val="en-GB"/>
        </w:rPr>
        <w:t>. This is</w:t>
      </w:r>
      <w:r w:rsidRPr="00BC1ABD">
        <w:rPr>
          <w:rFonts w:cs="Arial"/>
          <w:sz w:val="24"/>
          <w:szCs w:val="24"/>
          <w:lang w:val="en-GB"/>
        </w:rPr>
        <w:t xml:space="preserve"> because the regulated </w:t>
      </w:r>
      <w:r w:rsidR="00F854A1" w:rsidRPr="00BC1ABD">
        <w:rPr>
          <w:rFonts w:cs="Arial"/>
          <w:sz w:val="24"/>
          <w:szCs w:val="24"/>
          <w:lang w:val="en-GB"/>
        </w:rPr>
        <w:t xml:space="preserve">wholesale access </w:t>
      </w:r>
      <w:r w:rsidRPr="00BC1ABD">
        <w:rPr>
          <w:rFonts w:cs="Arial"/>
          <w:sz w:val="24"/>
          <w:szCs w:val="24"/>
          <w:lang w:val="en-GB"/>
        </w:rPr>
        <w:t>services are technically very demanding, s</w:t>
      </w:r>
      <w:r w:rsidR="003F5EDC">
        <w:rPr>
          <w:rFonts w:cs="Arial"/>
          <w:sz w:val="24"/>
          <w:szCs w:val="24"/>
          <w:lang w:val="en-GB"/>
        </w:rPr>
        <w:t xml:space="preserve">uch that </w:t>
      </w:r>
      <w:r w:rsidRPr="00BC1ABD">
        <w:rPr>
          <w:rFonts w:cs="Arial"/>
          <w:sz w:val="24"/>
          <w:szCs w:val="24"/>
          <w:lang w:val="en-GB"/>
        </w:rPr>
        <w:t xml:space="preserve">the implementation and </w:t>
      </w:r>
      <w:r w:rsidR="00917892" w:rsidRPr="00BC1ABD">
        <w:rPr>
          <w:rFonts w:cs="Arial"/>
          <w:sz w:val="24"/>
          <w:szCs w:val="24"/>
          <w:lang w:val="en-GB"/>
        </w:rPr>
        <w:t xml:space="preserve">full </w:t>
      </w:r>
      <w:r w:rsidRPr="00BC1ABD">
        <w:rPr>
          <w:rFonts w:cs="Arial"/>
          <w:sz w:val="24"/>
          <w:szCs w:val="24"/>
          <w:lang w:val="en-GB"/>
        </w:rPr>
        <w:t>control of the implementation of the obligation of non-discrimination is possible only in case of the existence of the obligation of transparency.</w:t>
      </w:r>
    </w:p>
    <w:p w14:paraId="0168178E" w14:textId="6DDACA0B" w:rsidR="00193A29" w:rsidRPr="00BC1ABD" w:rsidRDefault="00193A29" w:rsidP="00193A29">
      <w:pPr>
        <w:jc w:val="both"/>
        <w:rPr>
          <w:rFonts w:cs="Arial"/>
          <w:sz w:val="24"/>
          <w:szCs w:val="24"/>
          <w:lang w:val="en-GB"/>
        </w:rPr>
      </w:pPr>
      <w:r w:rsidRPr="00BC1ABD">
        <w:rPr>
          <w:rFonts w:cs="Arial"/>
          <w:sz w:val="24"/>
          <w:szCs w:val="24"/>
          <w:lang w:val="en-GB"/>
        </w:rPr>
        <w:t xml:space="preserve">In accordance with the </w:t>
      </w:r>
      <w:r w:rsidR="005D7AFB" w:rsidRPr="00BC1ABD">
        <w:rPr>
          <w:rFonts w:cs="Arial"/>
          <w:sz w:val="24"/>
          <w:szCs w:val="24"/>
          <w:lang w:val="en-GB"/>
        </w:rPr>
        <w:t>Article 31 of the Law</w:t>
      </w:r>
      <w:r w:rsidRPr="00BC1ABD">
        <w:rPr>
          <w:rFonts w:cs="Arial"/>
          <w:sz w:val="24"/>
          <w:szCs w:val="24"/>
          <w:lang w:val="en-GB"/>
        </w:rPr>
        <w:t xml:space="preserve"> </w:t>
      </w:r>
      <w:r w:rsidR="00315904" w:rsidRPr="00BC1ABD">
        <w:rPr>
          <w:rFonts w:cs="Arial"/>
          <w:sz w:val="24"/>
          <w:szCs w:val="24"/>
          <w:lang w:val="en-GB"/>
        </w:rPr>
        <w:t>and in line with the principle of</w:t>
      </w:r>
      <w:r w:rsidR="00E46B8B" w:rsidRPr="00BC1ABD">
        <w:rPr>
          <w:rFonts w:cs="Arial"/>
          <w:sz w:val="24"/>
          <w:szCs w:val="24"/>
          <w:lang w:val="en-GB"/>
        </w:rPr>
        <w:t xml:space="preserve"> </w:t>
      </w:r>
      <w:r w:rsidR="00E46B8B">
        <w:rPr>
          <w:rFonts w:cs="Arial"/>
          <w:sz w:val="24"/>
          <w:szCs w:val="24"/>
          <w:lang w:val="en-GB"/>
        </w:rPr>
        <w:t>proportionality</w:t>
      </w:r>
      <w:r w:rsidR="00E46B8B" w:rsidRPr="00BC1ABD">
        <w:rPr>
          <w:rFonts w:cs="Arial"/>
          <w:sz w:val="24"/>
          <w:szCs w:val="24"/>
          <w:lang w:val="en-GB"/>
        </w:rPr>
        <w:t xml:space="preserve"> set out in Art.</w:t>
      </w:r>
      <w:r w:rsidR="00E46B8B" w:rsidRPr="00603F78">
        <w:rPr>
          <w:rFonts w:cs="Arial"/>
          <w:sz w:val="24"/>
          <w:szCs w:val="24"/>
          <w:highlight w:val="green"/>
          <w:lang w:val="en-GB"/>
        </w:rPr>
        <w:t>1</w:t>
      </w:r>
      <w:r w:rsidR="00DE2E8C" w:rsidRPr="00603F78">
        <w:rPr>
          <w:rFonts w:cs="Arial"/>
          <w:sz w:val="24"/>
          <w:szCs w:val="24"/>
          <w:highlight w:val="green"/>
          <w:lang w:val="en-GB"/>
        </w:rPr>
        <w:t>7</w:t>
      </w:r>
      <w:r w:rsidR="00E46B8B" w:rsidRPr="00603F78">
        <w:rPr>
          <w:rFonts w:cs="Arial"/>
          <w:sz w:val="24"/>
          <w:szCs w:val="24"/>
          <w:highlight w:val="green"/>
          <w:lang w:val="en-GB"/>
        </w:rPr>
        <w:t>(</w:t>
      </w:r>
      <w:r w:rsidR="00DE2E8C" w:rsidRPr="00603F78">
        <w:rPr>
          <w:rFonts w:cs="Arial"/>
          <w:sz w:val="24"/>
          <w:szCs w:val="24"/>
          <w:highlight w:val="green"/>
          <w:lang w:val="en-GB"/>
        </w:rPr>
        <w:t>1</w:t>
      </w:r>
      <w:r w:rsidR="00E46B8B" w:rsidRPr="00603F78">
        <w:rPr>
          <w:rFonts w:cs="Arial"/>
          <w:sz w:val="24"/>
          <w:szCs w:val="24"/>
          <w:highlight w:val="green"/>
          <w:lang w:val="en-GB"/>
        </w:rPr>
        <w:t xml:space="preserve">) </w:t>
      </w:r>
      <w:r w:rsidR="00DE2E8C" w:rsidRPr="00603F78">
        <w:rPr>
          <w:rFonts w:cs="Arial"/>
          <w:sz w:val="24"/>
          <w:szCs w:val="24"/>
          <w:highlight w:val="green"/>
          <w:lang w:val="en-GB"/>
        </w:rPr>
        <w:t>c</w:t>
      </w:r>
      <w:r w:rsidR="00E46B8B" w:rsidRPr="00603F78">
        <w:rPr>
          <w:rFonts w:cs="Arial"/>
          <w:sz w:val="24"/>
          <w:szCs w:val="24"/>
          <w:highlight w:val="green"/>
          <w:lang w:val="en-GB"/>
        </w:rPr>
        <w:t>) of the revised</w:t>
      </w:r>
      <w:r w:rsidR="00E46B8B">
        <w:rPr>
          <w:rFonts w:cs="Arial"/>
          <w:sz w:val="24"/>
          <w:szCs w:val="24"/>
          <w:lang w:val="en-GB"/>
        </w:rPr>
        <w:t xml:space="preserve"> </w:t>
      </w:r>
      <w:r w:rsidR="00315904" w:rsidRPr="00BC1ABD">
        <w:rPr>
          <w:rFonts w:cs="Arial"/>
          <w:sz w:val="24"/>
          <w:szCs w:val="24"/>
          <w:lang w:val="en-GB"/>
        </w:rPr>
        <w:t xml:space="preserve">Methodological rules (based on findings from Chapter </w:t>
      </w:r>
      <w:r w:rsidR="00D53DBF">
        <w:rPr>
          <w:rFonts w:cs="Arial"/>
          <w:sz w:val="24"/>
          <w:szCs w:val="24"/>
          <w:lang w:val="en-GB"/>
        </w:rPr>
        <w:t>7</w:t>
      </w:r>
      <w:r w:rsidR="00315904" w:rsidRPr="00BC1ABD">
        <w:rPr>
          <w:rFonts w:cs="Arial"/>
          <w:sz w:val="24"/>
          <w:szCs w:val="24"/>
          <w:lang w:val="en-GB"/>
        </w:rPr>
        <w:t xml:space="preserve">.1), </w:t>
      </w:r>
      <w:r w:rsidR="005D7AFB" w:rsidRPr="00BC1ABD">
        <w:rPr>
          <w:rFonts w:cs="Arial"/>
          <w:sz w:val="24"/>
          <w:szCs w:val="24"/>
          <w:lang w:val="en-GB"/>
        </w:rPr>
        <w:t>ComCom</w:t>
      </w:r>
      <w:r w:rsidRPr="00BC1ABD">
        <w:rPr>
          <w:rFonts w:cs="Arial"/>
          <w:sz w:val="24"/>
          <w:szCs w:val="24"/>
          <w:lang w:val="en-GB"/>
        </w:rPr>
        <w:t xml:space="preserve"> proposes that </w:t>
      </w:r>
      <w:r w:rsidR="003F5EDC">
        <w:rPr>
          <w:rFonts w:cs="Arial"/>
          <w:sz w:val="24"/>
          <w:szCs w:val="24"/>
          <w:lang w:val="en-GB"/>
        </w:rPr>
        <w:t xml:space="preserve">the </w:t>
      </w:r>
      <w:r w:rsidR="005D7AFB" w:rsidRPr="00BC1ABD">
        <w:rPr>
          <w:rFonts w:cs="Arial"/>
          <w:sz w:val="24"/>
          <w:szCs w:val="24"/>
          <w:lang w:val="en-GB"/>
        </w:rPr>
        <w:t xml:space="preserve">SMP </w:t>
      </w:r>
      <w:r w:rsidRPr="00BC1ABD">
        <w:rPr>
          <w:rFonts w:cs="Arial"/>
          <w:sz w:val="24"/>
          <w:szCs w:val="24"/>
          <w:lang w:val="en-GB"/>
        </w:rPr>
        <w:t xml:space="preserve">operator </w:t>
      </w:r>
      <w:r w:rsidR="003F5EDC">
        <w:rPr>
          <w:rFonts w:cs="Arial"/>
          <w:sz w:val="24"/>
          <w:szCs w:val="24"/>
          <w:lang w:val="en-GB"/>
        </w:rPr>
        <w:t>has the following obligations</w:t>
      </w:r>
      <w:r w:rsidRPr="00BC1ABD">
        <w:rPr>
          <w:rFonts w:cs="Arial"/>
          <w:sz w:val="24"/>
          <w:szCs w:val="24"/>
          <w:lang w:val="en-GB"/>
        </w:rPr>
        <w:t>:</w:t>
      </w:r>
    </w:p>
    <w:p w14:paraId="7A68C06F" w14:textId="77777777" w:rsidR="00BB2EA5" w:rsidRPr="00384D6A" w:rsidRDefault="002F05D0" w:rsidP="00BB2EA5">
      <w:pPr>
        <w:contextualSpacing/>
        <w:jc w:val="both"/>
        <w:rPr>
          <w:rFonts w:cs="Arial"/>
          <w:sz w:val="24"/>
          <w:szCs w:val="24"/>
          <w:u w:val="single"/>
          <w:lang w:val="en-GB"/>
        </w:rPr>
      </w:pPr>
      <w:r w:rsidRPr="00384D6A">
        <w:rPr>
          <w:rFonts w:cs="Arial"/>
          <w:sz w:val="24"/>
          <w:szCs w:val="24"/>
          <w:u w:val="single"/>
          <w:lang w:val="en-GB"/>
        </w:rPr>
        <w:t>Cluster</w:t>
      </w:r>
      <w:r w:rsidR="00315904" w:rsidRPr="00384D6A">
        <w:rPr>
          <w:rFonts w:cs="Arial"/>
          <w:sz w:val="24"/>
          <w:szCs w:val="24"/>
          <w:u w:val="single"/>
          <w:lang w:val="en-GB"/>
        </w:rPr>
        <w:t xml:space="preserve"> </w:t>
      </w:r>
      <w:r w:rsidR="00193A29" w:rsidRPr="00384D6A">
        <w:rPr>
          <w:rFonts w:cs="Arial"/>
          <w:sz w:val="24"/>
          <w:szCs w:val="24"/>
          <w:u w:val="single"/>
          <w:lang w:val="en-GB"/>
        </w:rPr>
        <w:t>I</w:t>
      </w:r>
    </w:p>
    <w:p w14:paraId="4B352091" w14:textId="77777777" w:rsidR="00F26840" w:rsidRPr="00384D6A" w:rsidRDefault="00F26840" w:rsidP="00F26840">
      <w:pPr>
        <w:numPr>
          <w:ilvl w:val="0"/>
          <w:numId w:val="4"/>
        </w:numPr>
        <w:contextualSpacing/>
        <w:jc w:val="both"/>
        <w:rPr>
          <w:rFonts w:eastAsia="Times New Roman" w:cs="Arial"/>
          <w:sz w:val="24"/>
          <w:szCs w:val="24"/>
          <w:lang w:val="en-GB"/>
        </w:rPr>
      </w:pPr>
      <w:r w:rsidRPr="00384D6A">
        <w:rPr>
          <w:rFonts w:eastAsia="Times New Roman" w:cs="Arial"/>
          <w:sz w:val="24"/>
          <w:szCs w:val="24"/>
          <w:lang w:val="en-GB"/>
        </w:rPr>
        <w:t>Within 90 days from the entry into force of the final SMP decision, to send a reference offer for the service of wholesale central access (bitstream access) to ComCom for approval and subsequent publication on its website. Reference offer will contain:</w:t>
      </w:r>
    </w:p>
    <w:p w14:paraId="2D6C612D" w14:textId="24E51F15" w:rsidR="00735457" w:rsidRPr="00384D6A" w:rsidRDefault="007354E3">
      <w:pPr>
        <w:numPr>
          <w:ilvl w:val="1"/>
          <w:numId w:val="4"/>
        </w:numPr>
        <w:contextualSpacing/>
        <w:jc w:val="both"/>
        <w:rPr>
          <w:rFonts w:cs="Arial"/>
          <w:sz w:val="24"/>
          <w:szCs w:val="24"/>
          <w:lang w:val="en-GB"/>
        </w:rPr>
      </w:pPr>
      <w:r w:rsidRPr="00384D6A">
        <w:rPr>
          <w:rFonts w:cs="Arial"/>
          <w:sz w:val="24"/>
          <w:szCs w:val="24"/>
          <w:lang w:val="en-GB"/>
        </w:rPr>
        <w:t>A</w:t>
      </w:r>
      <w:r w:rsidR="00735457" w:rsidRPr="00384D6A">
        <w:rPr>
          <w:rFonts w:cs="Arial"/>
          <w:sz w:val="24"/>
          <w:szCs w:val="24"/>
          <w:lang w:val="en-GB"/>
        </w:rPr>
        <w:t xml:space="preserve">ll </w:t>
      </w:r>
      <w:r w:rsidR="00A307DC" w:rsidRPr="00384D6A">
        <w:rPr>
          <w:rFonts w:cs="Arial"/>
          <w:sz w:val="24"/>
          <w:szCs w:val="24"/>
          <w:lang w:val="en-GB"/>
        </w:rPr>
        <w:t xml:space="preserve">main </w:t>
      </w:r>
      <w:r w:rsidR="00C57901" w:rsidRPr="00384D6A">
        <w:rPr>
          <w:rFonts w:cs="Arial"/>
          <w:sz w:val="24"/>
          <w:szCs w:val="24"/>
          <w:lang w:val="en-GB"/>
        </w:rPr>
        <w:t xml:space="preserve">access </w:t>
      </w:r>
      <w:r w:rsidR="00735457" w:rsidRPr="00384D6A">
        <w:rPr>
          <w:rFonts w:cs="Arial"/>
          <w:sz w:val="24"/>
          <w:szCs w:val="24"/>
          <w:lang w:val="en-GB"/>
        </w:rPr>
        <w:t>services in accordance with</w:t>
      </w:r>
      <w:r w:rsidR="00AB5B1F" w:rsidRPr="00384D6A">
        <w:rPr>
          <w:rFonts w:cs="Arial"/>
          <w:sz w:val="24"/>
          <w:szCs w:val="24"/>
          <w:lang w:val="en-GB"/>
        </w:rPr>
        <w:t xml:space="preserve"> the access obligation</w:t>
      </w:r>
      <w:r w:rsidR="00317AA9" w:rsidRPr="00384D6A">
        <w:rPr>
          <w:rFonts w:cs="Arial"/>
          <w:sz w:val="24"/>
          <w:szCs w:val="24"/>
          <w:lang w:val="en-GB"/>
        </w:rPr>
        <w:t xml:space="preserve"> (see Chapter 8.1)</w:t>
      </w:r>
      <w:r w:rsidR="00735457" w:rsidRPr="00384D6A">
        <w:rPr>
          <w:rFonts w:cs="Arial"/>
          <w:sz w:val="24"/>
          <w:szCs w:val="24"/>
          <w:lang w:val="en-GB"/>
        </w:rPr>
        <w:t xml:space="preserve"> </w:t>
      </w:r>
      <w:r w:rsidR="00C57901" w:rsidRPr="00384D6A">
        <w:rPr>
          <w:rFonts w:cs="Arial"/>
          <w:sz w:val="24"/>
          <w:szCs w:val="24"/>
          <w:lang w:val="en-GB"/>
        </w:rPr>
        <w:t xml:space="preserve">and </w:t>
      </w:r>
      <w:r w:rsidR="00735457" w:rsidRPr="00384D6A">
        <w:rPr>
          <w:rFonts w:cs="Arial"/>
          <w:sz w:val="24"/>
          <w:szCs w:val="24"/>
          <w:lang w:val="en-GB"/>
        </w:rPr>
        <w:t xml:space="preserve">market definition </w:t>
      </w:r>
      <w:r w:rsidR="00317AA9" w:rsidRPr="00384D6A">
        <w:rPr>
          <w:rFonts w:cs="Arial"/>
          <w:sz w:val="24"/>
          <w:szCs w:val="24"/>
          <w:lang w:val="en-GB"/>
        </w:rPr>
        <w:t>(see Chapters 4.1 and 4.3)</w:t>
      </w:r>
      <w:r w:rsidR="00580732" w:rsidRPr="00384D6A">
        <w:rPr>
          <w:rFonts w:cs="Arial"/>
          <w:sz w:val="24"/>
          <w:szCs w:val="24"/>
          <w:lang w:val="en-GB"/>
        </w:rPr>
        <w:t>;</w:t>
      </w:r>
    </w:p>
    <w:p w14:paraId="31D8D902" w14:textId="0E1E2376" w:rsidR="00735457" w:rsidRPr="00384D6A" w:rsidRDefault="007354E3">
      <w:pPr>
        <w:numPr>
          <w:ilvl w:val="1"/>
          <w:numId w:val="4"/>
        </w:numPr>
        <w:contextualSpacing/>
        <w:jc w:val="both"/>
        <w:rPr>
          <w:rFonts w:cs="Arial"/>
          <w:sz w:val="24"/>
          <w:szCs w:val="24"/>
          <w:lang w:val="en-GB"/>
        </w:rPr>
      </w:pPr>
      <w:r w:rsidRPr="00384D6A">
        <w:rPr>
          <w:rFonts w:cs="Arial"/>
          <w:sz w:val="24"/>
          <w:szCs w:val="24"/>
          <w:lang w:val="en-GB"/>
        </w:rPr>
        <w:t>S</w:t>
      </w:r>
      <w:r w:rsidR="00735457" w:rsidRPr="00384D6A">
        <w:rPr>
          <w:rFonts w:cs="Arial"/>
          <w:sz w:val="24"/>
          <w:szCs w:val="24"/>
          <w:lang w:val="en-GB"/>
        </w:rPr>
        <w:t xml:space="preserve">eparate virtual channel services defined in chapter </w:t>
      </w:r>
      <w:r w:rsidR="009D44C6" w:rsidRPr="00384D6A">
        <w:rPr>
          <w:rFonts w:cs="Arial"/>
          <w:sz w:val="24"/>
          <w:szCs w:val="24"/>
          <w:lang w:val="en-GB"/>
        </w:rPr>
        <w:t>8</w:t>
      </w:r>
      <w:r w:rsidR="00735457" w:rsidRPr="00384D6A">
        <w:rPr>
          <w:rFonts w:cs="Arial"/>
          <w:sz w:val="24"/>
          <w:szCs w:val="24"/>
          <w:lang w:val="en-GB"/>
        </w:rPr>
        <w:t>.1</w:t>
      </w:r>
      <w:r w:rsidR="00580732" w:rsidRPr="00384D6A">
        <w:rPr>
          <w:rFonts w:cs="Arial"/>
          <w:sz w:val="24"/>
          <w:szCs w:val="24"/>
          <w:lang w:val="en-GB"/>
        </w:rPr>
        <w:t>;</w:t>
      </w:r>
    </w:p>
    <w:p w14:paraId="09356081" w14:textId="5DFCBFCA" w:rsidR="008B54B6" w:rsidRPr="00384D6A" w:rsidRDefault="00A84E29">
      <w:pPr>
        <w:numPr>
          <w:ilvl w:val="1"/>
          <w:numId w:val="4"/>
        </w:numPr>
        <w:contextualSpacing/>
        <w:jc w:val="both"/>
        <w:rPr>
          <w:rFonts w:cs="Arial"/>
          <w:sz w:val="24"/>
          <w:szCs w:val="24"/>
          <w:lang w:val="en-GB"/>
        </w:rPr>
      </w:pPr>
      <w:r w:rsidRPr="00384D6A">
        <w:rPr>
          <w:rFonts w:cs="Arial"/>
          <w:sz w:val="24"/>
          <w:szCs w:val="24"/>
          <w:lang w:val="en-GB"/>
        </w:rPr>
        <w:t>Ancill</w:t>
      </w:r>
      <w:r w:rsidR="008B54B6" w:rsidRPr="00384D6A">
        <w:rPr>
          <w:rFonts w:cs="Arial"/>
          <w:sz w:val="24"/>
          <w:szCs w:val="24"/>
          <w:lang w:val="en-GB"/>
        </w:rPr>
        <w:t>ary services defined in chapter 8.1</w:t>
      </w:r>
      <w:r w:rsidR="00580732" w:rsidRPr="00384D6A">
        <w:rPr>
          <w:rFonts w:cs="Arial"/>
          <w:sz w:val="24"/>
          <w:szCs w:val="24"/>
          <w:lang w:val="en-GB"/>
        </w:rPr>
        <w:t>.</w:t>
      </w:r>
    </w:p>
    <w:p w14:paraId="6709FD83" w14:textId="354328EE" w:rsidR="00735457" w:rsidRPr="00384D6A" w:rsidRDefault="008A47C8" w:rsidP="00735457">
      <w:pPr>
        <w:ind w:left="720"/>
        <w:contextualSpacing/>
        <w:jc w:val="both"/>
        <w:rPr>
          <w:rFonts w:cs="Arial"/>
          <w:sz w:val="24"/>
          <w:szCs w:val="24"/>
          <w:lang w:val="en-GB"/>
        </w:rPr>
      </w:pPr>
      <w:r w:rsidRPr="00384D6A">
        <w:rPr>
          <w:rFonts w:cs="Arial"/>
          <w:sz w:val="24"/>
          <w:szCs w:val="24"/>
          <w:lang w:val="en-GB"/>
        </w:rPr>
        <w:t xml:space="preserve">Access-seeking operators </w:t>
      </w:r>
      <w:r w:rsidR="00735457" w:rsidRPr="00384D6A">
        <w:rPr>
          <w:rFonts w:cs="Arial"/>
          <w:sz w:val="24"/>
          <w:szCs w:val="24"/>
          <w:lang w:val="en-GB"/>
        </w:rPr>
        <w:t>will not be obliged to pay additional costs, which are not necessary for providing the requested services</w:t>
      </w:r>
      <w:r w:rsidR="00580732" w:rsidRPr="00384D6A">
        <w:rPr>
          <w:rFonts w:cs="Arial"/>
          <w:sz w:val="24"/>
          <w:szCs w:val="24"/>
          <w:lang w:val="en-GB"/>
        </w:rPr>
        <w:t>;</w:t>
      </w:r>
    </w:p>
    <w:p w14:paraId="054F77FD" w14:textId="407F5068" w:rsidR="00193A29" w:rsidRPr="00603F78" w:rsidRDefault="007354E3">
      <w:pPr>
        <w:numPr>
          <w:ilvl w:val="0"/>
          <w:numId w:val="4"/>
        </w:numPr>
        <w:contextualSpacing/>
        <w:jc w:val="both"/>
        <w:rPr>
          <w:rFonts w:cs="Arial"/>
          <w:sz w:val="24"/>
          <w:szCs w:val="24"/>
          <w:highlight w:val="yellow"/>
          <w:lang w:val="en-GB"/>
        </w:rPr>
      </w:pPr>
      <w:r w:rsidRPr="00384D6A">
        <w:rPr>
          <w:rFonts w:cs="Arial"/>
          <w:sz w:val="24"/>
          <w:szCs w:val="24"/>
          <w:lang w:val="en-GB"/>
        </w:rPr>
        <w:t>I</w:t>
      </w:r>
      <w:r w:rsidR="005D7AFB" w:rsidRPr="00384D6A">
        <w:rPr>
          <w:rFonts w:cs="Arial"/>
          <w:sz w:val="24"/>
          <w:szCs w:val="24"/>
          <w:lang w:val="en-GB"/>
        </w:rPr>
        <w:t xml:space="preserve">n </w:t>
      </w:r>
      <w:r w:rsidRPr="00384D6A">
        <w:rPr>
          <w:rFonts w:cs="Arial"/>
          <w:sz w:val="24"/>
          <w:szCs w:val="24"/>
          <w:lang w:val="en-GB"/>
        </w:rPr>
        <w:t xml:space="preserve">the </w:t>
      </w:r>
      <w:r w:rsidR="005D7AFB" w:rsidRPr="00384D6A">
        <w:rPr>
          <w:rFonts w:cs="Arial"/>
          <w:sz w:val="24"/>
          <w:szCs w:val="24"/>
          <w:lang w:val="en-GB"/>
        </w:rPr>
        <w:t>case of reasonable demand</w:t>
      </w:r>
      <w:r w:rsidR="004253CC" w:rsidRPr="00384D6A">
        <w:rPr>
          <w:rStyle w:val="FootnoteReference"/>
          <w:rFonts w:cs="Arial"/>
          <w:sz w:val="24"/>
          <w:szCs w:val="24"/>
          <w:lang w:val="en-GB"/>
        </w:rPr>
        <w:footnoteReference w:id="110"/>
      </w:r>
      <w:r w:rsidR="00580732" w:rsidRPr="00384D6A">
        <w:rPr>
          <w:rFonts w:cs="Arial"/>
          <w:sz w:val="24"/>
          <w:szCs w:val="24"/>
          <w:lang w:val="en-GB"/>
        </w:rPr>
        <w:t xml:space="preserve"> </w:t>
      </w:r>
      <w:bookmarkStart w:id="359" w:name="_Hlk149760799"/>
      <w:r w:rsidR="001A669C" w:rsidRPr="00384D6A">
        <w:rPr>
          <w:rFonts w:cs="Arial"/>
          <w:sz w:val="24"/>
          <w:szCs w:val="24"/>
          <w:lang w:val="en-GB"/>
        </w:rPr>
        <w:t xml:space="preserve">to send a </w:t>
      </w:r>
      <w:r w:rsidR="00FF7F6A" w:rsidRPr="00384D6A">
        <w:rPr>
          <w:rFonts w:cs="Arial"/>
          <w:sz w:val="24"/>
          <w:szCs w:val="24"/>
          <w:lang w:val="en-GB"/>
        </w:rPr>
        <w:t xml:space="preserve">full </w:t>
      </w:r>
      <w:r w:rsidR="001A669C" w:rsidRPr="00384D6A">
        <w:rPr>
          <w:rFonts w:cs="Arial"/>
          <w:sz w:val="24"/>
          <w:szCs w:val="24"/>
          <w:lang w:val="en-GB"/>
        </w:rPr>
        <w:t xml:space="preserve">reference offer for the </w:t>
      </w:r>
      <w:r w:rsidR="0091770A" w:rsidRPr="00603F78">
        <w:rPr>
          <w:rFonts w:cs="Arial"/>
          <w:sz w:val="24"/>
          <w:szCs w:val="24"/>
          <w:highlight w:val="yellow"/>
          <w:lang w:val="en-GB"/>
        </w:rPr>
        <w:t xml:space="preserve">wholesale </w:t>
      </w:r>
      <w:r w:rsidR="001A669C" w:rsidRPr="00603F78">
        <w:rPr>
          <w:rFonts w:cs="Arial"/>
          <w:sz w:val="24"/>
          <w:szCs w:val="24"/>
          <w:highlight w:val="yellow"/>
          <w:lang w:val="en-GB"/>
        </w:rPr>
        <w:t xml:space="preserve">service of </w:t>
      </w:r>
      <w:r w:rsidR="0091770A" w:rsidRPr="00603F78">
        <w:rPr>
          <w:rFonts w:cs="Arial"/>
          <w:sz w:val="24"/>
          <w:szCs w:val="24"/>
          <w:highlight w:val="yellow"/>
          <w:lang w:val="en-GB"/>
        </w:rPr>
        <w:t>VULA</w:t>
      </w:r>
      <w:r w:rsidR="001A669C" w:rsidRPr="00384D6A">
        <w:rPr>
          <w:rFonts w:cs="Arial"/>
          <w:sz w:val="24"/>
          <w:szCs w:val="24"/>
          <w:lang w:val="en-GB"/>
        </w:rPr>
        <w:t xml:space="preserve"> to ComCom for approval in 90 days from the official request, for approval </w:t>
      </w:r>
      <w:bookmarkStart w:id="360" w:name="_Hlk149747551"/>
      <w:r w:rsidR="001A669C" w:rsidRPr="00384D6A">
        <w:rPr>
          <w:rFonts w:cs="Arial"/>
          <w:sz w:val="24"/>
          <w:szCs w:val="24"/>
          <w:lang w:val="en-GB"/>
        </w:rPr>
        <w:t>and subsequent publication on its website</w:t>
      </w:r>
      <w:bookmarkEnd w:id="360"/>
      <w:r w:rsidR="001A669C" w:rsidRPr="00384D6A">
        <w:rPr>
          <w:rFonts w:cs="Arial"/>
          <w:sz w:val="24"/>
          <w:szCs w:val="24"/>
          <w:lang w:val="en-GB"/>
        </w:rPr>
        <w:t>.</w:t>
      </w:r>
      <w:bookmarkEnd w:id="359"/>
      <w:r w:rsidR="00123827" w:rsidRPr="00123827">
        <w:t xml:space="preserve"> </w:t>
      </w:r>
      <w:r w:rsidR="00123827" w:rsidRPr="00603F78">
        <w:rPr>
          <w:rFonts w:cs="Arial"/>
          <w:sz w:val="24"/>
          <w:szCs w:val="24"/>
          <w:highlight w:val="yellow"/>
          <w:lang w:val="en-GB"/>
        </w:rPr>
        <w:t>Reference offer will contain:</w:t>
      </w:r>
    </w:p>
    <w:p w14:paraId="6A31C6A0" w14:textId="3878BE1B" w:rsidR="00A307DC" w:rsidRPr="00384D6A" w:rsidRDefault="00123827" w:rsidP="00A307DC">
      <w:pPr>
        <w:numPr>
          <w:ilvl w:val="1"/>
          <w:numId w:val="4"/>
        </w:numPr>
        <w:contextualSpacing/>
        <w:jc w:val="both"/>
        <w:rPr>
          <w:rFonts w:cs="Arial"/>
          <w:sz w:val="24"/>
          <w:szCs w:val="24"/>
          <w:lang w:val="en-GB"/>
        </w:rPr>
      </w:pPr>
      <w:r w:rsidRPr="00603F78">
        <w:rPr>
          <w:rFonts w:cs="Arial"/>
          <w:sz w:val="24"/>
          <w:szCs w:val="24"/>
          <w:highlight w:val="yellow"/>
          <w:lang w:val="en-GB"/>
        </w:rPr>
        <w:t>VULA service</w:t>
      </w:r>
      <w:r w:rsidR="00580732" w:rsidRPr="00384D6A">
        <w:rPr>
          <w:rFonts w:cs="Arial"/>
          <w:sz w:val="24"/>
          <w:szCs w:val="24"/>
          <w:lang w:val="en-GB"/>
        </w:rPr>
        <w:t>;</w:t>
      </w:r>
    </w:p>
    <w:p w14:paraId="202B92B5" w14:textId="52EE0F45" w:rsidR="00193A29" w:rsidRPr="00384D6A" w:rsidRDefault="007354E3">
      <w:pPr>
        <w:numPr>
          <w:ilvl w:val="1"/>
          <w:numId w:val="4"/>
        </w:numPr>
        <w:contextualSpacing/>
        <w:jc w:val="both"/>
        <w:rPr>
          <w:rFonts w:cs="Arial"/>
          <w:sz w:val="24"/>
          <w:szCs w:val="24"/>
          <w:lang w:val="en-GB"/>
        </w:rPr>
      </w:pPr>
      <w:r w:rsidRPr="00384D6A">
        <w:rPr>
          <w:rFonts w:cs="Arial"/>
          <w:sz w:val="24"/>
          <w:szCs w:val="24"/>
          <w:lang w:val="en-GB"/>
        </w:rPr>
        <w:t>A</w:t>
      </w:r>
      <w:r w:rsidR="00193A29" w:rsidRPr="00384D6A">
        <w:rPr>
          <w:rFonts w:cs="Arial"/>
          <w:sz w:val="24"/>
          <w:szCs w:val="24"/>
          <w:lang w:val="en-GB"/>
        </w:rPr>
        <w:t xml:space="preserve">dditional access services defined in chapter </w:t>
      </w:r>
      <w:r w:rsidR="009D44C6" w:rsidRPr="00384D6A">
        <w:rPr>
          <w:rFonts w:cs="Arial"/>
          <w:sz w:val="24"/>
          <w:szCs w:val="24"/>
          <w:lang w:val="en-GB"/>
        </w:rPr>
        <w:t>8</w:t>
      </w:r>
      <w:r w:rsidR="00193A29" w:rsidRPr="00384D6A">
        <w:rPr>
          <w:rFonts w:cs="Arial"/>
          <w:sz w:val="24"/>
          <w:szCs w:val="24"/>
          <w:lang w:val="en-GB"/>
        </w:rPr>
        <w:t>.1.</w:t>
      </w:r>
      <w:r w:rsidR="005D7AFB" w:rsidRPr="00384D6A">
        <w:rPr>
          <w:rFonts w:cs="Arial"/>
          <w:sz w:val="24"/>
          <w:szCs w:val="24"/>
          <w:lang w:val="en-GB"/>
        </w:rPr>
        <w:t xml:space="preserve"> (i.e. separate virtual channels)</w:t>
      </w:r>
      <w:r w:rsidR="00580732" w:rsidRPr="00384D6A">
        <w:rPr>
          <w:rFonts w:cs="Arial"/>
          <w:sz w:val="24"/>
          <w:szCs w:val="24"/>
          <w:lang w:val="en-GB"/>
        </w:rPr>
        <w:t>;</w:t>
      </w:r>
    </w:p>
    <w:p w14:paraId="6BAB24CE" w14:textId="5A1A06F3" w:rsidR="000D6FC1" w:rsidRPr="00384D6A" w:rsidRDefault="001959B5">
      <w:pPr>
        <w:numPr>
          <w:ilvl w:val="1"/>
          <w:numId w:val="4"/>
        </w:numPr>
        <w:contextualSpacing/>
        <w:jc w:val="both"/>
        <w:rPr>
          <w:rFonts w:cs="Arial"/>
          <w:sz w:val="24"/>
          <w:szCs w:val="24"/>
          <w:lang w:val="en-GB"/>
        </w:rPr>
      </w:pPr>
      <w:r w:rsidRPr="00384D6A">
        <w:rPr>
          <w:rFonts w:cs="Arial"/>
          <w:sz w:val="24"/>
          <w:szCs w:val="24"/>
          <w:lang w:val="en-GB"/>
        </w:rPr>
        <w:t>Ancill</w:t>
      </w:r>
      <w:r w:rsidR="000D6FC1" w:rsidRPr="00384D6A">
        <w:rPr>
          <w:rFonts w:cs="Arial"/>
          <w:sz w:val="24"/>
          <w:szCs w:val="24"/>
          <w:lang w:val="en-GB"/>
        </w:rPr>
        <w:t>ary services defined in chapter 8.1</w:t>
      </w:r>
      <w:r w:rsidR="00580732" w:rsidRPr="00384D6A">
        <w:rPr>
          <w:rFonts w:cs="Arial"/>
          <w:sz w:val="24"/>
          <w:szCs w:val="24"/>
          <w:lang w:val="en-GB"/>
        </w:rPr>
        <w:t>.</w:t>
      </w:r>
    </w:p>
    <w:p w14:paraId="0FFD67C1" w14:textId="16D77DE0" w:rsidR="00580732" w:rsidRPr="00384D6A" w:rsidRDefault="00370551" w:rsidP="004267C5">
      <w:pPr>
        <w:ind w:left="720"/>
        <w:contextualSpacing/>
        <w:jc w:val="both"/>
        <w:rPr>
          <w:rFonts w:cs="Arial"/>
          <w:sz w:val="24"/>
          <w:szCs w:val="24"/>
          <w:lang w:val="en-GB"/>
        </w:rPr>
      </w:pPr>
      <w:bookmarkStart w:id="361" w:name="_Hlk148523836"/>
      <w:r w:rsidRPr="00384D6A">
        <w:rPr>
          <w:rFonts w:cs="Arial"/>
          <w:sz w:val="24"/>
          <w:szCs w:val="24"/>
          <w:lang w:val="en-GB"/>
        </w:rPr>
        <w:t xml:space="preserve">Note: The core elements of a reference offer for the </w:t>
      </w:r>
      <w:r w:rsidR="00944218" w:rsidRPr="00603F78">
        <w:rPr>
          <w:rFonts w:cs="Arial"/>
          <w:sz w:val="24"/>
          <w:szCs w:val="24"/>
          <w:highlight w:val="yellow"/>
          <w:lang w:val="en-GB"/>
        </w:rPr>
        <w:t xml:space="preserve">wholesale </w:t>
      </w:r>
      <w:r w:rsidRPr="00603F78">
        <w:rPr>
          <w:rFonts w:cs="Arial"/>
          <w:sz w:val="24"/>
          <w:szCs w:val="24"/>
          <w:highlight w:val="yellow"/>
          <w:lang w:val="en-GB"/>
        </w:rPr>
        <w:t xml:space="preserve">service of </w:t>
      </w:r>
      <w:r w:rsidR="00944218" w:rsidRPr="00603F78">
        <w:rPr>
          <w:rFonts w:cs="Arial"/>
          <w:sz w:val="24"/>
          <w:szCs w:val="24"/>
          <w:highlight w:val="yellow"/>
          <w:lang w:val="en-GB"/>
        </w:rPr>
        <w:t>VULA</w:t>
      </w:r>
      <w:r w:rsidRPr="00384D6A">
        <w:rPr>
          <w:rFonts w:cs="Arial"/>
          <w:sz w:val="24"/>
          <w:szCs w:val="24"/>
          <w:lang w:val="en-GB"/>
        </w:rPr>
        <w:t xml:space="preserve"> (access points, features, pricing) must </w:t>
      </w:r>
      <w:r w:rsidR="00D43434" w:rsidRPr="00384D6A">
        <w:rPr>
          <w:rFonts w:cs="Arial"/>
          <w:sz w:val="24"/>
          <w:szCs w:val="24"/>
          <w:lang w:val="en-GB"/>
        </w:rPr>
        <w:t>be sent to ComCom for approval</w:t>
      </w:r>
      <w:r w:rsidR="003615A2" w:rsidRPr="00384D6A">
        <w:rPr>
          <w:lang w:val="en-US"/>
        </w:rPr>
        <w:t xml:space="preserve"> </w:t>
      </w:r>
      <w:r w:rsidR="003615A2" w:rsidRPr="00384D6A">
        <w:rPr>
          <w:rFonts w:cs="Arial"/>
          <w:sz w:val="24"/>
          <w:szCs w:val="24"/>
          <w:lang w:val="en-GB"/>
        </w:rPr>
        <w:t>and subsequent publication on its website</w:t>
      </w:r>
      <w:r w:rsidR="0050009A" w:rsidRPr="00384D6A">
        <w:rPr>
          <w:rFonts w:cs="Arial"/>
          <w:sz w:val="24"/>
          <w:szCs w:val="24"/>
          <w:lang w:val="en-GB"/>
        </w:rPr>
        <w:t xml:space="preserve"> within 90 days</w:t>
      </w:r>
      <w:r w:rsidR="004267C5" w:rsidRPr="00384D6A">
        <w:rPr>
          <w:lang w:val="en-US"/>
        </w:rPr>
        <w:t xml:space="preserve"> </w:t>
      </w:r>
      <w:r w:rsidR="004267C5" w:rsidRPr="00384D6A">
        <w:rPr>
          <w:rFonts w:cs="Arial"/>
          <w:sz w:val="24"/>
          <w:szCs w:val="24"/>
          <w:lang w:val="en-GB"/>
        </w:rPr>
        <w:t>from the entry into force of the final SMP decision.</w:t>
      </w:r>
      <w:r w:rsidR="0050009A" w:rsidRPr="00384D6A">
        <w:rPr>
          <w:rFonts w:cs="Arial"/>
          <w:sz w:val="24"/>
          <w:szCs w:val="24"/>
          <w:lang w:val="en-GB"/>
        </w:rPr>
        <w:t xml:space="preserve"> </w:t>
      </w:r>
      <w:r w:rsidR="00371B35" w:rsidRPr="00384D6A">
        <w:rPr>
          <w:rFonts w:cs="Arial"/>
          <w:sz w:val="24"/>
          <w:szCs w:val="24"/>
          <w:lang w:val="en-GB"/>
        </w:rPr>
        <w:t>Full reference offer just in case of reasonable demand.</w:t>
      </w:r>
    </w:p>
    <w:bookmarkEnd w:id="361"/>
    <w:p w14:paraId="42A7E6AC" w14:textId="2E025D38" w:rsidR="00193A29" w:rsidRPr="00384D6A" w:rsidRDefault="007354E3" w:rsidP="002101AF">
      <w:pPr>
        <w:ind w:left="720"/>
        <w:contextualSpacing/>
        <w:jc w:val="both"/>
        <w:rPr>
          <w:rFonts w:cs="Arial"/>
          <w:sz w:val="24"/>
          <w:szCs w:val="24"/>
          <w:lang w:val="en-GB"/>
        </w:rPr>
      </w:pPr>
      <w:r w:rsidRPr="00384D6A">
        <w:rPr>
          <w:rFonts w:cs="Arial"/>
          <w:sz w:val="24"/>
          <w:szCs w:val="24"/>
          <w:lang w:val="en-GB"/>
        </w:rPr>
        <w:t>Access-seeking</w:t>
      </w:r>
      <w:r w:rsidR="00193A29" w:rsidRPr="00384D6A">
        <w:rPr>
          <w:rFonts w:cs="Arial"/>
          <w:sz w:val="24"/>
          <w:szCs w:val="24"/>
          <w:lang w:val="en-GB"/>
        </w:rPr>
        <w:t xml:space="preserve"> operators will not be obliged to pay additional costs, which are not necessary for providing the requested services</w:t>
      </w:r>
      <w:r w:rsidR="00580732" w:rsidRPr="00384D6A">
        <w:rPr>
          <w:rFonts w:cs="Arial"/>
          <w:sz w:val="24"/>
          <w:szCs w:val="24"/>
          <w:lang w:val="en-GB"/>
        </w:rPr>
        <w:t>;</w:t>
      </w:r>
    </w:p>
    <w:p w14:paraId="627FD5E3" w14:textId="30A6C18A" w:rsidR="009F6BA9" w:rsidRPr="00384D6A" w:rsidRDefault="009F6BA9" w:rsidP="009F6BA9">
      <w:pPr>
        <w:numPr>
          <w:ilvl w:val="0"/>
          <w:numId w:val="4"/>
        </w:numPr>
        <w:contextualSpacing/>
        <w:jc w:val="both"/>
        <w:rPr>
          <w:rFonts w:eastAsia="Times New Roman" w:cs="Arial"/>
          <w:sz w:val="24"/>
          <w:szCs w:val="24"/>
          <w:lang w:val="en-GB"/>
        </w:rPr>
      </w:pPr>
      <w:r w:rsidRPr="00384D6A">
        <w:rPr>
          <w:rFonts w:eastAsia="Times New Roman" w:cs="Arial"/>
          <w:sz w:val="24"/>
          <w:szCs w:val="24"/>
          <w:lang w:val="en-GB"/>
        </w:rPr>
        <w:t>In case of alteration of network elements or services included in a reference offer, notify any change in the reference offer to ComCom for approval</w:t>
      </w:r>
      <w:r w:rsidRPr="00384D6A">
        <w:rPr>
          <w:rFonts w:eastAsia="Times New Roman"/>
          <w:lang w:val="en-US"/>
        </w:rPr>
        <w:t xml:space="preserve"> </w:t>
      </w:r>
      <w:r w:rsidRPr="00384D6A">
        <w:rPr>
          <w:rFonts w:eastAsia="Times New Roman" w:cs="Arial"/>
          <w:sz w:val="24"/>
          <w:szCs w:val="24"/>
          <w:lang w:val="en-GB"/>
        </w:rPr>
        <w:t>and subsequent publication on its website. Where such amendment concerns the launch of a new retail service or of features, the SMP operator may only start offering its new service or service with new features 30 days after the publication of the amendment of the reference offer</w:t>
      </w:r>
      <w:r w:rsidR="00470576" w:rsidRPr="00384D6A">
        <w:rPr>
          <w:rFonts w:eastAsia="Times New Roman" w:cs="Arial"/>
          <w:sz w:val="24"/>
          <w:szCs w:val="24"/>
          <w:lang w:val="en-GB"/>
        </w:rPr>
        <w:t>;</w:t>
      </w:r>
    </w:p>
    <w:p w14:paraId="16A2ED6D" w14:textId="4DF498DA" w:rsidR="008D0488" w:rsidRPr="00BC1ABD" w:rsidRDefault="007354E3">
      <w:pPr>
        <w:numPr>
          <w:ilvl w:val="0"/>
          <w:numId w:val="4"/>
        </w:numPr>
        <w:contextualSpacing/>
        <w:jc w:val="both"/>
        <w:rPr>
          <w:rFonts w:cs="Arial"/>
          <w:sz w:val="24"/>
          <w:szCs w:val="24"/>
          <w:lang w:val="en-GB"/>
        </w:rPr>
      </w:pPr>
      <w:r w:rsidRPr="00384D6A">
        <w:rPr>
          <w:rFonts w:cs="Arial"/>
          <w:sz w:val="24"/>
          <w:szCs w:val="24"/>
          <w:lang w:val="en-GB"/>
        </w:rPr>
        <w:t>T</w:t>
      </w:r>
      <w:r w:rsidR="00244AFE" w:rsidRPr="00384D6A">
        <w:rPr>
          <w:rFonts w:cs="Arial"/>
          <w:sz w:val="24"/>
          <w:szCs w:val="24"/>
          <w:lang w:val="en-GB"/>
        </w:rPr>
        <w:t xml:space="preserve">o ensure that the reference offer is broken down in detail in accordance with the needs of the market </w:t>
      </w:r>
      <w:r w:rsidR="00187750" w:rsidRPr="00384D6A">
        <w:rPr>
          <w:rFonts w:cs="Arial"/>
          <w:sz w:val="24"/>
          <w:szCs w:val="24"/>
          <w:lang w:val="en-GB"/>
        </w:rPr>
        <w:t xml:space="preserve">and the needs of implementing imposed regulatory obligations </w:t>
      </w:r>
      <w:r w:rsidR="00244AFE" w:rsidRPr="00384D6A">
        <w:rPr>
          <w:rFonts w:cs="Arial"/>
          <w:sz w:val="24"/>
          <w:szCs w:val="24"/>
          <w:lang w:val="en-GB"/>
        </w:rPr>
        <w:t>and that</w:t>
      </w:r>
      <w:r w:rsidR="00244AFE" w:rsidRPr="00BC1ABD">
        <w:rPr>
          <w:rFonts w:cs="Arial"/>
          <w:sz w:val="24"/>
          <w:szCs w:val="24"/>
          <w:lang w:val="en-GB"/>
        </w:rPr>
        <w:t xml:space="preserve"> it contains a detailed description of all services, technical characteristics, associated terms, conditions and prices of services</w:t>
      </w:r>
      <w:r w:rsidR="008D0488" w:rsidRPr="00BC1ABD">
        <w:rPr>
          <w:rFonts w:cs="Arial"/>
          <w:sz w:val="24"/>
          <w:szCs w:val="24"/>
          <w:lang w:val="en-GB"/>
        </w:rPr>
        <w:t xml:space="preserve"> (minimum level of the content of the reference offer is defined below)</w:t>
      </w:r>
      <w:r w:rsidR="00580732">
        <w:rPr>
          <w:rFonts w:cs="Arial"/>
          <w:sz w:val="24"/>
          <w:szCs w:val="24"/>
          <w:lang w:val="en-GB"/>
        </w:rPr>
        <w:t>;</w:t>
      </w:r>
    </w:p>
    <w:p w14:paraId="037B1F4E" w14:textId="1396B09E" w:rsidR="008D0488" w:rsidRPr="00BC1ABD" w:rsidRDefault="007354E3">
      <w:pPr>
        <w:numPr>
          <w:ilvl w:val="0"/>
          <w:numId w:val="4"/>
        </w:numPr>
        <w:contextualSpacing/>
        <w:jc w:val="both"/>
        <w:rPr>
          <w:rFonts w:cs="Arial"/>
          <w:sz w:val="24"/>
          <w:szCs w:val="24"/>
          <w:lang w:val="en-GB"/>
        </w:rPr>
      </w:pPr>
      <w:r w:rsidRPr="00BC1ABD">
        <w:rPr>
          <w:rFonts w:cs="Arial"/>
          <w:sz w:val="24"/>
          <w:szCs w:val="24"/>
          <w:lang w:val="en-GB"/>
        </w:rPr>
        <w:t>P</w:t>
      </w:r>
      <w:r w:rsidR="00460CD8" w:rsidRPr="00BC1ABD">
        <w:rPr>
          <w:rFonts w:cs="Arial"/>
          <w:sz w:val="24"/>
          <w:szCs w:val="24"/>
          <w:lang w:val="en-GB"/>
        </w:rPr>
        <w:t xml:space="preserve">rovide transparent data </w:t>
      </w:r>
      <w:r w:rsidR="008D0488" w:rsidRPr="00BC1ABD">
        <w:rPr>
          <w:rFonts w:cs="Arial"/>
          <w:sz w:val="24"/>
          <w:szCs w:val="24"/>
          <w:lang w:val="en-GB"/>
        </w:rPr>
        <w:t xml:space="preserve">to ComCom and all access seekers </w:t>
      </w:r>
      <w:r w:rsidR="00460CD8" w:rsidRPr="00BC1ABD">
        <w:rPr>
          <w:rFonts w:cs="Arial"/>
          <w:sz w:val="24"/>
          <w:szCs w:val="24"/>
          <w:lang w:val="en-GB"/>
        </w:rPr>
        <w:t>through</w:t>
      </w:r>
      <w:r w:rsidR="008D0488" w:rsidRPr="00BC1ABD">
        <w:rPr>
          <w:rFonts w:cs="Arial"/>
          <w:sz w:val="24"/>
          <w:szCs w:val="24"/>
          <w:lang w:val="en-GB"/>
        </w:rPr>
        <w:t xml:space="preserve"> access to operational support systems or similar software systems necessary to ensure fair retail market competition, with which all the performance of </w:t>
      </w:r>
      <w:r w:rsidR="00A01B91">
        <w:rPr>
          <w:rFonts w:cs="Arial"/>
          <w:sz w:val="24"/>
          <w:szCs w:val="24"/>
          <w:lang w:val="en-GB"/>
        </w:rPr>
        <w:t xml:space="preserve">the </w:t>
      </w:r>
      <w:r w:rsidR="008D0488" w:rsidRPr="00BC1ABD">
        <w:rPr>
          <w:rFonts w:cs="Arial"/>
          <w:sz w:val="24"/>
          <w:szCs w:val="24"/>
          <w:lang w:val="en-GB"/>
        </w:rPr>
        <w:t>SMP operator related to the provision of regulated services, could be monitored</w:t>
      </w:r>
      <w:r w:rsidR="00580732">
        <w:rPr>
          <w:rFonts w:cs="Arial"/>
          <w:sz w:val="24"/>
          <w:szCs w:val="24"/>
          <w:lang w:val="en-GB"/>
        </w:rPr>
        <w:t>,</w:t>
      </w:r>
    </w:p>
    <w:p w14:paraId="256CA95C" w14:textId="77777777" w:rsidR="00A27647" w:rsidRPr="00BC1ABD" w:rsidRDefault="00A27647" w:rsidP="00A27647">
      <w:pPr>
        <w:contextualSpacing/>
        <w:rPr>
          <w:rFonts w:cs="Arial"/>
          <w:sz w:val="24"/>
          <w:szCs w:val="24"/>
          <w:lang w:val="en-GB"/>
        </w:rPr>
      </w:pPr>
    </w:p>
    <w:p w14:paraId="54AA06D6" w14:textId="77777777" w:rsidR="00A27647" w:rsidRPr="00384D6A" w:rsidRDefault="002F05D0" w:rsidP="00A27647">
      <w:pPr>
        <w:contextualSpacing/>
        <w:rPr>
          <w:rFonts w:cs="Arial"/>
          <w:sz w:val="24"/>
          <w:szCs w:val="24"/>
          <w:u w:val="single"/>
          <w:lang w:val="en-GB"/>
        </w:rPr>
      </w:pPr>
      <w:r w:rsidRPr="00384D6A">
        <w:rPr>
          <w:rFonts w:cs="Arial"/>
          <w:sz w:val="24"/>
          <w:szCs w:val="24"/>
          <w:u w:val="single"/>
          <w:lang w:val="en-GB"/>
        </w:rPr>
        <w:t>Cluster</w:t>
      </w:r>
      <w:r w:rsidR="00D30EC7" w:rsidRPr="00384D6A">
        <w:rPr>
          <w:rFonts w:cs="Arial"/>
          <w:sz w:val="24"/>
          <w:szCs w:val="24"/>
          <w:u w:val="single"/>
          <w:lang w:val="en-GB"/>
        </w:rPr>
        <w:t xml:space="preserve"> </w:t>
      </w:r>
      <w:r w:rsidR="00A27647" w:rsidRPr="00384D6A">
        <w:rPr>
          <w:rFonts w:cs="Arial"/>
          <w:sz w:val="24"/>
          <w:szCs w:val="24"/>
          <w:u w:val="single"/>
          <w:lang w:val="en-GB"/>
        </w:rPr>
        <w:t>II</w:t>
      </w:r>
    </w:p>
    <w:p w14:paraId="02A31A36" w14:textId="77777777" w:rsidR="008A3F8C" w:rsidRPr="00384D6A" w:rsidRDefault="00787D4B" w:rsidP="008A3F8C">
      <w:pPr>
        <w:numPr>
          <w:ilvl w:val="0"/>
          <w:numId w:val="4"/>
        </w:numPr>
        <w:ind w:hanging="357"/>
        <w:contextualSpacing/>
        <w:jc w:val="both"/>
        <w:rPr>
          <w:rFonts w:cs="Arial"/>
          <w:sz w:val="24"/>
          <w:szCs w:val="24"/>
          <w:lang w:val="en-GB"/>
        </w:rPr>
      </w:pPr>
      <w:r w:rsidRPr="00384D6A">
        <w:rPr>
          <w:rFonts w:cs="Arial"/>
          <w:sz w:val="24"/>
          <w:szCs w:val="24"/>
          <w:lang w:val="en-GB"/>
        </w:rPr>
        <w:t>Within 90 days from the entry into force of the final SMP decision, to send a reference offer for the service of wholesale central access (bitstream access)</w:t>
      </w:r>
      <w:r w:rsidR="00D401B7" w:rsidRPr="00384D6A">
        <w:rPr>
          <w:rStyle w:val="FootnoteReference"/>
          <w:rFonts w:cs="Arial"/>
          <w:sz w:val="24"/>
          <w:szCs w:val="24"/>
          <w:lang w:val="en-GB"/>
        </w:rPr>
        <w:footnoteReference w:id="111"/>
      </w:r>
      <w:r w:rsidRPr="00384D6A">
        <w:rPr>
          <w:rFonts w:cs="Arial"/>
          <w:sz w:val="24"/>
          <w:szCs w:val="24"/>
          <w:lang w:val="en-GB"/>
        </w:rPr>
        <w:t xml:space="preserve"> to ComCom for </w:t>
      </w:r>
      <w:r w:rsidR="008A3F8C" w:rsidRPr="00384D6A">
        <w:rPr>
          <w:rFonts w:cs="Arial"/>
          <w:sz w:val="24"/>
          <w:szCs w:val="24"/>
          <w:lang w:val="en-GB"/>
        </w:rPr>
        <w:t>approval and subsequent publication on its website. Reference offer will contain:</w:t>
      </w:r>
    </w:p>
    <w:p w14:paraId="47B29B2C" w14:textId="3387FA89" w:rsidR="00FD0C42" w:rsidRPr="00384D6A" w:rsidRDefault="00FD0C42" w:rsidP="008A3F8C">
      <w:pPr>
        <w:numPr>
          <w:ilvl w:val="1"/>
          <w:numId w:val="4"/>
        </w:numPr>
        <w:contextualSpacing/>
        <w:jc w:val="both"/>
        <w:rPr>
          <w:rFonts w:cs="Arial"/>
          <w:sz w:val="24"/>
          <w:szCs w:val="24"/>
          <w:lang w:val="en-GB"/>
        </w:rPr>
      </w:pPr>
      <w:r w:rsidRPr="00384D6A">
        <w:rPr>
          <w:rFonts w:cs="Arial"/>
          <w:sz w:val="24"/>
          <w:szCs w:val="24"/>
          <w:lang w:val="en-GB"/>
        </w:rPr>
        <w:t>All main access services in accordance with the access obligation (see Chapter 8.1) and market definition (see Chapters 4.1 and 4.3);</w:t>
      </w:r>
      <w:r w:rsidRPr="00384D6A" w:rsidDel="00FD0C42">
        <w:rPr>
          <w:rFonts w:cs="Arial"/>
          <w:sz w:val="24"/>
          <w:szCs w:val="24"/>
          <w:lang w:val="en-GB"/>
        </w:rPr>
        <w:t xml:space="preserve"> </w:t>
      </w:r>
    </w:p>
    <w:p w14:paraId="29F7B789" w14:textId="77777777" w:rsidR="00FD0C42" w:rsidRPr="00384D6A" w:rsidRDefault="00FD0C42" w:rsidP="00FD0C42">
      <w:pPr>
        <w:numPr>
          <w:ilvl w:val="1"/>
          <w:numId w:val="4"/>
        </w:numPr>
        <w:contextualSpacing/>
        <w:jc w:val="both"/>
        <w:rPr>
          <w:rFonts w:cs="Arial"/>
          <w:sz w:val="24"/>
          <w:szCs w:val="24"/>
          <w:lang w:val="en-GB"/>
        </w:rPr>
      </w:pPr>
      <w:r w:rsidRPr="00384D6A">
        <w:rPr>
          <w:rFonts w:cs="Arial"/>
          <w:sz w:val="24"/>
          <w:szCs w:val="24"/>
          <w:lang w:val="en-GB"/>
        </w:rPr>
        <w:t>Separate virtual channel services defined in chapter 8.1:</w:t>
      </w:r>
    </w:p>
    <w:p w14:paraId="1F48C05D" w14:textId="774D41BE" w:rsidR="00FD0C42" w:rsidRPr="00384D6A" w:rsidRDefault="00095DE1" w:rsidP="00FD0C42">
      <w:pPr>
        <w:numPr>
          <w:ilvl w:val="1"/>
          <w:numId w:val="4"/>
        </w:numPr>
        <w:contextualSpacing/>
        <w:jc w:val="both"/>
        <w:rPr>
          <w:rFonts w:cs="Arial"/>
          <w:sz w:val="24"/>
          <w:szCs w:val="24"/>
          <w:lang w:val="en-GB"/>
        </w:rPr>
      </w:pPr>
      <w:r w:rsidRPr="00384D6A">
        <w:rPr>
          <w:rFonts w:cs="Arial"/>
          <w:sz w:val="24"/>
          <w:szCs w:val="24"/>
          <w:lang w:val="en-GB"/>
        </w:rPr>
        <w:t>Ancill</w:t>
      </w:r>
      <w:r w:rsidR="00FD0C42" w:rsidRPr="00384D6A">
        <w:rPr>
          <w:rFonts w:cs="Arial"/>
          <w:sz w:val="24"/>
          <w:szCs w:val="24"/>
          <w:lang w:val="en-GB"/>
        </w:rPr>
        <w:t>ary services defined in chapter 8.1.</w:t>
      </w:r>
    </w:p>
    <w:p w14:paraId="45086F19" w14:textId="77777777" w:rsidR="00FD0C42" w:rsidRPr="00384D6A" w:rsidRDefault="00FD0C42" w:rsidP="00FD0C42">
      <w:pPr>
        <w:ind w:left="720"/>
        <w:contextualSpacing/>
        <w:jc w:val="both"/>
        <w:rPr>
          <w:rFonts w:cs="Arial"/>
          <w:sz w:val="24"/>
          <w:szCs w:val="24"/>
          <w:lang w:val="en-GB"/>
        </w:rPr>
      </w:pPr>
      <w:r w:rsidRPr="00384D6A">
        <w:rPr>
          <w:rFonts w:cs="Arial"/>
          <w:sz w:val="24"/>
          <w:szCs w:val="24"/>
          <w:lang w:val="en-GB"/>
        </w:rPr>
        <w:t>Access-seeking operators will not be obliged to pay additional costs, which are not necessary for providing the requested services;</w:t>
      </w:r>
    </w:p>
    <w:p w14:paraId="435626AB" w14:textId="22C4F369" w:rsidR="00880A5C" w:rsidRPr="00603F78" w:rsidRDefault="00FD0C42" w:rsidP="00880A5C">
      <w:pPr>
        <w:numPr>
          <w:ilvl w:val="0"/>
          <w:numId w:val="4"/>
        </w:numPr>
        <w:contextualSpacing/>
        <w:jc w:val="both"/>
        <w:rPr>
          <w:rFonts w:cs="Arial"/>
          <w:sz w:val="24"/>
          <w:szCs w:val="24"/>
          <w:highlight w:val="yellow"/>
          <w:lang w:val="en-GB"/>
        </w:rPr>
      </w:pPr>
      <w:r w:rsidRPr="00384D6A">
        <w:rPr>
          <w:rFonts w:cs="Arial"/>
          <w:sz w:val="24"/>
          <w:szCs w:val="24"/>
          <w:lang w:val="en-GB"/>
        </w:rPr>
        <w:t>In the case of reasonable demand</w:t>
      </w:r>
      <w:r w:rsidRPr="00384D6A">
        <w:rPr>
          <w:rFonts w:cs="Arial"/>
          <w:sz w:val="24"/>
          <w:szCs w:val="24"/>
          <w:vertAlign w:val="superscript"/>
          <w:lang w:val="en-GB"/>
        </w:rPr>
        <w:footnoteReference w:id="112"/>
      </w:r>
      <w:r w:rsidRPr="00384D6A">
        <w:rPr>
          <w:rFonts w:cs="Arial"/>
          <w:sz w:val="24"/>
          <w:szCs w:val="24"/>
          <w:lang w:val="en-GB"/>
        </w:rPr>
        <w:t xml:space="preserve">, </w:t>
      </w:r>
      <w:r w:rsidR="00880A5C" w:rsidRPr="00384D6A">
        <w:rPr>
          <w:rFonts w:cs="Arial"/>
          <w:sz w:val="24"/>
          <w:szCs w:val="24"/>
          <w:lang w:val="en-GB"/>
        </w:rPr>
        <w:t xml:space="preserve">to send a reference offer for the </w:t>
      </w:r>
      <w:r w:rsidR="00880A5C" w:rsidRPr="00603F78">
        <w:rPr>
          <w:rFonts w:cs="Arial"/>
          <w:sz w:val="24"/>
          <w:szCs w:val="24"/>
          <w:highlight w:val="yellow"/>
          <w:lang w:val="en-GB"/>
        </w:rPr>
        <w:t xml:space="preserve">wholesale </w:t>
      </w:r>
      <w:r w:rsidR="0028770C" w:rsidRPr="00603F78">
        <w:rPr>
          <w:rFonts w:cs="Arial"/>
          <w:sz w:val="24"/>
          <w:szCs w:val="24"/>
          <w:highlight w:val="yellow"/>
          <w:lang w:val="en-GB"/>
        </w:rPr>
        <w:t>service of VULA</w:t>
      </w:r>
      <w:r w:rsidR="0028770C">
        <w:rPr>
          <w:rFonts w:cs="Arial"/>
          <w:sz w:val="24"/>
          <w:szCs w:val="24"/>
          <w:lang w:val="en-GB"/>
        </w:rPr>
        <w:t xml:space="preserve"> </w:t>
      </w:r>
      <w:r w:rsidR="00880A5C" w:rsidRPr="00384D6A">
        <w:rPr>
          <w:rFonts w:cs="Arial"/>
          <w:sz w:val="24"/>
          <w:szCs w:val="24"/>
          <w:lang w:val="en-GB"/>
        </w:rPr>
        <w:t>to ComCom for approval in 90 days from the official request, for approval and subsequent publication on its website.</w:t>
      </w:r>
      <w:r w:rsidR="000B7834" w:rsidRPr="000B7834">
        <w:t xml:space="preserve"> </w:t>
      </w:r>
      <w:r w:rsidR="000B7834" w:rsidRPr="00603F78">
        <w:rPr>
          <w:rFonts w:cs="Arial"/>
          <w:sz w:val="24"/>
          <w:szCs w:val="24"/>
          <w:highlight w:val="yellow"/>
          <w:lang w:val="en-GB"/>
        </w:rPr>
        <w:t>Reference offer will contain:</w:t>
      </w:r>
    </w:p>
    <w:p w14:paraId="236903DB" w14:textId="336EE4B6" w:rsidR="008718A5" w:rsidRPr="00384D6A" w:rsidRDefault="000B7834" w:rsidP="006C273F">
      <w:pPr>
        <w:numPr>
          <w:ilvl w:val="1"/>
          <w:numId w:val="4"/>
        </w:numPr>
        <w:ind w:hanging="357"/>
        <w:contextualSpacing/>
        <w:jc w:val="both"/>
        <w:rPr>
          <w:rFonts w:cs="Arial"/>
          <w:sz w:val="24"/>
          <w:szCs w:val="24"/>
          <w:lang w:val="en-GB"/>
        </w:rPr>
      </w:pPr>
      <w:r w:rsidRPr="00603F78">
        <w:rPr>
          <w:rFonts w:cs="Arial"/>
          <w:sz w:val="24"/>
          <w:szCs w:val="24"/>
          <w:highlight w:val="yellow"/>
          <w:lang w:val="en-GB"/>
        </w:rPr>
        <w:t>VULA service</w:t>
      </w:r>
      <w:r w:rsidR="00FD0C42" w:rsidRPr="00384D6A">
        <w:rPr>
          <w:rFonts w:cs="Arial"/>
          <w:sz w:val="24"/>
          <w:szCs w:val="24"/>
          <w:lang w:val="en-GB"/>
        </w:rPr>
        <w:t>;</w:t>
      </w:r>
      <w:r w:rsidR="00FD0C42" w:rsidRPr="00384D6A" w:rsidDel="00FD0C42">
        <w:rPr>
          <w:rFonts w:cs="Arial"/>
          <w:sz w:val="24"/>
          <w:szCs w:val="24"/>
          <w:lang w:val="en-GB"/>
        </w:rPr>
        <w:t xml:space="preserve"> </w:t>
      </w:r>
    </w:p>
    <w:p w14:paraId="0EC5B25E" w14:textId="0C846C72" w:rsidR="008718A5" w:rsidRPr="00384D6A" w:rsidRDefault="007354E3" w:rsidP="00371B35">
      <w:pPr>
        <w:numPr>
          <w:ilvl w:val="1"/>
          <w:numId w:val="4"/>
        </w:numPr>
        <w:ind w:hanging="357"/>
        <w:contextualSpacing/>
        <w:jc w:val="both"/>
        <w:rPr>
          <w:rFonts w:cs="Arial"/>
          <w:sz w:val="24"/>
          <w:szCs w:val="24"/>
          <w:lang w:val="en-GB"/>
        </w:rPr>
      </w:pPr>
      <w:r w:rsidRPr="00384D6A">
        <w:rPr>
          <w:rFonts w:cs="Arial"/>
          <w:sz w:val="24"/>
          <w:szCs w:val="24"/>
          <w:lang w:val="en-GB"/>
        </w:rPr>
        <w:t>A</w:t>
      </w:r>
      <w:r w:rsidR="008718A5" w:rsidRPr="00384D6A">
        <w:rPr>
          <w:rFonts w:cs="Arial"/>
          <w:sz w:val="24"/>
          <w:szCs w:val="24"/>
          <w:lang w:val="en-GB"/>
        </w:rPr>
        <w:t xml:space="preserve">dditional access services defined in chapter </w:t>
      </w:r>
      <w:r w:rsidR="00D34D37" w:rsidRPr="00384D6A">
        <w:rPr>
          <w:rFonts w:cs="Arial"/>
          <w:sz w:val="24"/>
          <w:szCs w:val="24"/>
          <w:lang w:val="en-GB"/>
        </w:rPr>
        <w:t>8</w:t>
      </w:r>
      <w:r w:rsidR="008718A5" w:rsidRPr="00384D6A">
        <w:rPr>
          <w:rFonts w:cs="Arial"/>
          <w:sz w:val="24"/>
          <w:szCs w:val="24"/>
          <w:lang w:val="en-GB"/>
        </w:rPr>
        <w:t>.1. (i.e. separate virtual channels)</w:t>
      </w:r>
      <w:r w:rsidR="00FD0C42" w:rsidRPr="00384D6A">
        <w:rPr>
          <w:rFonts w:cs="Arial"/>
          <w:sz w:val="24"/>
          <w:szCs w:val="24"/>
          <w:lang w:val="en-GB"/>
        </w:rPr>
        <w:t>;</w:t>
      </w:r>
    </w:p>
    <w:p w14:paraId="76C98EE2" w14:textId="78A2BAF9" w:rsidR="00631913" w:rsidRPr="00384D6A" w:rsidRDefault="00371B35" w:rsidP="00371B35">
      <w:pPr>
        <w:numPr>
          <w:ilvl w:val="1"/>
          <w:numId w:val="4"/>
        </w:numPr>
        <w:ind w:hanging="357"/>
        <w:contextualSpacing/>
        <w:jc w:val="both"/>
        <w:rPr>
          <w:rFonts w:cs="Arial"/>
          <w:sz w:val="24"/>
          <w:szCs w:val="24"/>
          <w:lang w:val="en-GB"/>
        </w:rPr>
      </w:pPr>
      <w:r w:rsidRPr="00384D6A">
        <w:rPr>
          <w:rFonts w:cs="Arial"/>
          <w:sz w:val="24"/>
          <w:szCs w:val="24"/>
          <w:lang w:val="en-GB"/>
        </w:rPr>
        <w:t>Ancill</w:t>
      </w:r>
      <w:r w:rsidR="00631913" w:rsidRPr="00384D6A">
        <w:rPr>
          <w:rFonts w:cs="Arial"/>
          <w:sz w:val="24"/>
          <w:szCs w:val="24"/>
          <w:lang w:val="en-GB"/>
        </w:rPr>
        <w:t>ary services defined in chapter 8.1</w:t>
      </w:r>
    </w:p>
    <w:p w14:paraId="1FDC7C41" w14:textId="4922D6EB" w:rsidR="0050009A" w:rsidRPr="00384D6A" w:rsidRDefault="0050009A" w:rsidP="00371B35">
      <w:pPr>
        <w:ind w:left="360"/>
        <w:contextualSpacing/>
        <w:jc w:val="both"/>
        <w:rPr>
          <w:rFonts w:cs="Arial"/>
          <w:sz w:val="24"/>
          <w:szCs w:val="24"/>
          <w:lang w:val="en-GB"/>
        </w:rPr>
      </w:pPr>
      <w:r w:rsidRPr="00384D6A">
        <w:rPr>
          <w:rFonts w:cs="Arial"/>
          <w:sz w:val="24"/>
          <w:szCs w:val="24"/>
          <w:lang w:val="en-GB"/>
        </w:rPr>
        <w:t xml:space="preserve">Note: The core elements of a reference offer for the </w:t>
      </w:r>
      <w:r w:rsidR="000B7834" w:rsidRPr="00603F78">
        <w:rPr>
          <w:rFonts w:cs="Arial"/>
          <w:sz w:val="24"/>
          <w:szCs w:val="24"/>
          <w:highlight w:val="yellow"/>
          <w:lang w:val="en-GB"/>
        </w:rPr>
        <w:t xml:space="preserve">wholesale </w:t>
      </w:r>
      <w:r w:rsidRPr="00603F78">
        <w:rPr>
          <w:rFonts w:cs="Arial"/>
          <w:sz w:val="24"/>
          <w:szCs w:val="24"/>
          <w:highlight w:val="yellow"/>
          <w:lang w:val="en-GB"/>
        </w:rPr>
        <w:t xml:space="preserve">service of </w:t>
      </w:r>
      <w:r w:rsidR="000B7834" w:rsidRPr="00603F78">
        <w:rPr>
          <w:rFonts w:cs="Arial"/>
          <w:sz w:val="24"/>
          <w:szCs w:val="24"/>
          <w:highlight w:val="yellow"/>
          <w:lang w:val="en-GB"/>
        </w:rPr>
        <w:t>VULA</w:t>
      </w:r>
      <w:r w:rsidRPr="00384D6A">
        <w:rPr>
          <w:rFonts w:cs="Arial"/>
          <w:sz w:val="24"/>
          <w:szCs w:val="24"/>
          <w:lang w:val="en-GB"/>
        </w:rPr>
        <w:t xml:space="preserve"> (access points, features, pricing) </w:t>
      </w:r>
      <w:r w:rsidR="003615A2" w:rsidRPr="00384D6A">
        <w:rPr>
          <w:rFonts w:cs="Arial"/>
          <w:sz w:val="24"/>
          <w:szCs w:val="24"/>
          <w:lang w:val="en-GB"/>
        </w:rPr>
        <w:t>must be sent to ComCom for approval</w:t>
      </w:r>
      <w:r w:rsidR="003615A2" w:rsidRPr="00384D6A">
        <w:rPr>
          <w:lang w:val="en-US"/>
        </w:rPr>
        <w:t xml:space="preserve"> </w:t>
      </w:r>
      <w:r w:rsidR="003615A2" w:rsidRPr="00384D6A">
        <w:rPr>
          <w:rFonts w:cs="Arial"/>
          <w:sz w:val="24"/>
          <w:szCs w:val="24"/>
          <w:lang w:val="en-GB"/>
        </w:rPr>
        <w:t xml:space="preserve">and subsequent publication on its website </w:t>
      </w:r>
      <w:r w:rsidRPr="00384D6A">
        <w:rPr>
          <w:rFonts w:cs="Arial"/>
          <w:sz w:val="24"/>
          <w:szCs w:val="24"/>
          <w:lang w:val="en-GB"/>
        </w:rPr>
        <w:t>within 90 days</w:t>
      </w:r>
      <w:r w:rsidR="00371B35" w:rsidRPr="00384D6A">
        <w:rPr>
          <w:lang w:val="en-US"/>
        </w:rPr>
        <w:t xml:space="preserve"> </w:t>
      </w:r>
      <w:r w:rsidR="00371B35" w:rsidRPr="00384D6A">
        <w:rPr>
          <w:rFonts w:cs="Arial"/>
          <w:sz w:val="24"/>
          <w:szCs w:val="24"/>
          <w:lang w:val="en-GB"/>
        </w:rPr>
        <w:t>from the entry into force of the final SMP decision</w:t>
      </w:r>
      <w:r w:rsidRPr="00384D6A">
        <w:rPr>
          <w:rFonts w:cs="Arial"/>
          <w:sz w:val="24"/>
          <w:szCs w:val="24"/>
          <w:lang w:val="en-GB"/>
        </w:rPr>
        <w:t>. Full reference offer just in case of reasonable demand.</w:t>
      </w:r>
    </w:p>
    <w:p w14:paraId="4718FE9C" w14:textId="1B1EC31B" w:rsidR="002101AF" w:rsidRPr="00384D6A" w:rsidRDefault="002101AF" w:rsidP="00371B35">
      <w:pPr>
        <w:ind w:left="360"/>
        <w:contextualSpacing/>
        <w:jc w:val="both"/>
        <w:rPr>
          <w:rFonts w:cs="Arial"/>
          <w:sz w:val="24"/>
          <w:szCs w:val="24"/>
          <w:lang w:val="en-GB"/>
        </w:rPr>
      </w:pPr>
      <w:r w:rsidRPr="00384D6A">
        <w:rPr>
          <w:rFonts w:cs="Arial"/>
          <w:sz w:val="24"/>
          <w:szCs w:val="24"/>
          <w:lang w:val="en-GB"/>
        </w:rPr>
        <w:t>Access-seeking operators will not be obliged to pay additional costs, which are not necessary for providing the requested services;</w:t>
      </w:r>
    </w:p>
    <w:p w14:paraId="49699F58" w14:textId="77777777" w:rsidR="006F136D" w:rsidRPr="00384D6A" w:rsidRDefault="006F136D" w:rsidP="006F136D">
      <w:pPr>
        <w:numPr>
          <w:ilvl w:val="0"/>
          <w:numId w:val="4"/>
        </w:numPr>
        <w:contextualSpacing/>
        <w:jc w:val="both"/>
        <w:rPr>
          <w:rFonts w:eastAsia="Times New Roman" w:cs="Arial"/>
          <w:sz w:val="24"/>
          <w:szCs w:val="24"/>
          <w:lang w:val="en-GB"/>
        </w:rPr>
      </w:pPr>
      <w:r w:rsidRPr="00384D6A">
        <w:rPr>
          <w:rFonts w:eastAsia="Times New Roman" w:cs="Arial"/>
          <w:sz w:val="24"/>
          <w:szCs w:val="24"/>
          <w:lang w:val="en-GB"/>
        </w:rPr>
        <w:t>In case of alteration of network elements or services included in a reference offer, notify any change in the reference offer to ComCom for approval</w:t>
      </w:r>
      <w:r w:rsidRPr="00384D6A">
        <w:rPr>
          <w:rFonts w:eastAsia="Times New Roman"/>
          <w:lang w:val="en-US"/>
        </w:rPr>
        <w:t xml:space="preserve"> </w:t>
      </w:r>
      <w:r w:rsidRPr="00384D6A">
        <w:rPr>
          <w:rFonts w:eastAsia="Times New Roman" w:cs="Arial"/>
          <w:sz w:val="24"/>
          <w:szCs w:val="24"/>
          <w:lang w:val="en-GB"/>
        </w:rPr>
        <w:t>and subsequent publication on its website. Where such amendment concerns the launch of a new retail service or of features, the SMP operator may only start offering its new service or service with new features 30 days after the publication of the amendment of the reference offer;</w:t>
      </w:r>
    </w:p>
    <w:p w14:paraId="6030AC33" w14:textId="58F0570B" w:rsidR="003326A4" w:rsidRPr="00BC1ABD" w:rsidRDefault="007354E3">
      <w:pPr>
        <w:numPr>
          <w:ilvl w:val="0"/>
          <w:numId w:val="4"/>
        </w:numPr>
        <w:contextualSpacing/>
        <w:jc w:val="both"/>
        <w:rPr>
          <w:rFonts w:cs="Arial"/>
          <w:sz w:val="24"/>
          <w:szCs w:val="24"/>
          <w:lang w:val="en-GB"/>
        </w:rPr>
      </w:pPr>
      <w:r w:rsidRPr="00384D6A">
        <w:rPr>
          <w:rFonts w:cs="Arial"/>
          <w:sz w:val="24"/>
          <w:szCs w:val="24"/>
          <w:lang w:val="en-GB"/>
        </w:rPr>
        <w:t>T</w:t>
      </w:r>
      <w:r w:rsidR="003326A4" w:rsidRPr="00384D6A">
        <w:rPr>
          <w:rFonts w:cs="Arial"/>
          <w:sz w:val="24"/>
          <w:szCs w:val="24"/>
          <w:lang w:val="en-GB"/>
        </w:rPr>
        <w:t xml:space="preserve">o ensure that the reference offer is broken down in detail in accordance with the needs of the market and </w:t>
      </w:r>
      <w:r w:rsidR="00D30EC7" w:rsidRPr="00384D6A">
        <w:rPr>
          <w:rFonts w:cs="Arial"/>
          <w:sz w:val="24"/>
          <w:szCs w:val="24"/>
          <w:lang w:val="en-GB"/>
        </w:rPr>
        <w:t xml:space="preserve">the needs of implementing </w:t>
      </w:r>
      <w:r w:rsidR="00FD0C42" w:rsidRPr="00384D6A">
        <w:rPr>
          <w:rFonts w:cs="Arial"/>
          <w:sz w:val="24"/>
          <w:szCs w:val="24"/>
          <w:lang w:val="en-GB"/>
        </w:rPr>
        <w:t xml:space="preserve">the </w:t>
      </w:r>
      <w:r w:rsidR="00D30EC7" w:rsidRPr="00384D6A">
        <w:rPr>
          <w:rFonts w:cs="Arial"/>
          <w:sz w:val="24"/>
          <w:szCs w:val="24"/>
          <w:lang w:val="en-GB"/>
        </w:rPr>
        <w:t>imposed regulatory obligations and</w:t>
      </w:r>
      <w:r w:rsidR="00D30EC7" w:rsidRPr="00BC1ABD">
        <w:rPr>
          <w:rFonts w:cs="Arial"/>
          <w:sz w:val="24"/>
          <w:szCs w:val="24"/>
          <w:lang w:val="en-GB"/>
        </w:rPr>
        <w:t xml:space="preserve"> </w:t>
      </w:r>
      <w:r w:rsidR="003326A4" w:rsidRPr="00BC1ABD">
        <w:rPr>
          <w:rFonts w:cs="Arial"/>
          <w:sz w:val="24"/>
          <w:szCs w:val="24"/>
          <w:lang w:val="en-GB"/>
        </w:rPr>
        <w:t>that it contains a detailed description of all services, technical characteristics, associated terms, conditions and prices of services (</w:t>
      </w:r>
      <w:r w:rsidR="00FD0C42">
        <w:rPr>
          <w:rFonts w:cs="Arial"/>
          <w:sz w:val="24"/>
          <w:szCs w:val="24"/>
          <w:lang w:val="en-GB"/>
        </w:rPr>
        <w:t xml:space="preserve">the </w:t>
      </w:r>
      <w:r w:rsidR="003326A4" w:rsidRPr="00BC1ABD">
        <w:rPr>
          <w:rFonts w:cs="Arial"/>
          <w:sz w:val="24"/>
          <w:szCs w:val="24"/>
          <w:lang w:val="en-GB"/>
        </w:rPr>
        <w:t>minimum level of the content of the reference offer is defined below)</w:t>
      </w:r>
      <w:r w:rsidR="00FD0C42">
        <w:rPr>
          <w:rFonts w:cs="Arial"/>
          <w:sz w:val="24"/>
          <w:szCs w:val="24"/>
          <w:lang w:val="en-GB"/>
        </w:rPr>
        <w:t>;</w:t>
      </w:r>
    </w:p>
    <w:p w14:paraId="464B0502" w14:textId="470EB4D3" w:rsidR="003326A4" w:rsidRPr="00BC1ABD" w:rsidRDefault="007354E3">
      <w:pPr>
        <w:numPr>
          <w:ilvl w:val="0"/>
          <w:numId w:val="4"/>
        </w:numPr>
        <w:contextualSpacing/>
        <w:jc w:val="both"/>
        <w:rPr>
          <w:rFonts w:cs="Arial"/>
          <w:sz w:val="24"/>
          <w:szCs w:val="24"/>
          <w:lang w:val="en-GB"/>
        </w:rPr>
      </w:pPr>
      <w:r w:rsidRPr="00BC1ABD">
        <w:rPr>
          <w:rFonts w:cs="Arial"/>
          <w:sz w:val="24"/>
          <w:szCs w:val="24"/>
          <w:lang w:val="en-GB"/>
        </w:rPr>
        <w:t>P</w:t>
      </w:r>
      <w:r w:rsidR="003326A4" w:rsidRPr="00BC1ABD">
        <w:rPr>
          <w:rFonts w:cs="Arial"/>
          <w:sz w:val="24"/>
          <w:szCs w:val="24"/>
          <w:lang w:val="en-GB"/>
        </w:rPr>
        <w:t xml:space="preserve">rovide transparent data to ComCom and all access seekers through access to operational support systems or similar software systems necessary to ensure fair retail market competition, with which all the performance of </w:t>
      </w:r>
      <w:r w:rsidR="00FD0C42">
        <w:rPr>
          <w:rFonts w:cs="Arial"/>
          <w:sz w:val="24"/>
          <w:szCs w:val="24"/>
          <w:lang w:val="en-GB"/>
        </w:rPr>
        <w:t xml:space="preserve">the </w:t>
      </w:r>
      <w:r w:rsidR="003326A4" w:rsidRPr="00BC1ABD">
        <w:rPr>
          <w:rFonts w:cs="Arial"/>
          <w:sz w:val="24"/>
          <w:szCs w:val="24"/>
          <w:lang w:val="en-GB"/>
        </w:rPr>
        <w:t>SMP operator related to the provision of regulated services, could be monitored</w:t>
      </w:r>
      <w:r w:rsidR="00FD0C42">
        <w:rPr>
          <w:rFonts w:cs="Arial"/>
          <w:sz w:val="24"/>
          <w:szCs w:val="24"/>
          <w:lang w:val="en-GB"/>
        </w:rPr>
        <w:t>.</w:t>
      </w:r>
    </w:p>
    <w:p w14:paraId="06A81BA6" w14:textId="77777777" w:rsidR="00A74179" w:rsidRDefault="00A74179" w:rsidP="00A27647">
      <w:pPr>
        <w:contextualSpacing/>
        <w:rPr>
          <w:rFonts w:cs="Arial"/>
          <w:sz w:val="24"/>
          <w:szCs w:val="24"/>
          <w:u w:val="single"/>
          <w:lang w:val="en-GB"/>
        </w:rPr>
      </w:pPr>
    </w:p>
    <w:p w14:paraId="2EBB4327" w14:textId="32E7EE27" w:rsidR="00A27647" w:rsidRPr="00BC1ABD" w:rsidRDefault="002F05D0" w:rsidP="00A27647">
      <w:pPr>
        <w:contextualSpacing/>
        <w:rPr>
          <w:rFonts w:cs="Arial"/>
          <w:sz w:val="24"/>
          <w:szCs w:val="24"/>
          <w:u w:val="single"/>
          <w:lang w:val="en-GB"/>
        </w:rPr>
      </w:pPr>
      <w:r w:rsidRPr="00BC1ABD">
        <w:rPr>
          <w:rFonts w:cs="Arial"/>
          <w:sz w:val="24"/>
          <w:szCs w:val="24"/>
          <w:u w:val="single"/>
          <w:lang w:val="en-GB"/>
        </w:rPr>
        <w:t>Cluster</w:t>
      </w:r>
      <w:r w:rsidR="00427770" w:rsidRPr="00BC1ABD">
        <w:rPr>
          <w:rFonts w:cs="Arial"/>
          <w:sz w:val="24"/>
          <w:szCs w:val="24"/>
          <w:u w:val="single"/>
          <w:lang w:val="en-GB"/>
        </w:rPr>
        <w:t xml:space="preserve"> </w:t>
      </w:r>
      <w:r w:rsidR="00A27647" w:rsidRPr="00BC1ABD">
        <w:rPr>
          <w:rFonts w:cs="Arial"/>
          <w:sz w:val="24"/>
          <w:szCs w:val="24"/>
          <w:u w:val="single"/>
          <w:lang w:val="en-GB"/>
        </w:rPr>
        <w:t>III</w:t>
      </w:r>
    </w:p>
    <w:p w14:paraId="61619D05" w14:textId="298D1564" w:rsidR="00FD0C42" w:rsidRPr="00DE7F37" w:rsidRDefault="00FD0C42" w:rsidP="00DE7F37">
      <w:pPr>
        <w:pStyle w:val="NormalWeb"/>
        <w:numPr>
          <w:ilvl w:val="0"/>
          <w:numId w:val="2"/>
        </w:numPr>
        <w:spacing w:after="0"/>
        <w:jc w:val="both"/>
        <w:rPr>
          <w:rFonts w:ascii="Calibri" w:hAnsi="Calibri" w:cs="Calibri"/>
          <w:lang w:val="en-GB"/>
        </w:rPr>
      </w:pPr>
      <w:r>
        <w:rPr>
          <w:rFonts w:ascii="Calibri" w:hAnsi="Calibri" w:cs="Calibri"/>
          <w:lang w:val="en-GB"/>
        </w:rPr>
        <w:t>The r</w:t>
      </w:r>
      <w:r w:rsidRPr="00BC1ABD">
        <w:rPr>
          <w:rFonts w:ascii="Calibri" w:hAnsi="Calibri" w:cs="Calibri"/>
          <w:lang w:val="en-GB"/>
        </w:rPr>
        <w:t xml:space="preserve">egulatory obligation of </w:t>
      </w:r>
      <w:r>
        <w:rPr>
          <w:rFonts w:ascii="Calibri" w:hAnsi="Calibri" w:cs="Calibri"/>
          <w:lang w:val="en-GB"/>
        </w:rPr>
        <w:t>transparency</w:t>
      </w:r>
      <w:r w:rsidRPr="00BC1ABD">
        <w:rPr>
          <w:rFonts w:ascii="Calibri" w:hAnsi="Calibri" w:cs="Calibri"/>
          <w:lang w:val="en-GB"/>
        </w:rPr>
        <w:t xml:space="preserve"> </w:t>
      </w:r>
      <w:r>
        <w:rPr>
          <w:rFonts w:ascii="Calibri" w:hAnsi="Calibri" w:cs="Calibri"/>
          <w:lang w:val="en-GB"/>
        </w:rPr>
        <w:t>is</w:t>
      </w:r>
      <w:r w:rsidRPr="00BC1ABD">
        <w:rPr>
          <w:rFonts w:ascii="Calibri" w:hAnsi="Calibri" w:cs="Calibri"/>
          <w:lang w:val="en-GB"/>
        </w:rPr>
        <w:t xml:space="preserve"> not imposed</w:t>
      </w:r>
      <w:r>
        <w:rPr>
          <w:rFonts w:ascii="Calibri" w:hAnsi="Calibri" w:cs="Calibri"/>
          <w:lang w:val="en-GB"/>
        </w:rPr>
        <w:t>,</w:t>
      </w:r>
      <w:r w:rsidRPr="00BC1ABD">
        <w:rPr>
          <w:rFonts w:ascii="Calibri" w:hAnsi="Calibri" w:cs="Calibri"/>
          <w:lang w:val="en-GB"/>
        </w:rPr>
        <w:t xml:space="preserve"> which means that commercial negotiations </w:t>
      </w:r>
      <w:r>
        <w:rPr>
          <w:rFonts w:ascii="Calibri" w:hAnsi="Calibri" w:cs="Calibri"/>
          <w:lang w:val="en-GB"/>
        </w:rPr>
        <w:t>will determine the conditions for access-seekers</w:t>
      </w:r>
      <w:r w:rsidRPr="00BC1ABD">
        <w:rPr>
          <w:rFonts w:ascii="Calibri" w:hAnsi="Calibri" w:cs="Calibri"/>
          <w:lang w:val="en-GB"/>
        </w:rPr>
        <w:t>.</w:t>
      </w:r>
    </w:p>
    <w:p w14:paraId="0480054B" w14:textId="1A12EF4B" w:rsidR="00631913" w:rsidRPr="00BC1ABD" w:rsidRDefault="00AA7C4D" w:rsidP="00AA7C4D">
      <w:pPr>
        <w:jc w:val="both"/>
        <w:rPr>
          <w:rFonts w:cs="Arial"/>
          <w:sz w:val="24"/>
          <w:szCs w:val="24"/>
          <w:lang w:val="en-GB"/>
        </w:rPr>
      </w:pPr>
      <w:r w:rsidRPr="00BC1ABD">
        <w:rPr>
          <w:rFonts w:cs="Arial"/>
          <w:sz w:val="24"/>
          <w:szCs w:val="24"/>
          <w:lang w:val="en-GB"/>
        </w:rPr>
        <w:t>The aforementioned regulatory obligation is aimed, together with non-discrimination, at solving all obstacles to the development of market competition that are related to price-based discrimination and non-price-based discrimination (</w:t>
      </w:r>
      <w:r w:rsidR="00FD0C42">
        <w:rPr>
          <w:rFonts w:cs="Arial"/>
          <w:sz w:val="24"/>
          <w:szCs w:val="24"/>
          <w:lang w:val="en-GB"/>
        </w:rPr>
        <w:t>C</w:t>
      </w:r>
      <w:r w:rsidRPr="00BC1ABD">
        <w:rPr>
          <w:rFonts w:cs="Arial"/>
          <w:sz w:val="24"/>
          <w:szCs w:val="24"/>
          <w:lang w:val="en-GB"/>
        </w:rPr>
        <w:t xml:space="preserve">hapters </w:t>
      </w:r>
      <w:r w:rsidR="00D53DBF">
        <w:rPr>
          <w:rFonts w:cs="Arial"/>
          <w:sz w:val="24"/>
          <w:szCs w:val="24"/>
          <w:lang w:val="en-GB"/>
        </w:rPr>
        <w:t>7</w:t>
      </w:r>
      <w:r w:rsidRPr="00BC1ABD">
        <w:rPr>
          <w:rFonts w:cs="Arial"/>
          <w:sz w:val="24"/>
          <w:szCs w:val="24"/>
          <w:lang w:val="en-GB"/>
        </w:rPr>
        <w:t>.</w:t>
      </w:r>
      <w:r w:rsidR="00D30EC7" w:rsidRPr="00BC1ABD">
        <w:rPr>
          <w:rFonts w:cs="Arial"/>
          <w:sz w:val="24"/>
          <w:szCs w:val="24"/>
          <w:lang w:val="en-GB"/>
        </w:rPr>
        <w:t>3</w:t>
      </w:r>
      <w:r w:rsidRPr="00BC1ABD">
        <w:rPr>
          <w:rFonts w:cs="Arial"/>
          <w:sz w:val="24"/>
          <w:szCs w:val="24"/>
          <w:lang w:val="en-GB"/>
        </w:rPr>
        <w:t xml:space="preserve">. and </w:t>
      </w:r>
      <w:r w:rsidR="00380E30">
        <w:rPr>
          <w:rFonts w:cs="Arial"/>
          <w:sz w:val="24"/>
          <w:szCs w:val="24"/>
          <w:lang w:val="en-GB"/>
        </w:rPr>
        <w:t>7</w:t>
      </w:r>
      <w:r w:rsidRPr="00BC1ABD">
        <w:rPr>
          <w:rFonts w:cs="Arial"/>
          <w:sz w:val="24"/>
          <w:szCs w:val="24"/>
          <w:lang w:val="en-GB"/>
        </w:rPr>
        <w:t>.</w:t>
      </w:r>
      <w:r w:rsidR="00D30EC7" w:rsidRPr="00BC1ABD">
        <w:rPr>
          <w:rFonts w:cs="Arial"/>
          <w:sz w:val="24"/>
          <w:szCs w:val="24"/>
          <w:lang w:val="en-GB"/>
        </w:rPr>
        <w:t>4</w:t>
      </w:r>
      <w:r w:rsidRPr="00BC1ABD">
        <w:rPr>
          <w:rFonts w:cs="Arial"/>
          <w:sz w:val="24"/>
          <w:szCs w:val="24"/>
          <w:lang w:val="en-GB"/>
        </w:rPr>
        <w:t>.).</w:t>
      </w:r>
    </w:p>
    <w:p w14:paraId="333FE2BE" w14:textId="588D596B" w:rsidR="0024624B" w:rsidRPr="00BC1ABD" w:rsidRDefault="0024624B" w:rsidP="006A1B15">
      <w:pPr>
        <w:pStyle w:val="Heading3"/>
        <w:numPr>
          <w:ilvl w:val="2"/>
          <w:numId w:val="88"/>
        </w:numPr>
        <w:spacing w:beforeAutospacing="0" w:after="160" w:afterAutospacing="0" w:line="256" w:lineRule="auto"/>
        <w:rPr>
          <w:rFonts w:asciiTheme="minorHAnsi" w:hAnsiTheme="minorHAnsi" w:cstheme="minorHAnsi"/>
          <w:b w:val="0"/>
          <w:bCs w:val="0"/>
          <w:sz w:val="24"/>
          <w:szCs w:val="24"/>
          <w:lang w:val="en-GB"/>
        </w:rPr>
      </w:pPr>
      <w:bookmarkStart w:id="362" w:name="_Toc169259008"/>
      <w:r w:rsidRPr="00BC1ABD">
        <w:rPr>
          <w:rFonts w:asciiTheme="minorHAnsi" w:hAnsiTheme="minorHAnsi" w:cstheme="minorHAnsi"/>
          <w:b w:val="0"/>
          <w:bCs w:val="0"/>
          <w:sz w:val="24"/>
          <w:szCs w:val="24"/>
          <w:lang w:val="en-GB"/>
        </w:rPr>
        <w:t xml:space="preserve">Minimum content of the </w:t>
      </w:r>
      <w:r w:rsidR="00FD0C42">
        <w:rPr>
          <w:rFonts w:asciiTheme="minorHAnsi" w:hAnsiTheme="minorHAnsi" w:cstheme="minorHAnsi"/>
          <w:b w:val="0"/>
          <w:bCs w:val="0"/>
          <w:sz w:val="24"/>
          <w:szCs w:val="24"/>
          <w:lang w:val="en-GB"/>
        </w:rPr>
        <w:t xml:space="preserve">SMP operator’s </w:t>
      </w:r>
      <w:r w:rsidRPr="00BC1ABD">
        <w:rPr>
          <w:rFonts w:asciiTheme="minorHAnsi" w:hAnsiTheme="minorHAnsi" w:cstheme="minorHAnsi"/>
          <w:b w:val="0"/>
          <w:bCs w:val="0"/>
          <w:sz w:val="24"/>
          <w:szCs w:val="24"/>
          <w:lang w:val="en-GB"/>
        </w:rPr>
        <w:t>reference offer</w:t>
      </w:r>
      <w:bookmarkEnd w:id="362"/>
    </w:p>
    <w:p w14:paraId="34EA715C" w14:textId="5869F4D6" w:rsidR="00302174" w:rsidRPr="00BC1ABD" w:rsidRDefault="00302174" w:rsidP="00302174">
      <w:pPr>
        <w:contextualSpacing/>
        <w:jc w:val="both"/>
        <w:rPr>
          <w:rFonts w:cs="Arial"/>
          <w:sz w:val="24"/>
          <w:szCs w:val="24"/>
          <w:lang w:val="en-GB"/>
        </w:rPr>
      </w:pPr>
      <w:r w:rsidRPr="00BC1ABD">
        <w:rPr>
          <w:rFonts w:cs="Arial"/>
          <w:sz w:val="24"/>
          <w:szCs w:val="24"/>
          <w:lang w:val="en-GB"/>
        </w:rPr>
        <w:t xml:space="preserve">In order to allow access seekers to prepare effectively and </w:t>
      </w:r>
      <w:r w:rsidR="00FD0C42">
        <w:rPr>
          <w:rFonts w:cs="Arial"/>
          <w:sz w:val="24"/>
          <w:szCs w:val="24"/>
          <w:lang w:val="en-GB"/>
        </w:rPr>
        <w:t xml:space="preserve">to </w:t>
      </w:r>
      <w:r w:rsidRPr="00BC1ABD">
        <w:rPr>
          <w:rFonts w:cs="Arial"/>
          <w:sz w:val="24"/>
          <w:szCs w:val="24"/>
          <w:lang w:val="en-GB"/>
        </w:rPr>
        <w:t>submit their access demands</w:t>
      </w:r>
      <w:r w:rsidR="00FD0C42">
        <w:rPr>
          <w:rFonts w:cs="Arial"/>
          <w:sz w:val="24"/>
          <w:szCs w:val="24"/>
          <w:lang w:val="en-GB"/>
        </w:rPr>
        <w:t xml:space="preserve"> to an SMP operator</w:t>
      </w:r>
      <w:r w:rsidRPr="00BC1ABD">
        <w:rPr>
          <w:rFonts w:cs="Arial"/>
          <w:sz w:val="24"/>
          <w:szCs w:val="24"/>
          <w:lang w:val="en-GB"/>
        </w:rPr>
        <w:t>, the reference offer should contain at least the following elements:</w:t>
      </w:r>
    </w:p>
    <w:p w14:paraId="210BA433" w14:textId="2A3A29C5"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General provisions (legal basis, subject, scope and limitations of the reference offer; historical development of the reference offer; amendments to the reference offer; time of entry into force of the reference offer; validity of the reference offer; application of the reference offer; method of harmoni</w:t>
      </w:r>
      <w:r w:rsidR="00B91B7D">
        <w:rPr>
          <w:rFonts w:cs="Arial"/>
          <w:sz w:val="24"/>
          <w:szCs w:val="24"/>
          <w:lang w:val="en-GB"/>
        </w:rPr>
        <w:t>s</w:t>
      </w:r>
      <w:r w:rsidRPr="00BC1ABD">
        <w:rPr>
          <w:rFonts w:cs="Arial"/>
          <w:sz w:val="24"/>
          <w:szCs w:val="24"/>
          <w:lang w:val="en-GB"/>
        </w:rPr>
        <w:t>ing existing contracts; definitions, terms and meanings and list of used abbreviations; contact information)</w:t>
      </w:r>
    </w:p>
    <w:p w14:paraId="56A700D5" w14:textId="10FA09D7"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Description of services that fall within the scope of the reference offer, including any relevant ancillary</w:t>
      </w:r>
      <w:r w:rsidR="00F35180">
        <w:rPr>
          <w:rFonts w:cs="Arial"/>
          <w:sz w:val="24"/>
          <w:szCs w:val="24"/>
          <w:lang w:val="en-GB"/>
        </w:rPr>
        <w:t xml:space="preserve"> services</w:t>
      </w:r>
      <w:r w:rsidRPr="00BC1ABD">
        <w:rPr>
          <w:rFonts w:cs="Arial"/>
          <w:sz w:val="24"/>
          <w:szCs w:val="24"/>
          <w:lang w:val="en-GB"/>
        </w:rPr>
        <w:t>, supplementary and advanced services (including operational support systems, information systems or databases for pre-ordering, provisioning, ordering, maintenance and repair requests and billing);</w:t>
      </w:r>
    </w:p>
    <w:p w14:paraId="5FD7D015" w14:textId="14613A71"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Technical conditions of access to all regulated services, including network architecture (descriptive and schematic) and any relevant technical standards for network access, specifying notably any technical usage restrictions and other security issues</w:t>
      </w:r>
      <w:r w:rsidR="00C47F0E">
        <w:rPr>
          <w:rFonts w:cs="Arial"/>
          <w:sz w:val="24"/>
          <w:szCs w:val="24"/>
          <w:lang w:val="en-GB"/>
        </w:rPr>
        <w:t>;</w:t>
      </w:r>
    </w:p>
    <w:p w14:paraId="75569443" w14:textId="77777777" w:rsidR="00302174" w:rsidRPr="00BC1ABD" w:rsidRDefault="007354E3">
      <w:pPr>
        <w:numPr>
          <w:ilvl w:val="0"/>
          <w:numId w:val="5"/>
        </w:numPr>
        <w:contextualSpacing/>
        <w:jc w:val="both"/>
        <w:rPr>
          <w:rFonts w:cs="Arial"/>
          <w:sz w:val="24"/>
          <w:szCs w:val="24"/>
          <w:lang w:val="en-GB"/>
        </w:rPr>
      </w:pPr>
      <w:r w:rsidRPr="00BC1ABD">
        <w:rPr>
          <w:rFonts w:cs="Arial"/>
          <w:sz w:val="24"/>
          <w:szCs w:val="24"/>
          <w:lang w:val="en-GB"/>
        </w:rPr>
        <w:t>S</w:t>
      </w:r>
      <w:r w:rsidR="00302174" w:rsidRPr="00BC1ABD">
        <w:rPr>
          <w:rFonts w:cs="Arial"/>
          <w:sz w:val="24"/>
          <w:szCs w:val="24"/>
          <w:lang w:val="en-GB"/>
        </w:rPr>
        <w:t>pecifications of equipment to be used on the network;</w:t>
      </w:r>
    </w:p>
    <w:p w14:paraId="1582B7FE" w14:textId="710BCCA7" w:rsidR="00302174" w:rsidRPr="00BC1ABD" w:rsidRDefault="007354E3">
      <w:pPr>
        <w:numPr>
          <w:ilvl w:val="0"/>
          <w:numId w:val="5"/>
        </w:numPr>
        <w:contextualSpacing/>
        <w:jc w:val="both"/>
        <w:rPr>
          <w:rFonts w:cs="Arial"/>
          <w:sz w:val="24"/>
          <w:szCs w:val="24"/>
          <w:lang w:val="en-GB"/>
        </w:rPr>
      </w:pPr>
      <w:r w:rsidRPr="00BC1ABD">
        <w:rPr>
          <w:rFonts w:cs="Arial"/>
          <w:sz w:val="24"/>
          <w:szCs w:val="24"/>
          <w:lang w:val="en-GB"/>
        </w:rPr>
        <w:t>P</w:t>
      </w:r>
      <w:r w:rsidR="00302174" w:rsidRPr="00BC1ABD">
        <w:rPr>
          <w:rFonts w:cs="Arial"/>
          <w:sz w:val="24"/>
          <w:szCs w:val="24"/>
          <w:lang w:val="en-GB"/>
        </w:rPr>
        <w:t>rocedures in the event of amendments being proposed to the service offerings, which may include a requirement for notification to the NRA for such amendments, for example, launch of new services, changes to existing services or change to prices</w:t>
      </w:r>
      <w:r w:rsidR="00C47F0E">
        <w:rPr>
          <w:rFonts w:cs="Arial"/>
          <w:sz w:val="24"/>
          <w:szCs w:val="24"/>
          <w:lang w:val="en-GB"/>
        </w:rPr>
        <w:t>;</w:t>
      </w:r>
    </w:p>
    <w:p w14:paraId="52D9433E" w14:textId="77777777" w:rsidR="00302174" w:rsidRPr="00BC1ABD" w:rsidRDefault="00302174" w:rsidP="00DE7F37">
      <w:pPr>
        <w:numPr>
          <w:ilvl w:val="0"/>
          <w:numId w:val="5"/>
        </w:numPr>
        <w:spacing w:after="120"/>
        <w:ind w:hanging="357"/>
        <w:contextualSpacing/>
        <w:jc w:val="both"/>
        <w:rPr>
          <w:rFonts w:cs="Arial"/>
          <w:sz w:val="24"/>
          <w:szCs w:val="24"/>
          <w:lang w:val="en-GB"/>
        </w:rPr>
      </w:pPr>
      <w:r w:rsidRPr="00BC1ABD">
        <w:rPr>
          <w:rFonts w:cs="Arial"/>
          <w:sz w:val="24"/>
          <w:szCs w:val="24"/>
          <w:lang w:val="en-GB"/>
        </w:rPr>
        <w:t>Terms of service provision which could include, but not limited to, following:</w:t>
      </w:r>
    </w:p>
    <w:p w14:paraId="73F595A9" w14:textId="51FD6D9C" w:rsidR="00302174" w:rsidRPr="00BC1ABD" w:rsidRDefault="007354E3" w:rsidP="00DE7F37">
      <w:pPr>
        <w:pStyle w:val="ListParagraph"/>
        <w:numPr>
          <w:ilvl w:val="0"/>
          <w:numId w:val="19"/>
        </w:numPr>
        <w:spacing w:after="120"/>
        <w:ind w:hanging="357"/>
        <w:jc w:val="both"/>
        <w:rPr>
          <w:rFonts w:cs="Arial"/>
          <w:sz w:val="24"/>
          <w:szCs w:val="24"/>
          <w:lang w:val="en-GB"/>
        </w:rPr>
      </w:pPr>
      <w:r w:rsidRPr="00BC1ABD">
        <w:rPr>
          <w:rFonts w:cs="Arial"/>
          <w:sz w:val="24"/>
          <w:szCs w:val="24"/>
          <w:lang w:val="en-GB"/>
        </w:rPr>
        <w:t>T</w:t>
      </w:r>
      <w:r w:rsidR="00302174" w:rsidRPr="00BC1ABD">
        <w:rPr>
          <w:rFonts w:cs="Arial"/>
          <w:sz w:val="24"/>
          <w:szCs w:val="24"/>
          <w:lang w:val="en-GB"/>
        </w:rPr>
        <w:t>he procedure for submitting a request for the activation of services</w:t>
      </w:r>
      <w:r w:rsidR="00C47F0E">
        <w:rPr>
          <w:rFonts w:cs="Arial"/>
          <w:sz w:val="24"/>
          <w:szCs w:val="24"/>
          <w:lang w:val="en-GB"/>
        </w:rPr>
        <w:t>;</w:t>
      </w:r>
    </w:p>
    <w:p w14:paraId="2F7B6311" w14:textId="1F37442A"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R</w:t>
      </w:r>
      <w:r w:rsidR="00302174" w:rsidRPr="00BC1ABD">
        <w:rPr>
          <w:rFonts w:cs="Arial"/>
          <w:sz w:val="24"/>
          <w:szCs w:val="24"/>
          <w:lang w:val="en-GB"/>
        </w:rPr>
        <w:t>esponse time to requests</w:t>
      </w:r>
      <w:r w:rsidR="00C47F0E">
        <w:rPr>
          <w:rFonts w:cs="Arial"/>
          <w:sz w:val="24"/>
          <w:szCs w:val="24"/>
          <w:lang w:val="en-GB"/>
        </w:rPr>
        <w:t>;</w:t>
      </w:r>
    </w:p>
    <w:p w14:paraId="2B944198" w14:textId="6CB70712"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T</w:t>
      </w:r>
      <w:r w:rsidR="00302174" w:rsidRPr="00BC1ABD">
        <w:rPr>
          <w:rFonts w:cs="Arial"/>
          <w:sz w:val="24"/>
          <w:szCs w:val="24"/>
          <w:lang w:val="en-GB"/>
        </w:rPr>
        <w:t xml:space="preserve">he time </w:t>
      </w:r>
      <w:r w:rsidR="00C47F0E">
        <w:rPr>
          <w:rFonts w:cs="Arial"/>
          <w:sz w:val="24"/>
          <w:szCs w:val="24"/>
          <w:lang w:val="en-GB"/>
        </w:rPr>
        <w:t>between</w:t>
      </w:r>
      <w:r w:rsidR="00302174" w:rsidRPr="00BC1ABD">
        <w:rPr>
          <w:rFonts w:cs="Arial"/>
          <w:sz w:val="24"/>
          <w:szCs w:val="24"/>
          <w:lang w:val="en-GB"/>
        </w:rPr>
        <w:t xml:space="preserve"> accepting the request and activating the service</w:t>
      </w:r>
      <w:r w:rsidR="00C47F0E">
        <w:rPr>
          <w:rFonts w:cs="Arial"/>
          <w:sz w:val="24"/>
          <w:szCs w:val="24"/>
          <w:lang w:val="en-GB"/>
        </w:rPr>
        <w:t>;</w:t>
      </w:r>
    </w:p>
    <w:p w14:paraId="71A52375" w14:textId="301B6C29"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T</w:t>
      </w:r>
      <w:r w:rsidR="00302174" w:rsidRPr="00BC1ABD">
        <w:rPr>
          <w:rFonts w:cs="Arial"/>
          <w:sz w:val="24"/>
          <w:szCs w:val="24"/>
          <w:lang w:val="en-GB"/>
        </w:rPr>
        <w:t>echnical solution and the cost of creating a technical solution</w:t>
      </w:r>
      <w:r w:rsidR="00C47F0E">
        <w:rPr>
          <w:rFonts w:cs="Arial"/>
          <w:sz w:val="24"/>
          <w:szCs w:val="24"/>
          <w:lang w:val="en-GB"/>
        </w:rPr>
        <w:t>;</w:t>
      </w:r>
    </w:p>
    <w:p w14:paraId="674E2508" w14:textId="32EF299B"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R</w:t>
      </w:r>
      <w:r w:rsidR="00302174" w:rsidRPr="00BC1ABD">
        <w:rPr>
          <w:rFonts w:cs="Arial"/>
          <w:sz w:val="24"/>
          <w:szCs w:val="24"/>
          <w:lang w:val="en-GB"/>
        </w:rPr>
        <w:t>easons for rejecting requests and/</w:t>
      </w:r>
      <w:r w:rsidR="00C47F0E">
        <w:rPr>
          <w:rFonts w:cs="Arial"/>
          <w:sz w:val="24"/>
          <w:szCs w:val="24"/>
          <w:lang w:val="en-GB"/>
        </w:rPr>
        <w:t xml:space="preserve"> </w:t>
      </w:r>
      <w:r w:rsidR="00302174" w:rsidRPr="00BC1ABD">
        <w:rPr>
          <w:rFonts w:cs="Arial"/>
          <w:sz w:val="24"/>
          <w:szCs w:val="24"/>
          <w:lang w:val="en-GB"/>
        </w:rPr>
        <w:t>or permanent/</w:t>
      </w:r>
      <w:r w:rsidR="00C47F0E">
        <w:rPr>
          <w:rFonts w:cs="Arial"/>
          <w:sz w:val="24"/>
          <w:szCs w:val="24"/>
          <w:lang w:val="en-GB"/>
        </w:rPr>
        <w:t xml:space="preserve"> </w:t>
      </w:r>
      <w:r w:rsidR="00302174" w:rsidRPr="00BC1ABD">
        <w:rPr>
          <w:rFonts w:cs="Arial"/>
          <w:sz w:val="24"/>
          <w:szCs w:val="24"/>
          <w:lang w:val="en-GB"/>
        </w:rPr>
        <w:t>temporary suspension of service provision</w:t>
      </w:r>
      <w:r w:rsidR="00C47F0E">
        <w:rPr>
          <w:rFonts w:cs="Arial"/>
          <w:sz w:val="24"/>
          <w:szCs w:val="24"/>
          <w:lang w:val="en-GB"/>
        </w:rPr>
        <w:t>;</w:t>
      </w:r>
    </w:p>
    <w:p w14:paraId="3BEF828B" w14:textId="5A76B640"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W</w:t>
      </w:r>
      <w:r w:rsidR="00302174" w:rsidRPr="00BC1ABD">
        <w:rPr>
          <w:rFonts w:cs="Arial"/>
          <w:sz w:val="24"/>
          <w:szCs w:val="24"/>
          <w:lang w:val="en-GB"/>
        </w:rPr>
        <w:t>ithdrawal of</w:t>
      </w:r>
      <w:r w:rsidR="007C07AA" w:rsidRPr="00BC1ABD">
        <w:rPr>
          <w:rFonts w:cs="Arial"/>
          <w:sz w:val="24"/>
          <w:szCs w:val="24"/>
          <w:lang w:val="en-GB"/>
        </w:rPr>
        <w:t xml:space="preserve"> </w:t>
      </w:r>
      <w:r w:rsidR="00302174" w:rsidRPr="00BC1ABD">
        <w:rPr>
          <w:rFonts w:cs="Arial"/>
          <w:sz w:val="24"/>
          <w:szCs w:val="24"/>
          <w:lang w:val="en-GB"/>
        </w:rPr>
        <w:t>requests</w:t>
      </w:r>
      <w:r w:rsidR="00C47F0E">
        <w:rPr>
          <w:rFonts w:cs="Arial"/>
          <w:sz w:val="24"/>
          <w:szCs w:val="24"/>
          <w:lang w:val="en-GB"/>
        </w:rPr>
        <w:t>;</w:t>
      </w:r>
    </w:p>
    <w:p w14:paraId="6E6FD1C7" w14:textId="512A15E4"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A</w:t>
      </w:r>
      <w:r w:rsidR="00302174" w:rsidRPr="00BC1ABD">
        <w:rPr>
          <w:rFonts w:cs="Arial"/>
          <w:sz w:val="24"/>
          <w:szCs w:val="24"/>
          <w:lang w:val="en-GB"/>
        </w:rPr>
        <w:t>ctivation and service provision conditions</w:t>
      </w:r>
      <w:r w:rsidR="00C47F0E">
        <w:rPr>
          <w:rFonts w:cs="Arial"/>
          <w:sz w:val="24"/>
          <w:szCs w:val="24"/>
          <w:lang w:val="en-GB"/>
        </w:rPr>
        <w:t>;</w:t>
      </w:r>
    </w:p>
    <w:p w14:paraId="52CFC3D7" w14:textId="77777777"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D</w:t>
      </w:r>
      <w:r w:rsidR="00302174" w:rsidRPr="00BC1ABD">
        <w:rPr>
          <w:rFonts w:cs="Arial"/>
          <w:sz w:val="24"/>
          <w:szCs w:val="24"/>
          <w:lang w:val="en-GB"/>
        </w:rPr>
        <w:t>etails of the necessary interoperability tests;</w:t>
      </w:r>
    </w:p>
    <w:p w14:paraId="0798F563" w14:textId="0C182ACF"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F</w:t>
      </w:r>
      <w:r w:rsidR="00302174" w:rsidRPr="00BC1ABD">
        <w:rPr>
          <w:rFonts w:cs="Arial"/>
          <w:sz w:val="24"/>
          <w:szCs w:val="24"/>
          <w:lang w:val="en-GB"/>
        </w:rPr>
        <w:t>ault repair procedure</w:t>
      </w:r>
      <w:r w:rsidR="00C47F0E">
        <w:rPr>
          <w:rFonts w:cs="Arial"/>
          <w:sz w:val="24"/>
          <w:szCs w:val="24"/>
          <w:lang w:val="en-GB"/>
        </w:rPr>
        <w:t>;</w:t>
      </w:r>
    </w:p>
    <w:p w14:paraId="120A881F" w14:textId="449726AA"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S</w:t>
      </w:r>
      <w:r w:rsidR="00302174" w:rsidRPr="00BC1ABD">
        <w:rPr>
          <w:rFonts w:cs="Arial"/>
          <w:sz w:val="24"/>
          <w:szCs w:val="24"/>
          <w:lang w:val="en-GB"/>
        </w:rPr>
        <w:t>ervice level agreements (SLAs)</w:t>
      </w:r>
      <w:r w:rsidR="00302174" w:rsidRPr="00BC1ABD">
        <w:rPr>
          <w:lang w:val="en-GB"/>
        </w:rPr>
        <w:t xml:space="preserve"> </w:t>
      </w:r>
      <w:r w:rsidR="00302174" w:rsidRPr="00BC1ABD">
        <w:rPr>
          <w:rFonts w:cs="Arial"/>
          <w:sz w:val="24"/>
          <w:szCs w:val="24"/>
          <w:lang w:val="en-GB"/>
        </w:rPr>
        <w:t>for ordering, delivery, service (availability) and maintenance (repair), including specific timescales for the acceptance or refusal of a request for supply and for completion, testing and hand-over or delivery of services and facilities, for provision of support services (such as fault handling and repair);</w:t>
      </w:r>
    </w:p>
    <w:p w14:paraId="3914C6BC" w14:textId="77777777" w:rsidR="00302174" w:rsidRPr="00BC1ABD" w:rsidRDefault="007354E3">
      <w:pPr>
        <w:pStyle w:val="ListParagraph"/>
        <w:numPr>
          <w:ilvl w:val="0"/>
          <w:numId w:val="19"/>
        </w:numPr>
        <w:jc w:val="both"/>
        <w:rPr>
          <w:rFonts w:cs="Arial"/>
          <w:sz w:val="24"/>
          <w:szCs w:val="24"/>
          <w:lang w:val="en-GB"/>
        </w:rPr>
      </w:pPr>
      <w:r w:rsidRPr="00BC1ABD">
        <w:rPr>
          <w:rFonts w:cs="Arial"/>
          <w:sz w:val="24"/>
          <w:szCs w:val="24"/>
          <w:lang w:val="en-GB"/>
        </w:rPr>
        <w:t>T</w:t>
      </w:r>
      <w:r w:rsidR="00302174" w:rsidRPr="00BC1ABD">
        <w:rPr>
          <w:rFonts w:cs="Arial"/>
          <w:sz w:val="24"/>
          <w:szCs w:val="24"/>
          <w:lang w:val="en-GB"/>
        </w:rPr>
        <w:t>he quality standards that each party must meet when performing its contractual obligations including the specification of key performance indicators (KPIs) with respect to SLAs, where relevant;</w:t>
      </w:r>
    </w:p>
    <w:p w14:paraId="6D18D9FC" w14:textId="7336C699" w:rsidR="00302174" w:rsidRPr="00BC1ABD" w:rsidRDefault="007354E3">
      <w:pPr>
        <w:pStyle w:val="ListParagraph"/>
        <w:numPr>
          <w:ilvl w:val="0"/>
          <w:numId w:val="19"/>
        </w:numPr>
        <w:spacing w:after="0"/>
        <w:jc w:val="both"/>
        <w:rPr>
          <w:rFonts w:cs="Arial"/>
          <w:sz w:val="24"/>
          <w:szCs w:val="24"/>
          <w:lang w:val="en-GB"/>
        </w:rPr>
      </w:pPr>
      <w:r w:rsidRPr="00BC1ABD">
        <w:rPr>
          <w:rFonts w:cs="Arial"/>
          <w:sz w:val="24"/>
          <w:szCs w:val="24"/>
          <w:lang w:val="en-GB"/>
        </w:rPr>
        <w:t>S</w:t>
      </w:r>
      <w:r w:rsidR="00302174" w:rsidRPr="00BC1ABD">
        <w:rPr>
          <w:rFonts w:cs="Arial"/>
          <w:sz w:val="24"/>
          <w:szCs w:val="24"/>
          <w:lang w:val="en-GB"/>
        </w:rPr>
        <w:t>ervice level guarantees (SLGs) for ordering, delivery, service (availability) and maintenance (repair), including the amount of compensation payable by one party to another for failure to perform contractual commitments in case of delays in the reali</w:t>
      </w:r>
      <w:r w:rsidR="00B91B7D">
        <w:rPr>
          <w:rFonts w:cs="Arial"/>
          <w:sz w:val="24"/>
          <w:szCs w:val="24"/>
          <w:lang w:val="en-GB"/>
        </w:rPr>
        <w:t>s</w:t>
      </w:r>
      <w:r w:rsidR="00302174" w:rsidRPr="00BC1ABD">
        <w:rPr>
          <w:rFonts w:cs="Arial"/>
          <w:sz w:val="24"/>
          <w:szCs w:val="24"/>
          <w:lang w:val="en-GB"/>
        </w:rPr>
        <w:t>ation of requests; delays in the elimination of defects/disturbances, etc. as well as the conditions for eligibility for compensation</w:t>
      </w:r>
      <w:r w:rsidR="00C47F0E">
        <w:rPr>
          <w:rFonts w:cs="Arial"/>
          <w:sz w:val="24"/>
          <w:szCs w:val="24"/>
          <w:lang w:val="en-GB"/>
        </w:rPr>
        <w:t>;</w:t>
      </w:r>
    </w:p>
    <w:p w14:paraId="6D6F8185" w14:textId="67109E8F"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Prices of services</w:t>
      </w:r>
      <w:r w:rsidR="00C47F0E">
        <w:rPr>
          <w:rFonts w:cs="Arial"/>
          <w:sz w:val="24"/>
          <w:szCs w:val="24"/>
          <w:lang w:val="en-GB"/>
        </w:rPr>
        <w:t>;</w:t>
      </w:r>
    </w:p>
    <w:p w14:paraId="69C8B796" w14:textId="3546DC9B"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Billing, payment and payment insurance instruments</w:t>
      </w:r>
      <w:r w:rsidR="00C47F0E">
        <w:rPr>
          <w:rFonts w:cs="Arial"/>
          <w:sz w:val="24"/>
          <w:szCs w:val="24"/>
          <w:lang w:val="en-GB"/>
        </w:rPr>
        <w:t>;</w:t>
      </w:r>
    </w:p>
    <w:p w14:paraId="5437E177" w14:textId="2C4210F7"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Quality of service (Identification and removal of faults and resolution of complaints)</w:t>
      </w:r>
      <w:r w:rsidR="00C47F0E">
        <w:rPr>
          <w:rFonts w:cs="Arial"/>
          <w:sz w:val="24"/>
          <w:szCs w:val="24"/>
          <w:lang w:val="en-GB"/>
        </w:rPr>
        <w:t>;</w:t>
      </w:r>
    </w:p>
    <w:p w14:paraId="7ED16240" w14:textId="176DCBE7"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Access to operational support systems, information systems or databases for the purposes of submitting previous requests, service requests, failure reports and billing, including their technical usage restrictions and procedures to access those services</w:t>
      </w:r>
      <w:r w:rsidR="00C47F0E">
        <w:rPr>
          <w:rFonts w:cs="Arial"/>
          <w:sz w:val="24"/>
          <w:szCs w:val="24"/>
          <w:lang w:val="en-GB"/>
        </w:rPr>
        <w:t>;</w:t>
      </w:r>
    </w:p>
    <w:p w14:paraId="41B33127" w14:textId="7E8A009B"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Management, operation and maintenance of the service</w:t>
      </w:r>
      <w:r w:rsidR="00C47F0E">
        <w:rPr>
          <w:rFonts w:cs="Arial"/>
          <w:sz w:val="24"/>
          <w:szCs w:val="24"/>
          <w:lang w:val="en-GB"/>
        </w:rPr>
        <w:t>;</w:t>
      </w:r>
    </w:p>
    <w:p w14:paraId="12718168" w14:textId="64C68D6E" w:rsidR="00302174" w:rsidRPr="00BC1ABD" w:rsidRDefault="007354E3">
      <w:pPr>
        <w:numPr>
          <w:ilvl w:val="0"/>
          <w:numId w:val="5"/>
        </w:numPr>
        <w:contextualSpacing/>
        <w:jc w:val="both"/>
        <w:rPr>
          <w:rFonts w:cs="Arial"/>
          <w:sz w:val="24"/>
          <w:szCs w:val="24"/>
          <w:lang w:val="en-GB"/>
        </w:rPr>
      </w:pPr>
      <w:r w:rsidRPr="00BC1ABD">
        <w:rPr>
          <w:rFonts w:cs="Arial"/>
          <w:sz w:val="24"/>
          <w:szCs w:val="24"/>
          <w:lang w:val="en-GB"/>
        </w:rPr>
        <w:t>A</w:t>
      </w:r>
      <w:r w:rsidR="00302174" w:rsidRPr="00BC1ABD">
        <w:rPr>
          <w:rFonts w:cs="Arial"/>
          <w:sz w:val="24"/>
          <w:szCs w:val="24"/>
          <w:lang w:val="en-GB"/>
        </w:rPr>
        <w:t xml:space="preserve"> definition and limitation of liability and indemnity for damages (</w:t>
      </w:r>
      <w:r w:rsidR="00C47F0E">
        <w:rPr>
          <w:rFonts w:cs="Arial"/>
          <w:sz w:val="24"/>
          <w:szCs w:val="24"/>
          <w:lang w:val="en-GB"/>
        </w:rPr>
        <w:t>r</w:t>
      </w:r>
      <w:r w:rsidR="00302174" w:rsidRPr="00BC1ABD">
        <w:rPr>
          <w:rFonts w:cs="Arial"/>
          <w:sz w:val="24"/>
          <w:szCs w:val="24"/>
          <w:lang w:val="en-GB"/>
        </w:rPr>
        <w:t xml:space="preserve">esponsibility of the </w:t>
      </w:r>
      <w:r w:rsidR="00C47F0E">
        <w:rPr>
          <w:rFonts w:cs="Arial"/>
          <w:sz w:val="24"/>
          <w:szCs w:val="24"/>
          <w:lang w:val="en-GB"/>
        </w:rPr>
        <w:t>SMP</w:t>
      </w:r>
      <w:r w:rsidR="00302174" w:rsidRPr="00BC1ABD">
        <w:rPr>
          <w:rFonts w:cs="Arial"/>
          <w:sz w:val="24"/>
          <w:szCs w:val="24"/>
          <w:lang w:val="en-GB"/>
        </w:rPr>
        <w:t xml:space="preserve"> operator and </w:t>
      </w:r>
      <w:r w:rsidR="00C47F0E">
        <w:rPr>
          <w:rFonts w:cs="Arial"/>
          <w:sz w:val="24"/>
          <w:szCs w:val="24"/>
          <w:lang w:val="en-GB"/>
        </w:rPr>
        <w:t>access-seeking</w:t>
      </w:r>
      <w:r w:rsidR="00302174" w:rsidRPr="00BC1ABD">
        <w:rPr>
          <w:rFonts w:cs="Arial"/>
          <w:sz w:val="24"/>
          <w:szCs w:val="24"/>
          <w:lang w:val="en-GB"/>
        </w:rPr>
        <w:t xml:space="preserve"> operator and compensation for damages; liability and compensation for damages to third parties)</w:t>
      </w:r>
      <w:r w:rsidR="00C47F0E">
        <w:rPr>
          <w:rFonts w:cs="Arial"/>
          <w:sz w:val="24"/>
          <w:szCs w:val="24"/>
          <w:lang w:val="en-GB"/>
        </w:rPr>
        <w:t>;</w:t>
      </w:r>
    </w:p>
    <w:p w14:paraId="277E3D43" w14:textId="730DB667"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Confidentiality of information and trade secret</w:t>
      </w:r>
      <w:r w:rsidR="00C47F0E">
        <w:rPr>
          <w:rFonts w:cs="Arial"/>
          <w:sz w:val="24"/>
          <w:szCs w:val="24"/>
          <w:lang w:val="en-GB"/>
        </w:rPr>
        <w:t>s;</w:t>
      </w:r>
    </w:p>
    <w:p w14:paraId="3100FBF2" w14:textId="377B5840"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Intellectual property rights</w:t>
      </w:r>
      <w:r w:rsidR="00C47F0E">
        <w:rPr>
          <w:rFonts w:cs="Arial"/>
          <w:sz w:val="24"/>
          <w:szCs w:val="24"/>
          <w:lang w:val="en-GB"/>
        </w:rPr>
        <w:t>;</w:t>
      </w:r>
    </w:p>
    <w:p w14:paraId="46DBC327" w14:textId="04B01D0B" w:rsidR="003F1C0C" w:rsidRPr="00BC1ABD" w:rsidRDefault="00302174" w:rsidP="00C44A80">
      <w:pPr>
        <w:numPr>
          <w:ilvl w:val="0"/>
          <w:numId w:val="5"/>
        </w:numPr>
        <w:contextualSpacing/>
        <w:jc w:val="both"/>
        <w:rPr>
          <w:rFonts w:cs="Arial"/>
          <w:sz w:val="24"/>
          <w:szCs w:val="24"/>
          <w:lang w:val="en-GB"/>
        </w:rPr>
      </w:pPr>
      <w:r w:rsidRPr="00C44A80">
        <w:rPr>
          <w:rFonts w:cs="Arial"/>
          <w:sz w:val="24"/>
          <w:szCs w:val="24"/>
          <w:lang w:val="en-GB"/>
        </w:rPr>
        <w:t xml:space="preserve">The procedure for the migration </w:t>
      </w:r>
      <w:r w:rsidR="00C47F0E" w:rsidRPr="00C44A80">
        <w:rPr>
          <w:rFonts w:cs="Arial"/>
          <w:sz w:val="24"/>
          <w:szCs w:val="24"/>
          <w:lang w:val="en-GB"/>
        </w:rPr>
        <w:t>between operators</w:t>
      </w:r>
      <w:r w:rsidRPr="00C44A80">
        <w:rPr>
          <w:rFonts w:cs="Arial"/>
          <w:sz w:val="24"/>
          <w:szCs w:val="24"/>
          <w:lang w:val="en-GB"/>
        </w:rPr>
        <w:t xml:space="preserve"> of </w:t>
      </w:r>
      <w:r w:rsidR="00C47F0E" w:rsidRPr="00C44A80">
        <w:rPr>
          <w:rFonts w:cs="Arial"/>
          <w:sz w:val="24"/>
          <w:szCs w:val="24"/>
          <w:lang w:val="en-GB"/>
        </w:rPr>
        <w:t>the end-user</w:t>
      </w:r>
      <w:r w:rsidR="003F1C0C" w:rsidRPr="00C44A80">
        <w:rPr>
          <w:rFonts w:cs="Arial"/>
          <w:sz w:val="24"/>
          <w:szCs w:val="24"/>
          <w:lang w:val="en-GB"/>
        </w:rPr>
        <w:t>’s services from the SMP operator (for example to add TV to the service bundle, a change of internet speeds)</w:t>
      </w:r>
      <w:r w:rsidR="00C44A80" w:rsidRPr="00AE48F2">
        <w:rPr>
          <w:rFonts w:cs="Arial"/>
          <w:sz w:val="24"/>
          <w:szCs w:val="24"/>
          <w:lang w:val="en-GB"/>
        </w:rPr>
        <w:t>. The procedure must be clearly defined and include the change request procedure, how the update to the service is performed together with any changes in the wholesale costs</w:t>
      </w:r>
      <w:r w:rsidR="00C44A80">
        <w:rPr>
          <w:rFonts w:cs="Arial"/>
          <w:sz w:val="24"/>
          <w:szCs w:val="24"/>
          <w:lang w:val="en-GB"/>
        </w:rPr>
        <w:t>;</w:t>
      </w:r>
    </w:p>
    <w:p w14:paraId="3E71B924" w14:textId="799A9A03" w:rsidR="00302174" w:rsidRPr="00BC1ABD" w:rsidRDefault="00302174">
      <w:pPr>
        <w:numPr>
          <w:ilvl w:val="0"/>
          <w:numId w:val="5"/>
        </w:numPr>
        <w:contextualSpacing/>
        <w:jc w:val="both"/>
        <w:rPr>
          <w:rFonts w:cs="Arial"/>
          <w:sz w:val="24"/>
          <w:szCs w:val="24"/>
          <w:lang w:val="en-GB"/>
        </w:rPr>
      </w:pPr>
      <w:r w:rsidRPr="00BC1ABD">
        <w:rPr>
          <w:rFonts w:cs="Arial"/>
          <w:sz w:val="24"/>
          <w:szCs w:val="24"/>
          <w:lang w:val="en-GB"/>
        </w:rPr>
        <w:t>Dispute resolution procedures</w:t>
      </w:r>
      <w:r w:rsidR="00C47F0E">
        <w:rPr>
          <w:rFonts w:cs="Arial"/>
          <w:sz w:val="24"/>
          <w:szCs w:val="24"/>
          <w:lang w:val="en-GB"/>
        </w:rPr>
        <w:t>;</w:t>
      </w:r>
    </w:p>
    <w:p w14:paraId="2BD85EDD" w14:textId="111D55C5" w:rsidR="00302174" w:rsidRPr="00BC1ABD" w:rsidRDefault="00302174">
      <w:pPr>
        <w:numPr>
          <w:ilvl w:val="0"/>
          <w:numId w:val="5"/>
        </w:numPr>
        <w:spacing w:after="0"/>
        <w:contextualSpacing/>
        <w:jc w:val="both"/>
        <w:rPr>
          <w:rFonts w:cs="Arial"/>
          <w:sz w:val="24"/>
          <w:szCs w:val="24"/>
          <w:lang w:val="en-GB"/>
        </w:rPr>
      </w:pPr>
      <w:r w:rsidRPr="00BC1ABD">
        <w:rPr>
          <w:rFonts w:cs="Arial"/>
          <w:sz w:val="24"/>
          <w:szCs w:val="24"/>
          <w:lang w:val="en-GB"/>
        </w:rPr>
        <w:t>Annexes</w:t>
      </w:r>
      <w:r w:rsidR="00C47F0E">
        <w:rPr>
          <w:rFonts w:cs="Arial"/>
          <w:sz w:val="24"/>
          <w:szCs w:val="24"/>
          <w:lang w:val="en-GB"/>
        </w:rPr>
        <w:t>:</w:t>
      </w:r>
    </w:p>
    <w:p w14:paraId="26BC1463" w14:textId="04DE9E84"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List of available access points</w:t>
      </w:r>
      <w:r w:rsidR="00C47F0E">
        <w:rPr>
          <w:rFonts w:cs="Arial"/>
          <w:sz w:val="24"/>
          <w:szCs w:val="24"/>
          <w:lang w:val="en-GB"/>
        </w:rPr>
        <w:t>;</w:t>
      </w:r>
    </w:p>
    <w:p w14:paraId="1866D41D" w14:textId="383AE1E5"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Service request</w:t>
      </w:r>
      <w:r w:rsidR="00C47F0E">
        <w:rPr>
          <w:rFonts w:cs="Arial"/>
          <w:sz w:val="24"/>
          <w:szCs w:val="24"/>
          <w:lang w:val="en-GB"/>
        </w:rPr>
        <w:t>;</w:t>
      </w:r>
    </w:p>
    <w:p w14:paraId="3BE40E37" w14:textId="2BA33F21"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Confidentiality agreement</w:t>
      </w:r>
      <w:r w:rsidR="005174B8">
        <w:rPr>
          <w:rFonts w:cs="Arial"/>
          <w:sz w:val="24"/>
          <w:szCs w:val="24"/>
          <w:lang w:val="en-GB"/>
        </w:rPr>
        <w:t>;</w:t>
      </w:r>
    </w:p>
    <w:p w14:paraId="370217DE" w14:textId="64081325"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Text of the bank guarantee</w:t>
      </w:r>
      <w:r w:rsidR="005174B8">
        <w:rPr>
          <w:rFonts w:cs="Arial"/>
          <w:sz w:val="24"/>
          <w:szCs w:val="24"/>
          <w:lang w:val="en-GB"/>
        </w:rPr>
        <w:t>;</w:t>
      </w:r>
    </w:p>
    <w:p w14:paraId="665A68DA" w14:textId="56A1AADB"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Form for reporting malfunctions/disturbances</w:t>
      </w:r>
      <w:r w:rsidR="005174B8">
        <w:rPr>
          <w:rFonts w:cs="Arial"/>
          <w:sz w:val="24"/>
          <w:szCs w:val="24"/>
          <w:lang w:val="en-GB"/>
        </w:rPr>
        <w:t>;</w:t>
      </w:r>
    </w:p>
    <w:p w14:paraId="35755ECB" w14:textId="4F35CACB"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Form of contract on the use of services</w:t>
      </w:r>
      <w:r w:rsidR="005174B8">
        <w:rPr>
          <w:rFonts w:cs="Arial"/>
          <w:sz w:val="24"/>
          <w:szCs w:val="24"/>
          <w:lang w:val="en-GB"/>
        </w:rPr>
        <w:t>;</w:t>
      </w:r>
    </w:p>
    <w:p w14:paraId="72C2654A" w14:textId="77777777" w:rsidR="00302174" w:rsidRPr="00BC1ABD" w:rsidRDefault="00302174">
      <w:pPr>
        <w:pStyle w:val="ListParagraph"/>
        <w:numPr>
          <w:ilvl w:val="0"/>
          <w:numId w:val="20"/>
        </w:numPr>
        <w:jc w:val="both"/>
        <w:rPr>
          <w:rFonts w:cs="Arial"/>
          <w:sz w:val="24"/>
          <w:szCs w:val="24"/>
          <w:lang w:val="en-GB"/>
        </w:rPr>
      </w:pPr>
      <w:r w:rsidRPr="00BC1ABD">
        <w:rPr>
          <w:rFonts w:cs="Arial"/>
          <w:sz w:val="24"/>
          <w:szCs w:val="24"/>
          <w:lang w:val="en-GB"/>
        </w:rPr>
        <w:t>glossary of terms relevant to the wholesale inputs and other items concerned.</w:t>
      </w:r>
    </w:p>
    <w:p w14:paraId="26B4B607" w14:textId="77777777" w:rsidR="00302174" w:rsidRPr="00BC1ABD" w:rsidRDefault="00302174" w:rsidP="00302174">
      <w:pPr>
        <w:pStyle w:val="ListParagraph"/>
        <w:ind w:left="1080"/>
        <w:jc w:val="both"/>
        <w:rPr>
          <w:rFonts w:cs="Arial"/>
          <w:sz w:val="24"/>
          <w:szCs w:val="24"/>
          <w:lang w:val="en-GB"/>
        </w:rPr>
      </w:pPr>
    </w:p>
    <w:p w14:paraId="7DB804FA" w14:textId="77777777" w:rsidR="00AA7C4D" w:rsidRPr="00BC1ABD" w:rsidRDefault="00302174" w:rsidP="007B3457">
      <w:pPr>
        <w:pStyle w:val="ListParagraph"/>
        <w:ind w:left="0"/>
        <w:jc w:val="both"/>
        <w:rPr>
          <w:rFonts w:cs="Arial"/>
          <w:sz w:val="24"/>
          <w:szCs w:val="24"/>
          <w:lang w:val="en-GB"/>
        </w:rPr>
      </w:pPr>
      <w:r w:rsidRPr="00BC1ABD">
        <w:rPr>
          <w:rFonts w:cs="Arial"/>
          <w:sz w:val="24"/>
          <w:szCs w:val="24"/>
          <w:lang w:val="en-GB"/>
        </w:rPr>
        <w:t>These requirements are fully in line with the EU best practices.</w:t>
      </w:r>
      <w:r w:rsidRPr="00BC1ABD">
        <w:rPr>
          <w:rStyle w:val="FootnoteReference"/>
          <w:rFonts w:cs="Arial"/>
          <w:sz w:val="24"/>
          <w:szCs w:val="24"/>
          <w:lang w:val="en-GB"/>
        </w:rPr>
        <w:footnoteReference w:id="113"/>
      </w:r>
      <w:r w:rsidRPr="00BC1ABD">
        <w:rPr>
          <w:rFonts w:cs="Arial"/>
          <w:sz w:val="24"/>
          <w:szCs w:val="24"/>
          <w:lang w:val="en-GB"/>
        </w:rPr>
        <w:t xml:space="preserve"> </w:t>
      </w:r>
    </w:p>
    <w:p w14:paraId="17A3F43E" w14:textId="48D5F740" w:rsidR="00B271E6" w:rsidRPr="00BC1ABD" w:rsidRDefault="00E97488" w:rsidP="00C2733F">
      <w:pPr>
        <w:pStyle w:val="Heading2"/>
        <w:numPr>
          <w:ilvl w:val="1"/>
          <w:numId w:val="88"/>
        </w:numPr>
        <w:spacing w:after="240"/>
        <w:rPr>
          <w:lang w:val="en-GB"/>
        </w:rPr>
      </w:pPr>
      <w:bookmarkStart w:id="363" w:name="_Toc169259009"/>
      <w:r w:rsidRPr="00BC1ABD">
        <w:rPr>
          <w:lang w:val="en-GB"/>
        </w:rPr>
        <w:t xml:space="preserve">Price control and </w:t>
      </w:r>
      <w:r w:rsidR="0061391A">
        <w:rPr>
          <w:lang w:val="en-GB"/>
        </w:rPr>
        <w:t>c</w:t>
      </w:r>
      <w:r w:rsidR="00B271E6" w:rsidRPr="00BC1ABD">
        <w:rPr>
          <w:lang w:val="en-GB"/>
        </w:rPr>
        <w:t>ost accounting</w:t>
      </w:r>
      <w:bookmarkEnd w:id="363"/>
    </w:p>
    <w:p w14:paraId="07DDA719" w14:textId="2F0E5F4A" w:rsidR="00604139" w:rsidRPr="00BC1ABD" w:rsidRDefault="00604139" w:rsidP="00107D61">
      <w:pPr>
        <w:jc w:val="both"/>
        <w:rPr>
          <w:rFonts w:cs="Arial"/>
          <w:sz w:val="24"/>
          <w:szCs w:val="24"/>
          <w:lang w:val="en-GB"/>
        </w:rPr>
      </w:pPr>
      <w:r w:rsidRPr="00BC1ABD">
        <w:rPr>
          <w:rFonts w:cs="Arial"/>
          <w:sz w:val="24"/>
          <w:szCs w:val="24"/>
          <w:lang w:val="en-GB"/>
        </w:rPr>
        <w:t xml:space="preserve">Pursuant to Article </w:t>
      </w:r>
      <w:r w:rsidR="00E80487" w:rsidRPr="00BC1ABD">
        <w:rPr>
          <w:rFonts w:cs="Arial"/>
          <w:sz w:val="24"/>
          <w:szCs w:val="24"/>
          <w:lang w:val="en-GB"/>
        </w:rPr>
        <w:t>35 of the law</w:t>
      </w:r>
      <w:r w:rsidRPr="00BC1ABD">
        <w:rPr>
          <w:rFonts w:cs="Arial"/>
          <w:sz w:val="24"/>
          <w:szCs w:val="24"/>
          <w:lang w:val="en-GB"/>
        </w:rPr>
        <w:t xml:space="preserve">, </w:t>
      </w:r>
      <w:r w:rsidR="009B5ED4" w:rsidRPr="00BC1ABD">
        <w:rPr>
          <w:rFonts w:cs="Arial"/>
          <w:sz w:val="24"/>
          <w:szCs w:val="24"/>
          <w:lang w:val="en-GB"/>
        </w:rPr>
        <w:t>ComCom</w:t>
      </w:r>
      <w:r w:rsidRPr="00BC1ABD">
        <w:rPr>
          <w:rFonts w:cs="Arial"/>
          <w:sz w:val="24"/>
          <w:szCs w:val="24"/>
          <w:lang w:val="en-GB"/>
        </w:rPr>
        <w:t xml:space="preserve"> has the right to impose on </w:t>
      </w:r>
      <w:r w:rsidR="009B5ED4" w:rsidRPr="00BC1ABD">
        <w:rPr>
          <w:rFonts w:cs="Arial"/>
          <w:sz w:val="24"/>
          <w:szCs w:val="24"/>
          <w:lang w:val="en-GB"/>
        </w:rPr>
        <w:t xml:space="preserve">the SMP </w:t>
      </w:r>
      <w:r w:rsidRPr="00BC1ABD">
        <w:rPr>
          <w:rFonts w:cs="Arial"/>
          <w:sz w:val="24"/>
          <w:szCs w:val="24"/>
          <w:lang w:val="en-GB"/>
        </w:rPr>
        <w:t xml:space="preserve">operator </w:t>
      </w:r>
      <w:r w:rsidR="009B5ED4" w:rsidRPr="00BC1ABD">
        <w:rPr>
          <w:rFonts w:cs="Arial"/>
          <w:sz w:val="24"/>
          <w:szCs w:val="24"/>
          <w:lang w:val="en-GB"/>
        </w:rPr>
        <w:t xml:space="preserve">regulatory </w:t>
      </w:r>
      <w:r w:rsidRPr="00BC1ABD">
        <w:rPr>
          <w:rFonts w:cs="Arial"/>
          <w:sz w:val="24"/>
          <w:szCs w:val="24"/>
          <w:lang w:val="en-GB"/>
        </w:rPr>
        <w:t xml:space="preserve">obligations related to cost recovery and price control, including the obligation of cost orientation of prices, and the obligation to </w:t>
      </w:r>
      <w:r w:rsidR="009B5ED4" w:rsidRPr="00BC1ABD">
        <w:rPr>
          <w:rFonts w:cs="Arial"/>
          <w:sz w:val="24"/>
          <w:szCs w:val="24"/>
          <w:lang w:val="en-GB"/>
        </w:rPr>
        <w:t>apply</w:t>
      </w:r>
      <w:r w:rsidRPr="00BC1ABD">
        <w:rPr>
          <w:rFonts w:cs="Arial"/>
          <w:sz w:val="24"/>
          <w:szCs w:val="24"/>
          <w:lang w:val="en-GB"/>
        </w:rPr>
        <w:t xml:space="preserve"> cost accounting, which relate</w:t>
      </w:r>
      <w:r w:rsidR="0061391A">
        <w:rPr>
          <w:rFonts w:cs="Arial"/>
          <w:sz w:val="24"/>
          <w:szCs w:val="24"/>
          <w:lang w:val="en-GB"/>
        </w:rPr>
        <w:t>s</w:t>
      </w:r>
      <w:r w:rsidRPr="00BC1ABD">
        <w:rPr>
          <w:rFonts w:cs="Arial"/>
          <w:sz w:val="24"/>
          <w:szCs w:val="24"/>
          <w:lang w:val="en-GB"/>
        </w:rPr>
        <w:t xml:space="preserve"> to the provision of certain types of interconnection and/</w:t>
      </w:r>
      <w:r w:rsidR="005174B8">
        <w:rPr>
          <w:rFonts w:cs="Arial"/>
          <w:sz w:val="24"/>
          <w:szCs w:val="24"/>
          <w:lang w:val="en-GB"/>
        </w:rPr>
        <w:t xml:space="preserve"> </w:t>
      </w:r>
      <w:r w:rsidRPr="00BC1ABD">
        <w:rPr>
          <w:rFonts w:cs="Arial"/>
          <w:sz w:val="24"/>
          <w:szCs w:val="24"/>
          <w:lang w:val="en-GB"/>
        </w:rPr>
        <w:t xml:space="preserve">or access. </w:t>
      </w:r>
    </w:p>
    <w:p w14:paraId="5D6022E0" w14:textId="65525AEC" w:rsidR="00E80487" w:rsidRPr="00BC1ABD" w:rsidRDefault="00E80487" w:rsidP="00107D61">
      <w:pPr>
        <w:jc w:val="both"/>
        <w:rPr>
          <w:rFonts w:cs="Arial"/>
          <w:sz w:val="24"/>
          <w:szCs w:val="24"/>
          <w:lang w:val="en-GB"/>
        </w:rPr>
      </w:pPr>
      <w:r w:rsidRPr="00BC1ABD">
        <w:rPr>
          <w:rFonts w:cs="Arial"/>
          <w:sz w:val="24"/>
          <w:szCs w:val="24"/>
          <w:lang w:val="en-GB"/>
        </w:rPr>
        <w:t>When determining</w:t>
      </w:r>
      <w:r w:rsidR="008D72AB" w:rsidRPr="00BC1ABD">
        <w:rPr>
          <w:rFonts w:cs="Arial"/>
          <w:sz w:val="24"/>
          <w:szCs w:val="24"/>
          <w:lang w:val="en-GB"/>
        </w:rPr>
        <w:t xml:space="preserve"> </w:t>
      </w:r>
      <w:r w:rsidRPr="00BC1ABD">
        <w:rPr>
          <w:rFonts w:cs="Arial"/>
          <w:sz w:val="24"/>
          <w:szCs w:val="24"/>
          <w:lang w:val="en-GB"/>
        </w:rPr>
        <w:t xml:space="preserve">this obligation, </w:t>
      </w:r>
      <w:r w:rsidR="009B5ED4" w:rsidRPr="00BC1ABD">
        <w:rPr>
          <w:rFonts w:cs="Arial"/>
          <w:sz w:val="24"/>
          <w:szCs w:val="24"/>
          <w:lang w:val="en-GB"/>
        </w:rPr>
        <w:t xml:space="preserve">ComCom has taken into account the need to </w:t>
      </w:r>
      <w:r w:rsidRPr="00BC1ABD">
        <w:rPr>
          <w:rFonts w:cs="Arial"/>
          <w:sz w:val="24"/>
          <w:szCs w:val="24"/>
          <w:lang w:val="en-GB"/>
        </w:rPr>
        <w:t xml:space="preserve">promote market competition and the long-term interests of end-users </w:t>
      </w:r>
      <w:r w:rsidR="009B5ED4" w:rsidRPr="00BC1ABD">
        <w:rPr>
          <w:rFonts w:cs="Arial"/>
          <w:sz w:val="24"/>
          <w:szCs w:val="24"/>
          <w:lang w:val="en-GB"/>
        </w:rPr>
        <w:t xml:space="preserve">and at the same time the need to </w:t>
      </w:r>
      <w:r w:rsidRPr="00BC1ABD">
        <w:rPr>
          <w:rFonts w:cs="Arial"/>
          <w:sz w:val="24"/>
          <w:szCs w:val="24"/>
          <w:lang w:val="en-GB"/>
        </w:rPr>
        <w:t>encourage investment</w:t>
      </w:r>
      <w:r w:rsidR="009B5ED4" w:rsidRPr="00BC1ABD">
        <w:rPr>
          <w:rFonts w:cs="Arial"/>
          <w:sz w:val="24"/>
          <w:szCs w:val="24"/>
          <w:lang w:val="en-GB"/>
        </w:rPr>
        <w:t xml:space="preserve"> in </w:t>
      </w:r>
      <w:r w:rsidR="00F026B4">
        <w:rPr>
          <w:rFonts w:cs="Arial"/>
          <w:sz w:val="24"/>
          <w:szCs w:val="24"/>
          <w:lang w:val="en-GB"/>
        </w:rPr>
        <w:t>FTTx</w:t>
      </w:r>
      <w:r w:rsidR="009B5ED4" w:rsidRPr="00BC1ABD">
        <w:rPr>
          <w:rFonts w:cs="Arial"/>
          <w:sz w:val="24"/>
          <w:szCs w:val="24"/>
          <w:lang w:val="en-GB"/>
        </w:rPr>
        <w:t xml:space="preserve"> infrastructure for all operators. That is why ComCom, based on the conclusions made in chapter </w:t>
      </w:r>
      <w:r w:rsidR="004F1083">
        <w:rPr>
          <w:rFonts w:cs="Arial"/>
          <w:sz w:val="24"/>
          <w:szCs w:val="24"/>
          <w:lang w:val="en-GB"/>
        </w:rPr>
        <w:t>6</w:t>
      </w:r>
      <w:r w:rsidR="004F1083" w:rsidRPr="00BC1ABD">
        <w:rPr>
          <w:rFonts w:cs="Arial"/>
          <w:sz w:val="24"/>
          <w:szCs w:val="24"/>
          <w:lang w:val="en-GB"/>
        </w:rPr>
        <w:t xml:space="preserve"> </w:t>
      </w:r>
      <w:r w:rsidR="009B5ED4" w:rsidRPr="00BC1ABD">
        <w:rPr>
          <w:rFonts w:cs="Arial"/>
          <w:sz w:val="24"/>
          <w:szCs w:val="24"/>
          <w:lang w:val="en-GB"/>
        </w:rPr>
        <w:t>dealing with different infrastructure competition conditions in different areas of the country</w:t>
      </w:r>
      <w:r w:rsidR="0061391A" w:rsidRPr="00A746C3">
        <w:rPr>
          <w:rFonts w:cs="Arial"/>
          <w:sz w:val="24"/>
          <w:szCs w:val="24"/>
          <w:lang w:val="en-GB"/>
        </w:rPr>
        <w:t xml:space="preserve"> </w:t>
      </w:r>
      <w:r w:rsidR="0061391A" w:rsidRPr="00BC1ABD">
        <w:rPr>
          <w:rFonts w:cs="Arial"/>
          <w:sz w:val="24"/>
          <w:szCs w:val="24"/>
          <w:lang w:val="en-GB"/>
        </w:rPr>
        <w:t>defined different regulatory obligations related to price control in each area.</w:t>
      </w:r>
      <w:r w:rsidR="0061391A" w:rsidRPr="00A746C3">
        <w:rPr>
          <w:rFonts w:cs="Arial"/>
          <w:sz w:val="24"/>
          <w:szCs w:val="24"/>
          <w:lang w:val="en-GB"/>
        </w:rPr>
        <w:t xml:space="preserve"> These different regulatory obligations (recognise the </w:t>
      </w:r>
      <w:r w:rsidR="00624899" w:rsidRPr="00BC1ABD">
        <w:rPr>
          <w:rFonts w:cs="Arial"/>
          <w:sz w:val="24"/>
          <w:szCs w:val="24"/>
          <w:lang w:val="en-GB"/>
        </w:rPr>
        <w:t>different level</w:t>
      </w:r>
      <w:r w:rsidR="0061391A">
        <w:rPr>
          <w:rFonts w:cs="Arial"/>
          <w:sz w:val="24"/>
          <w:szCs w:val="24"/>
          <w:lang w:val="en-GB"/>
        </w:rPr>
        <w:t>s</w:t>
      </w:r>
      <w:r w:rsidR="00624899" w:rsidRPr="00BC1ABD">
        <w:rPr>
          <w:rFonts w:cs="Arial"/>
          <w:sz w:val="24"/>
          <w:szCs w:val="24"/>
          <w:lang w:val="en-GB"/>
        </w:rPr>
        <w:t xml:space="preserve"> of contestability of </w:t>
      </w:r>
      <w:r w:rsidR="00163441" w:rsidRPr="00BC1ABD">
        <w:rPr>
          <w:rFonts w:cs="Arial"/>
          <w:sz w:val="24"/>
          <w:szCs w:val="24"/>
          <w:lang w:val="en-GB"/>
        </w:rPr>
        <w:t>Clusters</w:t>
      </w:r>
      <w:r w:rsidR="00624899" w:rsidRPr="00BC1ABD">
        <w:rPr>
          <w:rFonts w:cs="Arial"/>
          <w:sz w:val="24"/>
          <w:szCs w:val="24"/>
          <w:lang w:val="en-GB"/>
        </w:rPr>
        <w:t xml:space="preserve"> I, II and III,</w:t>
      </w:r>
      <w:r w:rsidR="009B5ED4" w:rsidRPr="00BC1ABD">
        <w:rPr>
          <w:rFonts w:cs="Arial"/>
          <w:sz w:val="24"/>
          <w:szCs w:val="24"/>
          <w:lang w:val="en-GB"/>
        </w:rPr>
        <w:t xml:space="preserve"> as well as </w:t>
      </w:r>
      <w:r w:rsidR="0061391A">
        <w:rPr>
          <w:rFonts w:cs="Arial"/>
          <w:sz w:val="24"/>
          <w:szCs w:val="24"/>
          <w:lang w:val="en-GB"/>
        </w:rPr>
        <w:t>dealing with the</w:t>
      </w:r>
      <w:r w:rsidR="0061391A" w:rsidRPr="00BC1ABD">
        <w:rPr>
          <w:rFonts w:cs="Arial"/>
          <w:sz w:val="24"/>
          <w:szCs w:val="24"/>
          <w:lang w:val="en-GB"/>
        </w:rPr>
        <w:t xml:space="preserve"> </w:t>
      </w:r>
      <w:r w:rsidR="0061391A">
        <w:rPr>
          <w:rFonts w:cs="Arial"/>
          <w:sz w:val="24"/>
          <w:szCs w:val="24"/>
          <w:lang w:val="en-GB"/>
        </w:rPr>
        <w:t xml:space="preserve">competition problems defined in </w:t>
      </w:r>
      <w:r w:rsidR="009B5ED4" w:rsidRPr="00BC1ABD">
        <w:rPr>
          <w:rFonts w:cs="Arial"/>
          <w:sz w:val="24"/>
          <w:szCs w:val="24"/>
          <w:lang w:val="en-GB"/>
        </w:rPr>
        <w:t xml:space="preserve">chapter </w:t>
      </w:r>
      <w:r w:rsidR="004F1083">
        <w:rPr>
          <w:rFonts w:cs="Arial"/>
          <w:sz w:val="24"/>
          <w:szCs w:val="24"/>
          <w:lang w:val="en-GB"/>
        </w:rPr>
        <w:t>7</w:t>
      </w:r>
      <w:r w:rsidR="0061391A">
        <w:rPr>
          <w:rFonts w:cs="Arial"/>
          <w:sz w:val="24"/>
          <w:szCs w:val="24"/>
          <w:lang w:val="en-GB"/>
        </w:rPr>
        <w:t>.</w:t>
      </w:r>
    </w:p>
    <w:p w14:paraId="4C26DF70" w14:textId="533BFCD7" w:rsidR="00E8246A" w:rsidRPr="00BC1ABD" w:rsidRDefault="00E8246A" w:rsidP="00107D61">
      <w:pPr>
        <w:jc w:val="both"/>
        <w:rPr>
          <w:rFonts w:cs="Arial"/>
          <w:sz w:val="24"/>
          <w:szCs w:val="24"/>
          <w:lang w:val="en-GB"/>
        </w:rPr>
      </w:pPr>
      <w:r w:rsidRPr="00BC1ABD">
        <w:rPr>
          <w:rFonts w:cs="Arial"/>
          <w:sz w:val="24"/>
          <w:szCs w:val="24"/>
          <w:lang w:val="en-GB"/>
        </w:rPr>
        <w:t>It should be noted that the obligation of price control itself</w:t>
      </w:r>
      <w:r w:rsidR="0061391A">
        <w:rPr>
          <w:rFonts w:cs="Arial"/>
          <w:sz w:val="24"/>
          <w:szCs w:val="24"/>
          <w:lang w:val="en-GB"/>
        </w:rPr>
        <w:t xml:space="preserve"> (</w:t>
      </w:r>
      <w:r w:rsidRPr="00BC1ABD">
        <w:rPr>
          <w:rFonts w:cs="Arial"/>
          <w:sz w:val="24"/>
          <w:szCs w:val="24"/>
          <w:lang w:val="en-GB"/>
        </w:rPr>
        <w:t>i.e. cost orientation</w:t>
      </w:r>
      <w:r w:rsidR="0061391A">
        <w:rPr>
          <w:rFonts w:cs="Arial"/>
          <w:sz w:val="24"/>
          <w:szCs w:val="24"/>
          <w:lang w:val="en-GB"/>
        </w:rPr>
        <w:t>),</w:t>
      </w:r>
      <w:r w:rsidRPr="00BC1ABD">
        <w:rPr>
          <w:rFonts w:cs="Arial"/>
          <w:sz w:val="24"/>
          <w:szCs w:val="24"/>
          <w:lang w:val="en-GB"/>
        </w:rPr>
        <w:t xml:space="preserve"> in the absence of regulation on the</w:t>
      </w:r>
      <w:r w:rsidR="0061391A">
        <w:rPr>
          <w:rFonts w:cs="Arial"/>
          <w:sz w:val="24"/>
          <w:szCs w:val="24"/>
          <w:lang w:val="en-GB"/>
        </w:rPr>
        <w:t xml:space="preserve"> </w:t>
      </w:r>
      <w:r w:rsidRPr="00BC1ABD">
        <w:rPr>
          <w:rFonts w:cs="Arial"/>
          <w:sz w:val="24"/>
          <w:szCs w:val="24"/>
          <w:lang w:val="en-GB"/>
        </w:rPr>
        <w:t xml:space="preserve">broadband access retail market, cannot prevent the setting of excessively low retail prices by operators with </w:t>
      </w:r>
      <w:r w:rsidR="0061391A">
        <w:rPr>
          <w:rFonts w:cs="Arial"/>
          <w:sz w:val="24"/>
          <w:szCs w:val="24"/>
          <w:lang w:val="en-GB"/>
        </w:rPr>
        <w:t>SMP</w:t>
      </w:r>
      <w:r w:rsidRPr="00BC1ABD">
        <w:rPr>
          <w:rFonts w:cs="Arial"/>
          <w:sz w:val="24"/>
          <w:szCs w:val="24"/>
          <w:lang w:val="en-GB"/>
        </w:rPr>
        <w:t xml:space="preserve">. ComCom </w:t>
      </w:r>
      <w:r w:rsidR="0061391A">
        <w:rPr>
          <w:rFonts w:cs="Arial"/>
          <w:sz w:val="24"/>
          <w:szCs w:val="24"/>
          <w:lang w:val="en-GB"/>
        </w:rPr>
        <w:t>has taken</w:t>
      </w:r>
      <w:r w:rsidRPr="00BC1ABD">
        <w:rPr>
          <w:rFonts w:cs="Arial"/>
          <w:sz w:val="24"/>
          <w:szCs w:val="24"/>
          <w:lang w:val="en-GB"/>
        </w:rPr>
        <w:t xml:space="preserve"> th</w:t>
      </w:r>
      <w:r w:rsidR="0061391A">
        <w:rPr>
          <w:rFonts w:cs="Arial"/>
          <w:sz w:val="24"/>
          <w:szCs w:val="24"/>
          <w:lang w:val="en-GB"/>
        </w:rPr>
        <w:t>is aspect</w:t>
      </w:r>
      <w:r w:rsidRPr="00BC1ABD">
        <w:rPr>
          <w:rFonts w:cs="Arial"/>
          <w:sz w:val="24"/>
          <w:szCs w:val="24"/>
          <w:lang w:val="en-GB"/>
        </w:rPr>
        <w:t xml:space="preserve"> into account in specifying </w:t>
      </w:r>
      <w:r w:rsidR="0061391A">
        <w:rPr>
          <w:rFonts w:cs="Arial"/>
          <w:sz w:val="24"/>
          <w:szCs w:val="24"/>
          <w:lang w:val="en-GB"/>
        </w:rPr>
        <w:t xml:space="preserve">the </w:t>
      </w:r>
      <w:r w:rsidRPr="00BC1ABD">
        <w:rPr>
          <w:rFonts w:cs="Arial"/>
          <w:sz w:val="24"/>
          <w:szCs w:val="24"/>
          <w:lang w:val="en-GB"/>
        </w:rPr>
        <w:t xml:space="preserve">exact regulatory obligations in </w:t>
      </w:r>
      <w:r w:rsidR="002F05D0" w:rsidRPr="00BC1ABD">
        <w:rPr>
          <w:rFonts w:cs="Arial"/>
          <w:sz w:val="24"/>
          <w:szCs w:val="24"/>
          <w:lang w:val="en-GB"/>
        </w:rPr>
        <w:t>Cluster</w:t>
      </w:r>
      <w:r w:rsidR="00624899" w:rsidRPr="00BC1ABD">
        <w:rPr>
          <w:rFonts w:cs="Arial"/>
          <w:sz w:val="24"/>
          <w:szCs w:val="24"/>
          <w:lang w:val="en-GB"/>
        </w:rPr>
        <w:t xml:space="preserve"> </w:t>
      </w:r>
      <w:r w:rsidRPr="00BC1ABD">
        <w:rPr>
          <w:rFonts w:cs="Arial"/>
          <w:sz w:val="24"/>
          <w:szCs w:val="24"/>
          <w:lang w:val="en-GB"/>
        </w:rPr>
        <w:t xml:space="preserve">I and </w:t>
      </w:r>
      <w:r w:rsidR="002F05D0" w:rsidRPr="00BC1ABD">
        <w:rPr>
          <w:rFonts w:cs="Arial"/>
          <w:sz w:val="24"/>
          <w:szCs w:val="24"/>
          <w:lang w:val="en-GB"/>
        </w:rPr>
        <w:t>Cluster</w:t>
      </w:r>
      <w:r w:rsidRPr="00BC1ABD">
        <w:rPr>
          <w:rFonts w:cs="Arial"/>
          <w:sz w:val="24"/>
          <w:szCs w:val="24"/>
          <w:lang w:val="en-GB"/>
        </w:rPr>
        <w:t xml:space="preserve"> II </w:t>
      </w:r>
      <w:r w:rsidR="00624899" w:rsidRPr="00BC1ABD">
        <w:rPr>
          <w:rFonts w:cs="Arial"/>
          <w:sz w:val="24"/>
          <w:szCs w:val="24"/>
          <w:lang w:val="en-GB"/>
        </w:rPr>
        <w:t>in</w:t>
      </w:r>
      <w:r w:rsidRPr="00BC1ABD">
        <w:rPr>
          <w:rFonts w:cs="Arial"/>
          <w:sz w:val="24"/>
          <w:szCs w:val="24"/>
          <w:lang w:val="en-GB"/>
        </w:rPr>
        <w:t xml:space="preserve"> this section.</w:t>
      </w:r>
    </w:p>
    <w:p w14:paraId="0A56B364" w14:textId="298F7E34" w:rsidR="009B5ED4" w:rsidRPr="00BC1ABD" w:rsidRDefault="007065E5" w:rsidP="00107D61">
      <w:pPr>
        <w:jc w:val="both"/>
        <w:rPr>
          <w:rFonts w:cs="Arial"/>
          <w:sz w:val="24"/>
          <w:szCs w:val="24"/>
          <w:lang w:val="en-GB"/>
        </w:rPr>
      </w:pPr>
      <w:r w:rsidRPr="00BC1ABD">
        <w:rPr>
          <w:rFonts w:cs="Arial"/>
          <w:sz w:val="24"/>
          <w:szCs w:val="24"/>
          <w:lang w:val="en-GB"/>
        </w:rPr>
        <w:t xml:space="preserve">According to Article 35 of the Law </w:t>
      </w:r>
      <w:r w:rsidR="00624899" w:rsidRPr="00BC1ABD">
        <w:rPr>
          <w:rFonts w:cs="Arial"/>
          <w:sz w:val="24"/>
          <w:szCs w:val="24"/>
          <w:lang w:val="en-GB"/>
        </w:rPr>
        <w:t>and in line with the principle of</w:t>
      </w:r>
      <w:r w:rsidR="00E46B8B" w:rsidRPr="00BC1ABD">
        <w:rPr>
          <w:rFonts w:cs="Arial"/>
          <w:sz w:val="24"/>
          <w:szCs w:val="24"/>
          <w:lang w:val="en-GB"/>
        </w:rPr>
        <w:t xml:space="preserve"> </w:t>
      </w:r>
      <w:r w:rsidR="00E46B8B">
        <w:rPr>
          <w:rFonts w:cs="Arial"/>
          <w:sz w:val="24"/>
          <w:szCs w:val="24"/>
          <w:lang w:val="en-GB"/>
        </w:rPr>
        <w:t>proportionality</w:t>
      </w:r>
      <w:r w:rsidR="00E46B8B" w:rsidRPr="00BC1ABD">
        <w:rPr>
          <w:rFonts w:cs="Arial"/>
          <w:sz w:val="24"/>
          <w:szCs w:val="24"/>
          <w:lang w:val="en-GB"/>
        </w:rPr>
        <w:t xml:space="preserve"> set out in </w:t>
      </w:r>
      <w:r w:rsidR="00E46B8B" w:rsidRPr="003E5448">
        <w:rPr>
          <w:rFonts w:cs="Arial"/>
          <w:sz w:val="24"/>
          <w:szCs w:val="24"/>
          <w:highlight w:val="green"/>
          <w:lang w:val="en-GB"/>
        </w:rPr>
        <w:t>Art.1</w:t>
      </w:r>
      <w:r w:rsidR="00DE2E8C" w:rsidRPr="003E5448">
        <w:rPr>
          <w:rFonts w:cs="Arial"/>
          <w:sz w:val="24"/>
          <w:szCs w:val="24"/>
          <w:highlight w:val="green"/>
          <w:lang w:val="en-GB"/>
        </w:rPr>
        <w:t>7</w:t>
      </w:r>
      <w:r w:rsidR="00E46B8B" w:rsidRPr="003E5448">
        <w:rPr>
          <w:rFonts w:cs="Arial"/>
          <w:sz w:val="24"/>
          <w:szCs w:val="24"/>
          <w:highlight w:val="green"/>
          <w:lang w:val="en-GB"/>
        </w:rPr>
        <w:t>(</w:t>
      </w:r>
      <w:r w:rsidR="00DE2E8C" w:rsidRPr="003E5448">
        <w:rPr>
          <w:rFonts w:cs="Arial"/>
          <w:sz w:val="24"/>
          <w:szCs w:val="24"/>
          <w:highlight w:val="green"/>
          <w:lang w:val="en-GB"/>
        </w:rPr>
        <w:t>1</w:t>
      </w:r>
      <w:r w:rsidR="00E46B8B" w:rsidRPr="003E5448">
        <w:rPr>
          <w:rFonts w:cs="Arial"/>
          <w:sz w:val="24"/>
          <w:szCs w:val="24"/>
          <w:highlight w:val="green"/>
          <w:lang w:val="en-GB"/>
        </w:rPr>
        <w:t xml:space="preserve">) </w:t>
      </w:r>
      <w:r w:rsidR="00DE2E8C" w:rsidRPr="003E5448">
        <w:rPr>
          <w:rFonts w:cs="Arial"/>
          <w:sz w:val="24"/>
          <w:szCs w:val="24"/>
          <w:highlight w:val="green"/>
          <w:lang w:val="en-GB"/>
        </w:rPr>
        <w:t>c</w:t>
      </w:r>
      <w:r w:rsidR="00E46B8B" w:rsidRPr="003E5448">
        <w:rPr>
          <w:rFonts w:cs="Arial"/>
          <w:sz w:val="24"/>
          <w:szCs w:val="24"/>
          <w:highlight w:val="green"/>
          <w:lang w:val="en-GB"/>
        </w:rPr>
        <w:t>) of the revised</w:t>
      </w:r>
      <w:r w:rsidR="00E46B8B">
        <w:rPr>
          <w:rFonts w:cs="Arial"/>
          <w:sz w:val="24"/>
          <w:szCs w:val="24"/>
          <w:lang w:val="en-GB"/>
        </w:rPr>
        <w:t xml:space="preserve"> </w:t>
      </w:r>
      <w:r w:rsidR="00624899" w:rsidRPr="00BC1ABD">
        <w:rPr>
          <w:rFonts w:cs="Arial"/>
          <w:sz w:val="24"/>
          <w:szCs w:val="24"/>
          <w:lang w:val="en-GB"/>
        </w:rPr>
        <w:t xml:space="preserve">Methodological rules (based on findings from Chapter </w:t>
      </w:r>
      <w:r w:rsidR="00380E30">
        <w:rPr>
          <w:rFonts w:cs="Arial"/>
          <w:sz w:val="24"/>
          <w:szCs w:val="24"/>
          <w:lang w:val="en-GB"/>
        </w:rPr>
        <w:t>7</w:t>
      </w:r>
      <w:r w:rsidR="00624899" w:rsidRPr="00BC1ABD">
        <w:rPr>
          <w:rFonts w:cs="Arial"/>
          <w:sz w:val="24"/>
          <w:szCs w:val="24"/>
          <w:lang w:val="en-GB"/>
        </w:rPr>
        <w:t xml:space="preserve">.1), </w:t>
      </w:r>
      <w:r w:rsidR="009B5ED4" w:rsidRPr="00BC1ABD">
        <w:rPr>
          <w:rFonts w:cs="Arial"/>
          <w:sz w:val="24"/>
          <w:szCs w:val="24"/>
          <w:lang w:val="en-GB"/>
        </w:rPr>
        <w:t xml:space="preserve">ComCom proposes that </w:t>
      </w:r>
      <w:r w:rsidR="0061391A">
        <w:rPr>
          <w:rFonts w:cs="Arial"/>
          <w:sz w:val="24"/>
          <w:szCs w:val="24"/>
          <w:lang w:val="en-GB"/>
        </w:rPr>
        <w:t xml:space="preserve">the </w:t>
      </w:r>
      <w:r w:rsidRPr="00BC1ABD">
        <w:rPr>
          <w:rFonts w:cs="Arial"/>
          <w:sz w:val="24"/>
          <w:szCs w:val="24"/>
          <w:lang w:val="en-GB"/>
        </w:rPr>
        <w:t xml:space="preserve">SMP </w:t>
      </w:r>
      <w:r w:rsidR="009B5ED4" w:rsidRPr="00BC1ABD">
        <w:rPr>
          <w:rFonts w:cs="Arial"/>
          <w:sz w:val="24"/>
          <w:szCs w:val="24"/>
          <w:lang w:val="en-GB"/>
        </w:rPr>
        <w:t>operator is required to:</w:t>
      </w:r>
    </w:p>
    <w:p w14:paraId="3B2CC5CA" w14:textId="22239F93" w:rsidR="00E80487" w:rsidRPr="00BC1ABD" w:rsidRDefault="002F05D0" w:rsidP="00107D61">
      <w:pPr>
        <w:jc w:val="both"/>
        <w:rPr>
          <w:rFonts w:cs="Arial"/>
          <w:sz w:val="24"/>
          <w:szCs w:val="24"/>
          <w:u w:val="single"/>
          <w:lang w:val="en-GB"/>
        </w:rPr>
      </w:pPr>
      <w:r w:rsidRPr="00BC1ABD">
        <w:rPr>
          <w:rFonts w:cs="Arial"/>
          <w:sz w:val="24"/>
          <w:szCs w:val="24"/>
          <w:u w:val="single"/>
          <w:lang w:val="en-GB"/>
        </w:rPr>
        <w:t xml:space="preserve">Cluster </w:t>
      </w:r>
      <w:r w:rsidR="00E80487" w:rsidRPr="00BC1ABD">
        <w:rPr>
          <w:rFonts w:cs="Arial"/>
          <w:sz w:val="24"/>
          <w:szCs w:val="24"/>
          <w:u w:val="single"/>
          <w:lang w:val="en-GB"/>
        </w:rPr>
        <w:t>I</w:t>
      </w:r>
      <w:r w:rsidR="0061391A">
        <w:rPr>
          <w:rFonts w:cs="Arial"/>
          <w:sz w:val="24"/>
          <w:szCs w:val="24"/>
          <w:u w:val="single"/>
          <w:lang w:val="en-GB"/>
        </w:rPr>
        <w:t>:</w:t>
      </w:r>
    </w:p>
    <w:p w14:paraId="3FACB4A5" w14:textId="0A6C4E51" w:rsidR="00604139" w:rsidRPr="00BC1ABD" w:rsidRDefault="00177D5C">
      <w:pPr>
        <w:pStyle w:val="ListParagraph"/>
        <w:numPr>
          <w:ilvl w:val="0"/>
          <w:numId w:val="13"/>
        </w:numPr>
        <w:jc w:val="both"/>
        <w:rPr>
          <w:rFonts w:cs="Arial"/>
          <w:sz w:val="24"/>
          <w:szCs w:val="24"/>
          <w:lang w:val="en-GB"/>
        </w:rPr>
      </w:pPr>
      <w:r>
        <w:rPr>
          <w:rFonts w:cs="Arial"/>
          <w:sz w:val="24"/>
          <w:szCs w:val="24"/>
          <w:lang w:val="en-GB"/>
        </w:rPr>
        <w:t>D</w:t>
      </w:r>
      <w:r w:rsidR="007065E5" w:rsidRPr="00BC1ABD">
        <w:rPr>
          <w:rFonts w:cs="Arial"/>
          <w:sz w:val="24"/>
          <w:szCs w:val="24"/>
          <w:lang w:val="en-GB"/>
        </w:rPr>
        <w:t>efine</w:t>
      </w:r>
      <w:r w:rsidR="00604139" w:rsidRPr="00BC1ABD">
        <w:rPr>
          <w:rFonts w:cs="Arial"/>
          <w:sz w:val="24"/>
          <w:szCs w:val="24"/>
          <w:lang w:val="en-GB"/>
        </w:rPr>
        <w:t xml:space="preserve"> prices for using </w:t>
      </w:r>
      <w:r w:rsidR="006827EC" w:rsidRPr="003E5448">
        <w:rPr>
          <w:rFonts w:cs="Arial"/>
          <w:sz w:val="24"/>
          <w:szCs w:val="24"/>
          <w:highlight w:val="yellow"/>
          <w:lang w:val="en-GB"/>
        </w:rPr>
        <w:t xml:space="preserve">VULA and </w:t>
      </w:r>
      <w:r w:rsidR="00604139" w:rsidRPr="003E5448">
        <w:rPr>
          <w:rFonts w:cs="Arial"/>
          <w:sz w:val="24"/>
          <w:szCs w:val="24"/>
          <w:highlight w:val="yellow"/>
          <w:lang w:val="en-GB"/>
        </w:rPr>
        <w:t>wholesale</w:t>
      </w:r>
      <w:r w:rsidR="00604139" w:rsidRPr="00BC1ABD">
        <w:rPr>
          <w:rFonts w:cs="Arial"/>
          <w:sz w:val="24"/>
          <w:szCs w:val="24"/>
          <w:lang w:val="en-GB"/>
        </w:rPr>
        <w:t xml:space="preserve"> </w:t>
      </w:r>
      <w:r w:rsidR="00E80487" w:rsidRPr="00BC1ABD">
        <w:rPr>
          <w:rFonts w:cs="Arial"/>
          <w:sz w:val="24"/>
          <w:szCs w:val="24"/>
          <w:lang w:val="en-GB"/>
        </w:rPr>
        <w:t xml:space="preserve">central </w:t>
      </w:r>
      <w:r w:rsidR="00604139" w:rsidRPr="00BC1ABD">
        <w:rPr>
          <w:rFonts w:cs="Arial"/>
          <w:sz w:val="24"/>
          <w:szCs w:val="24"/>
          <w:lang w:val="en-GB"/>
        </w:rPr>
        <w:t>access (bitstream access) services</w:t>
      </w:r>
      <w:r w:rsidR="001F2C22" w:rsidRPr="00BC1ABD">
        <w:rPr>
          <w:rFonts w:cs="Arial"/>
          <w:sz w:val="24"/>
          <w:szCs w:val="24"/>
          <w:lang w:val="en-GB"/>
        </w:rPr>
        <w:t xml:space="preserve"> (for all one-off and recurring fees)</w:t>
      </w:r>
      <w:r w:rsidR="00604139" w:rsidRPr="00BC1ABD">
        <w:rPr>
          <w:rFonts w:cs="Arial"/>
          <w:sz w:val="24"/>
          <w:szCs w:val="24"/>
          <w:lang w:val="en-GB"/>
        </w:rPr>
        <w:t>, which will include:</w:t>
      </w:r>
    </w:p>
    <w:p w14:paraId="5F9AE4BF" w14:textId="7219A74F" w:rsidR="00604139" w:rsidRPr="00BC1ABD" w:rsidRDefault="00177D5C">
      <w:pPr>
        <w:pStyle w:val="ListParagraph"/>
        <w:numPr>
          <w:ilvl w:val="1"/>
          <w:numId w:val="13"/>
        </w:numPr>
        <w:jc w:val="both"/>
        <w:rPr>
          <w:rFonts w:cs="Arial"/>
          <w:sz w:val="24"/>
          <w:szCs w:val="24"/>
          <w:lang w:val="en-GB"/>
        </w:rPr>
      </w:pPr>
      <w:r>
        <w:rPr>
          <w:rFonts w:cs="Arial"/>
          <w:sz w:val="24"/>
          <w:szCs w:val="24"/>
          <w:lang w:val="en-GB"/>
        </w:rPr>
        <w:t>A</w:t>
      </w:r>
      <w:r w:rsidR="00604139" w:rsidRPr="00BC1ABD">
        <w:rPr>
          <w:rFonts w:cs="Arial"/>
          <w:sz w:val="24"/>
          <w:szCs w:val="24"/>
          <w:lang w:val="en-GB"/>
        </w:rPr>
        <w:t xml:space="preserve">ll services in accordance with </w:t>
      </w:r>
      <w:r w:rsidR="004F1083" w:rsidRPr="004F1083">
        <w:rPr>
          <w:rFonts w:cs="Arial"/>
          <w:sz w:val="24"/>
          <w:szCs w:val="24"/>
          <w:lang w:val="en-GB"/>
        </w:rPr>
        <w:t xml:space="preserve">the access obligation </w:t>
      </w:r>
      <w:r w:rsidR="00604139" w:rsidRPr="00BC1ABD">
        <w:rPr>
          <w:rFonts w:cs="Arial"/>
          <w:sz w:val="24"/>
          <w:szCs w:val="24"/>
          <w:lang w:val="en-GB"/>
        </w:rPr>
        <w:t xml:space="preserve">from chapter </w:t>
      </w:r>
      <w:r w:rsidR="004F1083">
        <w:rPr>
          <w:rFonts w:cs="Arial"/>
          <w:sz w:val="24"/>
          <w:szCs w:val="24"/>
          <w:lang w:val="en-GB"/>
        </w:rPr>
        <w:t>8.1</w:t>
      </w:r>
      <w:r>
        <w:rPr>
          <w:rFonts w:cs="Arial"/>
          <w:sz w:val="24"/>
          <w:szCs w:val="24"/>
          <w:lang w:val="en-GB"/>
        </w:rPr>
        <w:t>;</w:t>
      </w:r>
    </w:p>
    <w:p w14:paraId="5446662D" w14:textId="480E6C18" w:rsidR="00604139" w:rsidRPr="00384D6A" w:rsidRDefault="00177D5C">
      <w:pPr>
        <w:pStyle w:val="ListParagraph"/>
        <w:numPr>
          <w:ilvl w:val="1"/>
          <w:numId w:val="13"/>
        </w:numPr>
        <w:jc w:val="both"/>
        <w:rPr>
          <w:rFonts w:cs="Arial"/>
          <w:sz w:val="24"/>
          <w:szCs w:val="24"/>
          <w:lang w:val="en-GB"/>
        </w:rPr>
      </w:pPr>
      <w:r w:rsidRPr="00384D6A">
        <w:rPr>
          <w:rFonts w:cs="Arial"/>
          <w:sz w:val="24"/>
          <w:szCs w:val="24"/>
          <w:lang w:val="en-GB"/>
        </w:rPr>
        <w:t>S</w:t>
      </w:r>
      <w:r w:rsidR="00604139" w:rsidRPr="00384D6A">
        <w:rPr>
          <w:rFonts w:cs="Arial"/>
          <w:sz w:val="24"/>
          <w:szCs w:val="24"/>
          <w:lang w:val="en-GB"/>
        </w:rPr>
        <w:t xml:space="preserve">pecial virtual channel services defined in chapter </w:t>
      </w:r>
      <w:r w:rsidR="004F1083" w:rsidRPr="00384D6A">
        <w:rPr>
          <w:rFonts w:cs="Arial"/>
          <w:sz w:val="24"/>
          <w:szCs w:val="24"/>
          <w:lang w:val="en-GB"/>
        </w:rPr>
        <w:t>8</w:t>
      </w:r>
      <w:r w:rsidR="00604139" w:rsidRPr="00384D6A">
        <w:rPr>
          <w:rFonts w:cs="Arial"/>
          <w:sz w:val="24"/>
          <w:szCs w:val="24"/>
          <w:lang w:val="en-GB"/>
        </w:rPr>
        <w:t>.1</w:t>
      </w:r>
      <w:r w:rsidRPr="00384D6A">
        <w:rPr>
          <w:rFonts w:cs="Arial"/>
          <w:sz w:val="24"/>
          <w:szCs w:val="24"/>
          <w:lang w:val="en-GB"/>
        </w:rPr>
        <w:t>;</w:t>
      </w:r>
    </w:p>
    <w:p w14:paraId="36E1158A" w14:textId="0C26A40B" w:rsidR="009421FB" w:rsidRPr="00384D6A" w:rsidRDefault="00932600">
      <w:pPr>
        <w:pStyle w:val="ListParagraph"/>
        <w:numPr>
          <w:ilvl w:val="1"/>
          <w:numId w:val="13"/>
        </w:numPr>
        <w:jc w:val="both"/>
        <w:rPr>
          <w:rFonts w:cs="Arial"/>
          <w:sz w:val="24"/>
          <w:szCs w:val="24"/>
          <w:lang w:val="en-GB"/>
        </w:rPr>
      </w:pPr>
      <w:r w:rsidRPr="00384D6A">
        <w:rPr>
          <w:rFonts w:cs="Arial"/>
          <w:sz w:val="24"/>
          <w:szCs w:val="24"/>
          <w:lang w:val="en-GB"/>
        </w:rPr>
        <w:t>Ancill</w:t>
      </w:r>
      <w:r w:rsidR="00214E08" w:rsidRPr="00384D6A">
        <w:rPr>
          <w:rFonts w:cs="Arial"/>
          <w:sz w:val="24"/>
          <w:szCs w:val="24"/>
          <w:lang w:val="en-GB"/>
        </w:rPr>
        <w:t xml:space="preserve">ary services defined in chapter </w:t>
      </w:r>
      <w:r w:rsidR="004F1083" w:rsidRPr="00384D6A">
        <w:rPr>
          <w:rFonts w:cs="Arial"/>
          <w:sz w:val="24"/>
          <w:szCs w:val="24"/>
          <w:lang w:val="en-GB"/>
        </w:rPr>
        <w:t>8</w:t>
      </w:r>
      <w:r w:rsidR="00214E08" w:rsidRPr="00384D6A">
        <w:rPr>
          <w:rFonts w:cs="Arial"/>
          <w:sz w:val="24"/>
          <w:szCs w:val="24"/>
          <w:lang w:val="en-GB"/>
        </w:rPr>
        <w:t>.1.</w:t>
      </w:r>
    </w:p>
    <w:p w14:paraId="2BCAB0AE" w14:textId="3C7627B9" w:rsidR="00604139" w:rsidRPr="00BC1ABD" w:rsidRDefault="00604139" w:rsidP="00604139">
      <w:pPr>
        <w:jc w:val="both"/>
        <w:rPr>
          <w:rFonts w:cs="Arial"/>
          <w:sz w:val="24"/>
          <w:szCs w:val="24"/>
          <w:lang w:val="en-GB"/>
        </w:rPr>
      </w:pPr>
      <w:r w:rsidRPr="00BC1ABD">
        <w:rPr>
          <w:rFonts w:cs="Arial"/>
          <w:sz w:val="24"/>
          <w:szCs w:val="24"/>
          <w:lang w:val="en-GB"/>
        </w:rPr>
        <w:t xml:space="preserve">The prices that the </w:t>
      </w:r>
      <w:r w:rsidR="007065E5" w:rsidRPr="00BC1ABD">
        <w:rPr>
          <w:rFonts w:cs="Arial"/>
          <w:sz w:val="24"/>
          <w:szCs w:val="24"/>
          <w:lang w:val="en-GB"/>
        </w:rPr>
        <w:t>access seeker</w:t>
      </w:r>
      <w:r w:rsidRPr="00BC1ABD">
        <w:rPr>
          <w:rFonts w:cs="Arial"/>
          <w:sz w:val="24"/>
          <w:szCs w:val="24"/>
          <w:lang w:val="en-GB"/>
        </w:rPr>
        <w:t xml:space="preserve"> will pay must be determined in such a way </w:t>
      </w:r>
      <w:r w:rsidR="00177D5C">
        <w:rPr>
          <w:rFonts w:cs="Arial"/>
          <w:sz w:val="24"/>
          <w:szCs w:val="24"/>
          <w:lang w:val="en-GB"/>
        </w:rPr>
        <w:t xml:space="preserve">that </w:t>
      </w:r>
      <w:r w:rsidR="007065E5" w:rsidRPr="00BC1ABD">
        <w:rPr>
          <w:rFonts w:cs="Arial"/>
          <w:sz w:val="24"/>
          <w:szCs w:val="24"/>
          <w:lang w:val="en-GB"/>
        </w:rPr>
        <w:t xml:space="preserve">they are based on </w:t>
      </w:r>
      <w:r w:rsidR="000C7C96">
        <w:rPr>
          <w:rFonts w:cs="Arial"/>
          <w:sz w:val="24"/>
          <w:szCs w:val="24"/>
          <w:lang w:val="en-GB"/>
        </w:rPr>
        <w:t>duly</w:t>
      </w:r>
      <w:r w:rsidR="000C7C96" w:rsidRPr="00BC1ABD">
        <w:rPr>
          <w:rFonts w:cs="Arial"/>
          <w:sz w:val="24"/>
          <w:szCs w:val="24"/>
          <w:lang w:val="en-GB"/>
        </w:rPr>
        <w:t xml:space="preserve"> </w:t>
      </w:r>
      <w:r w:rsidR="00810910" w:rsidRPr="00BC1ABD">
        <w:rPr>
          <w:rFonts w:cs="Arial"/>
          <w:sz w:val="24"/>
          <w:szCs w:val="24"/>
          <w:lang w:val="en-GB"/>
        </w:rPr>
        <w:t xml:space="preserve">justified </w:t>
      </w:r>
      <w:r w:rsidR="007065E5" w:rsidRPr="00BC1ABD">
        <w:rPr>
          <w:rFonts w:cs="Arial"/>
          <w:sz w:val="24"/>
          <w:szCs w:val="24"/>
          <w:lang w:val="en-GB"/>
        </w:rPr>
        <w:t xml:space="preserve">costs (without </w:t>
      </w:r>
      <w:r w:rsidR="00177D5C">
        <w:rPr>
          <w:rFonts w:cs="Arial"/>
          <w:sz w:val="24"/>
          <w:szCs w:val="24"/>
          <w:lang w:val="en-GB"/>
        </w:rPr>
        <w:t xml:space="preserve">any </w:t>
      </w:r>
      <w:r w:rsidR="007065E5" w:rsidRPr="00BC1ABD">
        <w:rPr>
          <w:rFonts w:cs="Arial"/>
          <w:sz w:val="24"/>
          <w:szCs w:val="24"/>
          <w:lang w:val="en-GB"/>
        </w:rPr>
        <w:t>double counting of cost</w:t>
      </w:r>
      <w:r w:rsidR="00177D5C">
        <w:rPr>
          <w:rFonts w:cs="Arial"/>
          <w:sz w:val="24"/>
          <w:szCs w:val="24"/>
          <w:lang w:val="en-GB"/>
        </w:rPr>
        <w:t>s</w:t>
      </w:r>
      <w:r w:rsidR="0061391A">
        <w:rPr>
          <w:rFonts w:cs="Arial"/>
          <w:sz w:val="24"/>
          <w:szCs w:val="24"/>
          <w:lang w:val="en-GB"/>
        </w:rPr>
        <w:t xml:space="preserve"> or any inclusion of costs that are not necessary </w:t>
      </w:r>
      <w:r w:rsidR="00932600">
        <w:rPr>
          <w:rFonts w:cs="Arial"/>
          <w:sz w:val="24"/>
          <w:szCs w:val="24"/>
          <w:lang w:val="en-GB"/>
        </w:rPr>
        <w:t>t</w:t>
      </w:r>
      <w:r w:rsidR="0061391A">
        <w:rPr>
          <w:rFonts w:cs="Arial"/>
          <w:sz w:val="24"/>
          <w:szCs w:val="24"/>
          <w:lang w:val="en-GB"/>
        </w:rPr>
        <w:t>o provide the wholesale service</w:t>
      </w:r>
      <w:r w:rsidR="007065E5" w:rsidRPr="00BC1ABD">
        <w:rPr>
          <w:rFonts w:cs="Arial"/>
          <w:sz w:val="24"/>
          <w:szCs w:val="24"/>
          <w:lang w:val="en-GB"/>
        </w:rPr>
        <w:t>)</w:t>
      </w:r>
      <w:r w:rsidRPr="00BC1ABD">
        <w:rPr>
          <w:rFonts w:cs="Arial"/>
          <w:sz w:val="24"/>
          <w:szCs w:val="24"/>
          <w:lang w:val="en-GB"/>
        </w:rPr>
        <w:t>:</w:t>
      </w:r>
    </w:p>
    <w:p w14:paraId="19E8BF02" w14:textId="08B5F94E" w:rsidR="00604139" w:rsidRPr="00BC1ABD" w:rsidRDefault="00177D5C">
      <w:pPr>
        <w:pStyle w:val="ListParagraph"/>
        <w:numPr>
          <w:ilvl w:val="0"/>
          <w:numId w:val="13"/>
        </w:numPr>
        <w:jc w:val="both"/>
        <w:rPr>
          <w:rFonts w:cs="Arial"/>
          <w:sz w:val="24"/>
          <w:szCs w:val="24"/>
          <w:lang w:val="en-GB"/>
        </w:rPr>
      </w:pPr>
      <w:r>
        <w:rPr>
          <w:rFonts w:cs="Arial"/>
          <w:sz w:val="24"/>
          <w:szCs w:val="24"/>
          <w:lang w:val="en-GB"/>
        </w:rPr>
        <w:t>L</w:t>
      </w:r>
      <w:r w:rsidR="007065E5" w:rsidRPr="00BC1ABD">
        <w:rPr>
          <w:rFonts w:cs="Arial"/>
          <w:sz w:val="24"/>
          <w:szCs w:val="24"/>
          <w:lang w:val="en-GB"/>
        </w:rPr>
        <w:t xml:space="preserve">ocal </w:t>
      </w:r>
      <w:r w:rsidR="00604139" w:rsidRPr="00BC1ABD">
        <w:rPr>
          <w:rFonts w:cs="Arial"/>
          <w:sz w:val="24"/>
          <w:szCs w:val="24"/>
          <w:lang w:val="en-GB"/>
        </w:rPr>
        <w:t>access is charged a single price for access regardless of speed, without a price for the backhaul service (use of network capacity)</w:t>
      </w:r>
      <w:r w:rsidR="0061391A">
        <w:rPr>
          <w:rFonts w:cs="Arial"/>
          <w:sz w:val="24"/>
          <w:szCs w:val="24"/>
          <w:lang w:val="en-GB"/>
        </w:rPr>
        <w:t>;</w:t>
      </w:r>
    </w:p>
    <w:p w14:paraId="10F46142" w14:textId="595072C4" w:rsidR="00604139" w:rsidRPr="00BC1ABD" w:rsidRDefault="00177D5C">
      <w:pPr>
        <w:pStyle w:val="ListParagraph"/>
        <w:numPr>
          <w:ilvl w:val="0"/>
          <w:numId w:val="13"/>
        </w:numPr>
        <w:jc w:val="both"/>
        <w:rPr>
          <w:rFonts w:cs="Arial"/>
          <w:sz w:val="24"/>
          <w:szCs w:val="24"/>
          <w:lang w:val="en-GB"/>
        </w:rPr>
      </w:pPr>
      <w:r>
        <w:rPr>
          <w:rFonts w:cs="Arial"/>
          <w:sz w:val="24"/>
          <w:szCs w:val="24"/>
          <w:lang w:val="en-GB"/>
        </w:rPr>
        <w:t>A</w:t>
      </w:r>
      <w:r w:rsidR="00604139" w:rsidRPr="00BC1ABD">
        <w:rPr>
          <w:rFonts w:cs="Arial"/>
          <w:sz w:val="24"/>
          <w:szCs w:val="24"/>
          <w:lang w:val="en-GB"/>
        </w:rPr>
        <w:t>ccess on the Ethernet and IP level</w:t>
      </w:r>
      <w:r w:rsidR="007065E5" w:rsidRPr="00BC1ABD">
        <w:rPr>
          <w:rFonts w:cs="Arial"/>
          <w:sz w:val="24"/>
          <w:szCs w:val="24"/>
          <w:lang w:val="en-GB"/>
        </w:rPr>
        <w:t xml:space="preserve"> (regional or national point of presence)</w:t>
      </w:r>
      <w:r w:rsidR="00604139" w:rsidRPr="00BC1ABD">
        <w:rPr>
          <w:rFonts w:cs="Arial"/>
          <w:sz w:val="24"/>
          <w:szCs w:val="24"/>
          <w:lang w:val="en-GB"/>
        </w:rPr>
        <w:t xml:space="preserve"> is charged a single price for access regardless of speed, with an additional price for the backhaul service (use of network capacity). If the price for access will differ by speed, then the price of the backhaul service (use of network capacity) cannot be charged. It is important to avoid double </w:t>
      </w:r>
      <w:r w:rsidR="0061391A">
        <w:rPr>
          <w:rFonts w:cs="Arial"/>
          <w:sz w:val="24"/>
          <w:szCs w:val="24"/>
          <w:lang w:val="en-GB"/>
        </w:rPr>
        <w:t xml:space="preserve">counting and/ or double </w:t>
      </w:r>
      <w:r w:rsidR="00604139" w:rsidRPr="00BC1ABD">
        <w:rPr>
          <w:rFonts w:cs="Arial"/>
          <w:sz w:val="24"/>
          <w:szCs w:val="24"/>
          <w:lang w:val="en-GB"/>
        </w:rPr>
        <w:t>billing</w:t>
      </w:r>
      <w:r>
        <w:rPr>
          <w:rFonts w:cs="Arial"/>
          <w:sz w:val="24"/>
          <w:szCs w:val="24"/>
          <w:lang w:val="en-GB"/>
        </w:rPr>
        <w:t>;</w:t>
      </w:r>
    </w:p>
    <w:p w14:paraId="0A43D6EE" w14:textId="264FE0D4" w:rsidR="00E80487" w:rsidRPr="00BC1ABD" w:rsidRDefault="00E80487" w:rsidP="00604139">
      <w:pPr>
        <w:jc w:val="both"/>
        <w:rPr>
          <w:rFonts w:cs="Arial"/>
          <w:sz w:val="24"/>
          <w:szCs w:val="24"/>
          <w:lang w:val="en-GB"/>
        </w:rPr>
      </w:pPr>
      <w:r w:rsidRPr="00BC1ABD">
        <w:rPr>
          <w:rFonts w:cs="Arial"/>
          <w:sz w:val="24"/>
          <w:szCs w:val="24"/>
          <w:lang w:val="en-GB"/>
        </w:rPr>
        <w:t>Th</w:t>
      </w:r>
      <w:r w:rsidR="0061391A">
        <w:rPr>
          <w:rFonts w:cs="Arial"/>
          <w:sz w:val="24"/>
          <w:szCs w:val="24"/>
          <w:lang w:val="en-GB"/>
        </w:rPr>
        <w:t>e</w:t>
      </w:r>
      <w:r w:rsidRPr="00BC1ABD">
        <w:rPr>
          <w:rFonts w:cs="Arial"/>
          <w:sz w:val="24"/>
          <w:szCs w:val="24"/>
          <w:lang w:val="en-GB"/>
        </w:rPr>
        <w:t xml:space="preserve">se prices will represent </w:t>
      </w:r>
      <w:r w:rsidR="0061391A">
        <w:rPr>
          <w:rFonts w:cs="Arial"/>
          <w:sz w:val="24"/>
          <w:szCs w:val="24"/>
          <w:lang w:val="en-GB"/>
        </w:rPr>
        <w:t xml:space="preserve">the </w:t>
      </w:r>
      <w:r w:rsidRPr="00BC1ABD">
        <w:rPr>
          <w:rFonts w:cs="Arial"/>
          <w:sz w:val="24"/>
          <w:szCs w:val="24"/>
          <w:lang w:val="en-GB"/>
        </w:rPr>
        <w:t xml:space="preserve">maximum </w:t>
      </w:r>
      <w:r w:rsidR="0061391A">
        <w:rPr>
          <w:rFonts w:cs="Arial"/>
          <w:sz w:val="24"/>
          <w:szCs w:val="24"/>
          <w:lang w:val="en-GB"/>
        </w:rPr>
        <w:t>wholesale</w:t>
      </w:r>
      <w:r w:rsidRPr="00BC1ABD">
        <w:rPr>
          <w:rFonts w:cs="Arial"/>
          <w:sz w:val="24"/>
          <w:szCs w:val="24"/>
          <w:lang w:val="en-GB"/>
        </w:rPr>
        <w:t xml:space="preserve"> tariffs calculated for </w:t>
      </w:r>
      <w:r w:rsidR="000D016D" w:rsidRPr="003E5448">
        <w:rPr>
          <w:rFonts w:cs="Arial"/>
          <w:sz w:val="24"/>
          <w:szCs w:val="24"/>
          <w:highlight w:val="yellow"/>
          <w:lang w:val="en-GB"/>
        </w:rPr>
        <w:t xml:space="preserve">VULA and wholesale </w:t>
      </w:r>
      <w:r w:rsidRPr="003E5448">
        <w:rPr>
          <w:rFonts w:cs="Arial"/>
          <w:sz w:val="24"/>
          <w:szCs w:val="24"/>
          <w:highlight w:val="yellow"/>
          <w:lang w:val="en-GB"/>
        </w:rPr>
        <w:t>central</w:t>
      </w:r>
      <w:r w:rsidRPr="00BC1ABD">
        <w:rPr>
          <w:rFonts w:cs="Arial"/>
          <w:sz w:val="24"/>
          <w:szCs w:val="24"/>
          <w:lang w:val="en-GB"/>
        </w:rPr>
        <w:t xml:space="preserve"> access on the basis of </w:t>
      </w:r>
      <w:r w:rsidR="0061391A">
        <w:rPr>
          <w:rFonts w:cs="Arial"/>
          <w:sz w:val="24"/>
          <w:szCs w:val="24"/>
          <w:lang w:val="en-GB"/>
        </w:rPr>
        <w:t xml:space="preserve">a </w:t>
      </w:r>
      <w:r w:rsidRPr="00BC1ABD">
        <w:rPr>
          <w:rFonts w:cs="Arial"/>
          <w:sz w:val="24"/>
          <w:szCs w:val="24"/>
          <w:lang w:val="en-GB"/>
        </w:rPr>
        <w:t>bottom</w:t>
      </w:r>
      <w:r w:rsidR="000B66BC" w:rsidRPr="00BC1ABD">
        <w:rPr>
          <w:rFonts w:cs="Arial"/>
          <w:sz w:val="24"/>
          <w:szCs w:val="24"/>
          <w:lang w:val="en-GB"/>
        </w:rPr>
        <w:t>-</w:t>
      </w:r>
      <w:r w:rsidRPr="00BC1ABD">
        <w:rPr>
          <w:rFonts w:cs="Arial"/>
          <w:sz w:val="24"/>
          <w:szCs w:val="24"/>
          <w:lang w:val="en-GB"/>
        </w:rPr>
        <w:t xml:space="preserve">up </w:t>
      </w:r>
      <w:r w:rsidR="0061391A">
        <w:rPr>
          <w:rFonts w:cs="Arial"/>
          <w:sz w:val="24"/>
          <w:szCs w:val="24"/>
          <w:lang w:val="en-GB"/>
        </w:rPr>
        <w:t xml:space="preserve">cost </w:t>
      </w:r>
      <w:r w:rsidRPr="00BC1ABD">
        <w:rPr>
          <w:rFonts w:cs="Arial"/>
          <w:sz w:val="24"/>
          <w:szCs w:val="24"/>
          <w:lang w:val="en-GB"/>
        </w:rPr>
        <w:t>model.</w:t>
      </w:r>
    </w:p>
    <w:p w14:paraId="6799138B" w14:textId="49F2F659" w:rsidR="00E80487" w:rsidRPr="00BC1ABD" w:rsidRDefault="000B66BC" w:rsidP="00604139">
      <w:pPr>
        <w:jc w:val="both"/>
        <w:rPr>
          <w:rFonts w:cs="Arial"/>
          <w:sz w:val="24"/>
          <w:szCs w:val="24"/>
          <w:lang w:val="en-GB"/>
        </w:rPr>
      </w:pPr>
      <w:r w:rsidRPr="00BC1ABD">
        <w:rPr>
          <w:rFonts w:cs="Arial"/>
          <w:sz w:val="24"/>
          <w:szCs w:val="24"/>
          <w:lang w:val="en-GB"/>
        </w:rPr>
        <w:t>In view of ComCom, n</w:t>
      </w:r>
      <w:r w:rsidR="00E80487" w:rsidRPr="00BC1ABD">
        <w:rPr>
          <w:rFonts w:cs="Arial"/>
          <w:sz w:val="24"/>
          <w:szCs w:val="24"/>
          <w:lang w:val="en-GB"/>
        </w:rPr>
        <w:t xml:space="preserve">o </w:t>
      </w:r>
      <w:r w:rsidR="00177D5C">
        <w:rPr>
          <w:rFonts w:cs="Arial"/>
          <w:sz w:val="24"/>
          <w:szCs w:val="24"/>
          <w:lang w:val="en-GB"/>
        </w:rPr>
        <w:t>m</w:t>
      </w:r>
      <w:r w:rsidRPr="00BC1ABD">
        <w:rPr>
          <w:rFonts w:cs="Arial"/>
          <w:sz w:val="24"/>
          <w:szCs w:val="24"/>
          <w:lang w:val="en-GB"/>
        </w:rPr>
        <w:t xml:space="preserve">argin </w:t>
      </w:r>
      <w:r w:rsidR="00177D5C">
        <w:rPr>
          <w:rFonts w:cs="Arial"/>
          <w:sz w:val="24"/>
          <w:szCs w:val="24"/>
          <w:lang w:val="en-GB"/>
        </w:rPr>
        <w:t>s</w:t>
      </w:r>
      <w:r w:rsidRPr="00BC1ABD">
        <w:rPr>
          <w:rFonts w:cs="Arial"/>
          <w:sz w:val="24"/>
          <w:szCs w:val="24"/>
          <w:lang w:val="en-GB"/>
        </w:rPr>
        <w:t xml:space="preserve">queeze </w:t>
      </w:r>
      <w:r w:rsidR="00177D5C">
        <w:rPr>
          <w:rFonts w:cs="Arial"/>
          <w:sz w:val="24"/>
          <w:szCs w:val="24"/>
          <w:lang w:val="en-GB"/>
        </w:rPr>
        <w:t>t</w:t>
      </w:r>
      <w:r w:rsidRPr="00BC1ABD">
        <w:rPr>
          <w:rFonts w:cs="Arial"/>
          <w:sz w:val="24"/>
          <w:szCs w:val="24"/>
          <w:lang w:val="en-GB"/>
        </w:rPr>
        <w:t xml:space="preserve">est </w:t>
      </w:r>
      <w:r w:rsidR="00177D5C">
        <w:rPr>
          <w:rFonts w:cs="Arial"/>
          <w:sz w:val="24"/>
          <w:szCs w:val="24"/>
          <w:lang w:val="en-GB"/>
        </w:rPr>
        <w:t xml:space="preserve">(MST) </w:t>
      </w:r>
      <w:r w:rsidRPr="00BC1ABD">
        <w:rPr>
          <w:rFonts w:cs="Arial"/>
          <w:sz w:val="24"/>
          <w:szCs w:val="24"/>
          <w:lang w:val="en-GB"/>
        </w:rPr>
        <w:t xml:space="preserve">is </w:t>
      </w:r>
      <w:r w:rsidR="00E80487" w:rsidRPr="00BC1ABD">
        <w:rPr>
          <w:rFonts w:cs="Arial"/>
          <w:sz w:val="24"/>
          <w:szCs w:val="24"/>
          <w:lang w:val="en-GB"/>
        </w:rPr>
        <w:t xml:space="preserve">needed </w:t>
      </w:r>
      <w:r w:rsidRPr="00BC1ABD">
        <w:rPr>
          <w:rFonts w:cs="Arial"/>
          <w:sz w:val="24"/>
          <w:szCs w:val="24"/>
          <w:lang w:val="en-GB"/>
        </w:rPr>
        <w:t>because</w:t>
      </w:r>
      <w:r w:rsidR="00E80487" w:rsidRPr="00BC1ABD">
        <w:rPr>
          <w:rFonts w:cs="Arial"/>
          <w:sz w:val="24"/>
          <w:szCs w:val="24"/>
          <w:lang w:val="en-GB"/>
        </w:rPr>
        <w:t xml:space="preserve"> the calculation of </w:t>
      </w:r>
      <w:r w:rsidRPr="00BC1ABD">
        <w:rPr>
          <w:rFonts w:cs="Arial"/>
          <w:sz w:val="24"/>
          <w:szCs w:val="24"/>
          <w:lang w:val="en-GB"/>
        </w:rPr>
        <w:t>cost-oriented</w:t>
      </w:r>
      <w:r w:rsidR="00E80487" w:rsidRPr="00BC1ABD">
        <w:rPr>
          <w:rFonts w:cs="Arial"/>
          <w:sz w:val="24"/>
          <w:szCs w:val="24"/>
          <w:lang w:val="en-GB"/>
        </w:rPr>
        <w:t xml:space="preserve"> prices will not leave </w:t>
      </w:r>
      <w:r w:rsidR="00177D5C">
        <w:rPr>
          <w:rFonts w:cs="Arial"/>
          <w:sz w:val="24"/>
          <w:szCs w:val="24"/>
          <w:lang w:val="en-GB"/>
        </w:rPr>
        <w:t>any</w:t>
      </w:r>
      <w:r w:rsidR="00E80487" w:rsidRPr="00BC1ABD">
        <w:rPr>
          <w:rFonts w:cs="Arial"/>
          <w:sz w:val="24"/>
          <w:szCs w:val="24"/>
          <w:lang w:val="en-GB"/>
        </w:rPr>
        <w:t xml:space="preserve"> room </w:t>
      </w:r>
      <w:r w:rsidRPr="00BC1ABD">
        <w:rPr>
          <w:rFonts w:cs="Arial"/>
          <w:sz w:val="24"/>
          <w:szCs w:val="24"/>
          <w:lang w:val="en-GB"/>
        </w:rPr>
        <w:t xml:space="preserve">for margin squeeze </w:t>
      </w:r>
      <w:r w:rsidR="00177D5C">
        <w:rPr>
          <w:rFonts w:cs="Arial"/>
          <w:sz w:val="24"/>
          <w:szCs w:val="24"/>
          <w:lang w:val="en-GB"/>
        </w:rPr>
        <w:t xml:space="preserve">behaviour </w:t>
      </w:r>
      <w:r w:rsidRPr="00BC1ABD">
        <w:rPr>
          <w:rFonts w:cs="Arial"/>
          <w:sz w:val="24"/>
          <w:szCs w:val="24"/>
          <w:lang w:val="en-GB"/>
        </w:rPr>
        <w:t xml:space="preserve">with existing prices on the market. In case of any changes, </w:t>
      </w:r>
      <w:r w:rsidR="00E80487" w:rsidRPr="00BC1ABD">
        <w:rPr>
          <w:rFonts w:cs="Arial"/>
          <w:sz w:val="24"/>
          <w:szCs w:val="24"/>
          <w:lang w:val="en-GB"/>
        </w:rPr>
        <w:t xml:space="preserve">there is </w:t>
      </w:r>
      <w:r w:rsidRPr="00BC1ABD">
        <w:rPr>
          <w:rFonts w:cs="Arial"/>
          <w:sz w:val="24"/>
          <w:szCs w:val="24"/>
          <w:lang w:val="en-GB"/>
        </w:rPr>
        <w:t xml:space="preserve">always </w:t>
      </w:r>
      <w:r w:rsidR="00177D5C">
        <w:rPr>
          <w:rFonts w:cs="Arial"/>
          <w:sz w:val="24"/>
          <w:szCs w:val="24"/>
          <w:lang w:val="en-GB"/>
        </w:rPr>
        <w:t xml:space="preserve">the </w:t>
      </w:r>
      <w:r w:rsidR="00E80487" w:rsidRPr="00BC1ABD">
        <w:rPr>
          <w:rFonts w:cs="Arial"/>
          <w:sz w:val="24"/>
          <w:szCs w:val="24"/>
          <w:lang w:val="en-GB"/>
        </w:rPr>
        <w:t xml:space="preserve">possibility of </w:t>
      </w:r>
      <w:r w:rsidR="0061391A">
        <w:rPr>
          <w:rFonts w:cs="Arial"/>
          <w:sz w:val="24"/>
          <w:szCs w:val="24"/>
          <w:lang w:val="en-GB"/>
        </w:rPr>
        <w:t xml:space="preserve">a </w:t>
      </w:r>
      <w:r w:rsidR="00E8246A" w:rsidRPr="00BC1ABD">
        <w:rPr>
          <w:rFonts w:cs="Arial"/>
          <w:sz w:val="24"/>
          <w:szCs w:val="24"/>
          <w:lang w:val="en-GB"/>
        </w:rPr>
        <w:t>case-by-case</w:t>
      </w:r>
      <w:r w:rsidR="00E80487" w:rsidRPr="00BC1ABD">
        <w:rPr>
          <w:rFonts w:cs="Arial"/>
          <w:sz w:val="24"/>
          <w:szCs w:val="24"/>
          <w:lang w:val="en-GB"/>
        </w:rPr>
        <w:t xml:space="preserve"> MST</w:t>
      </w:r>
      <w:r w:rsidRPr="00BC1ABD">
        <w:rPr>
          <w:rFonts w:cs="Arial"/>
          <w:sz w:val="24"/>
          <w:szCs w:val="24"/>
          <w:lang w:val="en-GB"/>
        </w:rPr>
        <w:t xml:space="preserve"> application</w:t>
      </w:r>
      <w:r w:rsidR="00E80487" w:rsidRPr="00BC1ABD">
        <w:rPr>
          <w:rFonts w:cs="Arial"/>
          <w:sz w:val="24"/>
          <w:szCs w:val="24"/>
          <w:lang w:val="en-GB"/>
        </w:rPr>
        <w:t xml:space="preserve"> </w:t>
      </w:r>
      <w:r w:rsidRPr="00BC1ABD">
        <w:rPr>
          <w:rFonts w:cs="Arial"/>
          <w:sz w:val="24"/>
          <w:szCs w:val="24"/>
          <w:lang w:val="en-GB"/>
        </w:rPr>
        <w:t xml:space="preserve">based on </w:t>
      </w:r>
      <w:r w:rsidR="00177D5C">
        <w:rPr>
          <w:rFonts w:cs="Arial"/>
          <w:sz w:val="24"/>
          <w:szCs w:val="24"/>
          <w:lang w:val="en-GB"/>
        </w:rPr>
        <w:t>the C</w:t>
      </w:r>
      <w:r w:rsidRPr="00BC1ABD">
        <w:rPr>
          <w:rFonts w:cs="Arial"/>
          <w:sz w:val="24"/>
          <w:szCs w:val="24"/>
          <w:lang w:val="en-GB"/>
        </w:rPr>
        <w:t xml:space="preserve">ompetition </w:t>
      </w:r>
      <w:r w:rsidR="00177D5C">
        <w:rPr>
          <w:rFonts w:cs="Arial"/>
          <w:sz w:val="24"/>
          <w:szCs w:val="24"/>
          <w:lang w:val="en-GB"/>
        </w:rPr>
        <w:t>L</w:t>
      </w:r>
      <w:r w:rsidRPr="00BC1ABD">
        <w:rPr>
          <w:rFonts w:cs="Arial"/>
          <w:sz w:val="24"/>
          <w:szCs w:val="24"/>
          <w:lang w:val="en-GB"/>
        </w:rPr>
        <w:t>aw powers of ComCom</w:t>
      </w:r>
      <w:r w:rsidR="00E80487" w:rsidRPr="00BC1ABD">
        <w:rPr>
          <w:rFonts w:cs="Arial"/>
          <w:sz w:val="24"/>
          <w:szCs w:val="24"/>
          <w:lang w:val="en-GB"/>
        </w:rPr>
        <w:t>.</w:t>
      </w:r>
    </w:p>
    <w:p w14:paraId="768FA657" w14:textId="0396E34F" w:rsidR="00E80487" w:rsidRPr="00BC1ABD" w:rsidRDefault="002F05D0" w:rsidP="00604139">
      <w:pPr>
        <w:jc w:val="both"/>
        <w:rPr>
          <w:rFonts w:cs="Arial"/>
          <w:sz w:val="24"/>
          <w:szCs w:val="24"/>
          <w:u w:val="single"/>
          <w:lang w:val="en-GB"/>
        </w:rPr>
      </w:pPr>
      <w:r w:rsidRPr="00BC1ABD">
        <w:rPr>
          <w:rFonts w:cs="Arial"/>
          <w:sz w:val="24"/>
          <w:szCs w:val="24"/>
          <w:u w:val="single"/>
          <w:lang w:val="en-GB"/>
        </w:rPr>
        <w:t xml:space="preserve">Cluster </w:t>
      </w:r>
      <w:r w:rsidR="00E80487" w:rsidRPr="00BC1ABD">
        <w:rPr>
          <w:rFonts w:cs="Arial"/>
          <w:sz w:val="24"/>
          <w:szCs w:val="24"/>
          <w:u w:val="single"/>
          <w:lang w:val="en-GB"/>
        </w:rPr>
        <w:t>II</w:t>
      </w:r>
      <w:r w:rsidR="0061391A">
        <w:rPr>
          <w:rFonts w:cs="Arial"/>
          <w:sz w:val="24"/>
          <w:szCs w:val="24"/>
          <w:u w:val="single"/>
          <w:lang w:val="en-GB"/>
        </w:rPr>
        <w:t>:</w:t>
      </w:r>
    </w:p>
    <w:p w14:paraId="7FED588E" w14:textId="49C23748" w:rsidR="00E80487" w:rsidRPr="00D43059" w:rsidRDefault="00E80487" w:rsidP="00D43059">
      <w:pPr>
        <w:pStyle w:val="ListParagraph"/>
        <w:numPr>
          <w:ilvl w:val="0"/>
          <w:numId w:val="21"/>
        </w:numPr>
        <w:jc w:val="both"/>
        <w:rPr>
          <w:rFonts w:cs="Arial"/>
          <w:sz w:val="24"/>
          <w:szCs w:val="24"/>
          <w:lang w:val="en-GB"/>
        </w:rPr>
      </w:pPr>
      <w:r w:rsidRPr="00D43059">
        <w:rPr>
          <w:rFonts w:cs="Arial"/>
          <w:sz w:val="24"/>
          <w:szCs w:val="24"/>
          <w:lang w:val="en-GB"/>
        </w:rPr>
        <w:t xml:space="preserve">No maximum </w:t>
      </w:r>
      <w:r w:rsidR="00D23835" w:rsidRPr="00D43059">
        <w:rPr>
          <w:rFonts w:cs="Arial"/>
          <w:sz w:val="24"/>
          <w:szCs w:val="24"/>
          <w:lang w:val="en-GB"/>
        </w:rPr>
        <w:t xml:space="preserve">cost-oriented price </w:t>
      </w:r>
      <w:r w:rsidR="0044082E" w:rsidRPr="00D43059">
        <w:rPr>
          <w:rFonts w:cs="Arial"/>
          <w:sz w:val="24"/>
          <w:szCs w:val="24"/>
          <w:lang w:val="en-GB"/>
        </w:rPr>
        <w:t xml:space="preserve">for </w:t>
      </w:r>
      <w:r w:rsidR="00BA2A3F" w:rsidRPr="003E5448">
        <w:rPr>
          <w:rFonts w:cs="Arial"/>
          <w:sz w:val="24"/>
          <w:szCs w:val="24"/>
          <w:highlight w:val="yellow"/>
          <w:lang w:val="en-GB"/>
        </w:rPr>
        <w:t>VULA service</w:t>
      </w:r>
      <w:r w:rsidR="00D43059">
        <w:rPr>
          <w:rFonts w:cs="Arial"/>
          <w:sz w:val="24"/>
          <w:szCs w:val="24"/>
          <w:lang w:val="en-GB"/>
        </w:rPr>
        <w:t xml:space="preserve"> </w:t>
      </w:r>
      <w:r w:rsidR="00D23835" w:rsidRPr="00D43059">
        <w:rPr>
          <w:rFonts w:cs="Arial"/>
          <w:sz w:val="24"/>
          <w:szCs w:val="24"/>
          <w:lang w:val="en-GB"/>
        </w:rPr>
        <w:t xml:space="preserve">will be defined, </w:t>
      </w:r>
      <w:r w:rsidRPr="00D43059">
        <w:rPr>
          <w:rFonts w:cs="Arial"/>
          <w:sz w:val="24"/>
          <w:szCs w:val="24"/>
          <w:lang w:val="en-GB"/>
        </w:rPr>
        <w:t xml:space="preserve">but </w:t>
      </w:r>
      <w:r w:rsidR="0061391A" w:rsidRPr="00D43059">
        <w:rPr>
          <w:rFonts w:cs="Arial"/>
          <w:sz w:val="24"/>
          <w:szCs w:val="24"/>
          <w:lang w:val="en-GB"/>
        </w:rPr>
        <w:t xml:space="preserve">a </w:t>
      </w:r>
      <w:r w:rsidRPr="00D43059">
        <w:rPr>
          <w:rFonts w:cs="Arial"/>
          <w:sz w:val="24"/>
          <w:szCs w:val="24"/>
          <w:lang w:val="en-GB"/>
        </w:rPr>
        <w:t xml:space="preserve">margin squeeze test could be applied </w:t>
      </w:r>
      <w:r w:rsidRPr="00D43059">
        <w:rPr>
          <w:rFonts w:cs="Arial"/>
          <w:i/>
          <w:iCs/>
          <w:sz w:val="24"/>
          <w:szCs w:val="24"/>
          <w:lang w:val="en-GB"/>
        </w:rPr>
        <w:t>ex</w:t>
      </w:r>
      <w:r w:rsidR="00D23835" w:rsidRPr="00D43059">
        <w:rPr>
          <w:rFonts w:cs="Arial"/>
          <w:i/>
          <w:iCs/>
          <w:sz w:val="24"/>
          <w:szCs w:val="24"/>
          <w:lang w:val="en-GB"/>
        </w:rPr>
        <w:t>-</w:t>
      </w:r>
      <w:r w:rsidRPr="00D43059">
        <w:rPr>
          <w:rFonts w:cs="Arial"/>
          <w:i/>
          <w:iCs/>
          <w:sz w:val="24"/>
          <w:szCs w:val="24"/>
          <w:lang w:val="en-GB"/>
        </w:rPr>
        <w:t>post</w:t>
      </w:r>
      <w:r w:rsidRPr="00D43059">
        <w:rPr>
          <w:rFonts w:cs="Arial"/>
          <w:sz w:val="24"/>
          <w:szCs w:val="24"/>
          <w:lang w:val="en-GB"/>
        </w:rPr>
        <w:t xml:space="preserve"> </w:t>
      </w:r>
      <w:r w:rsidR="00D23835" w:rsidRPr="00D43059">
        <w:rPr>
          <w:rFonts w:cs="Arial"/>
          <w:sz w:val="24"/>
          <w:szCs w:val="24"/>
          <w:lang w:val="en-GB"/>
        </w:rPr>
        <w:t>and the test should be based on the “reasonable efficient operator” model</w:t>
      </w:r>
      <w:r w:rsidRPr="00D43059">
        <w:rPr>
          <w:rFonts w:cs="Arial"/>
          <w:sz w:val="24"/>
          <w:szCs w:val="24"/>
          <w:lang w:val="en-GB"/>
        </w:rPr>
        <w:t>.</w:t>
      </w:r>
    </w:p>
    <w:p w14:paraId="4F6B30A7" w14:textId="354789A0" w:rsidR="00E80487" w:rsidRPr="00BC1ABD" w:rsidRDefault="00E80487" w:rsidP="00E80487">
      <w:pPr>
        <w:jc w:val="both"/>
        <w:rPr>
          <w:rFonts w:cs="Arial"/>
          <w:sz w:val="24"/>
          <w:szCs w:val="24"/>
          <w:lang w:val="en-GB"/>
        </w:rPr>
      </w:pPr>
      <w:r w:rsidRPr="00BC1ABD">
        <w:rPr>
          <w:rFonts w:cs="Arial"/>
          <w:sz w:val="24"/>
          <w:szCs w:val="24"/>
          <w:lang w:val="en-GB"/>
        </w:rPr>
        <w:t>The above should be in accordance with the formula from the document "</w:t>
      </w:r>
      <w:r w:rsidRPr="00BC1ABD">
        <w:rPr>
          <w:rFonts w:cs="Arial"/>
          <w:i/>
          <w:iCs/>
          <w:sz w:val="24"/>
          <w:szCs w:val="24"/>
          <w:lang w:val="en-GB"/>
        </w:rPr>
        <w:t>BEREC Guidance on the regulatory accounting approach to the economic replicability test (i.e. ex-ante/</w:t>
      </w:r>
      <w:r w:rsidR="0061391A">
        <w:rPr>
          <w:rFonts w:cs="Arial"/>
          <w:i/>
          <w:iCs/>
          <w:sz w:val="24"/>
          <w:szCs w:val="24"/>
          <w:lang w:val="en-GB"/>
        </w:rPr>
        <w:t xml:space="preserve"> </w:t>
      </w:r>
      <w:r w:rsidRPr="00BC1ABD">
        <w:rPr>
          <w:rFonts w:cs="Arial"/>
          <w:i/>
          <w:iCs/>
          <w:sz w:val="24"/>
          <w:szCs w:val="24"/>
          <w:lang w:val="en-GB"/>
        </w:rPr>
        <w:t>sector specific margin squeeze tests</w:t>
      </w:r>
      <w:r w:rsidRPr="00BC1ABD">
        <w:rPr>
          <w:rFonts w:cs="Arial"/>
          <w:sz w:val="24"/>
          <w:szCs w:val="24"/>
          <w:lang w:val="en-GB"/>
        </w:rPr>
        <w:t xml:space="preserve">)" in chapter 4.1.1. </w:t>
      </w:r>
      <w:r w:rsidR="0061391A">
        <w:rPr>
          <w:rFonts w:cs="Arial"/>
          <w:sz w:val="24"/>
          <w:szCs w:val="24"/>
          <w:lang w:val="en-GB"/>
        </w:rPr>
        <w:t>The formula for the MST is given in Chapter 8.2.2.</w:t>
      </w:r>
      <w:r w:rsidRPr="00BC1ABD">
        <w:rPr>
          <w:rFonts w:cs="Arial"/>
          <w:sz w:val="24"/>
          <w:szCs w:val="24"/>
          <w:lang w:val="en-GB"/>
        </w:rPr>
        <w:t xml:space="preserve"> This </w:t>
      </w:r>
      <w:r w:rsidR="0061391A">
        <w:rPr>
          <w:rFonts w:cs="Arial"/>
          <w:sz w:val="24"/>
          <w:szCs w:val="24"/>
          <w:lang w:val="en-GB"/>
        </w:rPr>
        <w:t xml:space="preserve">formula specifies </w:t>
      </w:r>
      <w:r w:rsidRPr="00BC1ABD">
        <w:rPr>
          <w:rFonts w:cs="Arial"/>
          <w:sz w:val="24"/>
          <w:szCs w:val="24"/>
          <w:lang w:val="en-GB"/>
        </w:rPr>
        <w:t xml:space="preserve">that the </w:t>
      </w:r>
      <w:r w:rsidR="0061391A">
        <w:rPr>
          <w:rFonts w:cs="Arial"/>
          <w:sz w:val="24"/>
          <w:szCs w:val="24"/>
          <w:lang w:val="en-GB"/>
        </w:rPr>
        <w:t xml:space="preserve">SMP operator’s </w:t>
      </w:r>
      <w:r w:rsidRPr="00BC1ABD">
        <w:rPr>
          <w:rFonts w:cs="Arial"/>
          <w:sz w:val="24"/>
          <w:szCs w:val="24"/>
          <w:lang w:val="en-GB"/>
        </w:rPr>
        <w:t>retail price can</w:t>
      </w:r>
      <w:r w:rsidR="0061391A">
        <w:rPr>
          <w:rFonts w:cs="Arial"/>
          <w:sz w:val="24"/>
          <w:szCs w:val="24"/>
          <w:lang w:val="en-GB"/>
        </w:rPr>
        <w:t>not be less than</w:t>
      </w:r>
      <w:r w:rsidRPr="00BC1ABD">
        <w:rPr>
          <w:rFonts w:cs="Arial"/>
          <w:sz w:val="24"/>
          <w:szCs w:val="24"/>
          <w:lang w:val="en-GB"/>
        </w:rPr>
        <w:t xml:space="preserve"> the sum of </w:t>
      </w:r>
      <w:r w:rsidR="0061391A">
        <w:rPr>
          <w:rFonts w:cs="Arial"/>
          <w:sz w:val="24"/>
          <w:szCs w:val="24"/>
          <w:lang w:val="en-GB"/>
        </w:rPr>
        <w:t xml:space="preserve">the SMP operator’s </w:t>
      </w:r>
      <w:r w:rsidRPr="00BC1ABD">
        <w:rPr>
          <w:rFonts w:cs="Arial"/>
          <w:sz w:val="24"/>
          <w:szCs w:val="24"/>
          <w:lang w:val="en-GB"/>
        </w:rPr>
        <w:t>wholesale service costs</w:t>
      </w:r>
      <w:r w:rsidR="0061391A">
        <w:rPr>
          <w:rFonts w:cs="Arial"/>
          <w:sz w:val="24"/>
          <w:szCs w:val="24"/>
          <w:lang w:val="en-GB"/>
        </w:rPr>
        <w:t xml:space="preserve"> plus the access-seeker’s </w:t>
      </w:r>
      <w:r w:rsidRPr="00BC1ABD">
        <w:rPr>
          <w:rFonts w:cs="Arial"/>
          <w:sz w:val="24"/>
          <w:szCs w:val="24"/>
          <w:lang w:val="en-GB"/>
        </w:rPr>
        <w:t xml:space="preserve">own network costs </w:t>
      </w:r>
      <w:r w:rsidR="0061391A">
        <w:rPr>
          <w:rFonts w:cs="Arial"/>
          <w:sz w:val="24"/>
          <w:szCs w:val="24"/>
          <w:lang w:val="en-GB"/>
        </w:rPr>
        <w:t>plus the access seeker’s</w:t>
      </w:r>
      <w:r w:rsidR="0061391A" w:rsidRPr="00BC1ABD">
        <w:rPr>
          <w:rFonts w:cs="Arial"/>
          <w:sz w:val="24"/>
          <w:szCs w:val="24"/>
          <w:lang w:val="en-GB"/>
        </w:rPr>
        <w:t xml:space="preserve"> </w:t>
      </w:r>
      <w:r w:rsidRPr="00BC1ABD">
        <w:rPr>
          <w:rFonts w:cs="Arial"/>
          <w:sz w:val="24"/>
          <w:szCs w:val="24"/>
          <w:lang w:val="en-GB"/>
        </w:rPr>
        <w:t>retail costs.</w:t>
      </w:r>
    </w:p>
    <w:p w14:paraId="5E365440" w14:textId="71710D57" w:rsidR="0044082E" w:rsidRPr="00BC1ABD" w:rsidRDefault="007354E3" w:rsidP="0044082E">
      <w:pPr>
        <w:pStyle w:val="ListParagraph"/>
        <w:numPr>
          <w:ilvl w:val="0"/>
          <w:numId w:val="13"/>
        </w:numPr>
        <w:jc w:val="both"/>
        <w:rPr>
          <w:rFonts w:cs="Arial"/>
          <w:sz w:val="24"/>
          <w:szCs w:val="24"/>
          <w:lang w:val="en-GB"/>
        </w:rPr>
      </w:pPr>
      <w:r w:rsidRPr="00BC1ABD">
        <w:rPr>
          <w:rFonts w:cs="Arial"/>
          <w:sz w:val="24"/>
          <w:szCs w:val="24"/>
          <w:lang w:val="en-GB"/>
        </w:rPr>
        <w:t>D</w:t>
      </w:r>
      <w:r w:rsidR="0044082E" w:rsidRPr="00BC1ABD">
        <w:rPr>
          <w:rFonts w:cs="Arial"/>
          <w:sz w:val="24"/>
          <w:szCs w:val="24"/>
          <w:lang w:val="en-GB"/>
        </w:rPr>
        <w:t>efine prices for using wholesale central access (bitstream access) services (for all one-off and recurring fees), which will include:</w:t>
      </w:r>
    </w:p>
    <w:p w14:paraId="654B166E" w14:textId="09035707" w:rsidR="0044082E" w:rsidRPr="00384D6A" w:rsidRDefault="007354E3" w:rsidP="0044082E">
      <w:pPr>
        <w:pStyle w:val="ListParagraph"/>
        <w:numPr>
          <w:ilvl w:val="1"/>
          <w:numId w:val="13"/>
        </w:numPr>
        <w:jc w:val="both"/>
        <w:rPr>
          <w:rFonts w:cs="Arial"/>
          <w:sz w:val="24"/>
          <w:szCs w:val="24"/>
          <w:lang w:val="en-GB"/>
        </w:rPr>
      </w:pPr>
      <w:r w:rsidRPr="00BC1ABD">
        <w:rPr>
          <w:rFonts w:cs="Arial"/>
          <w:sz w:val="24"/>
          <w:szCs w:val="24"/>
          <w:lang w:val="en-GB"/>
        </w:rPr>
        <w:t>A</w:t>
      </w:r>
      <w:r w:rsidR="0044082E" w:rsidRPr="00BC1ABD">
        <w:rPr>
          <w:rFonts w:cs="Arial"/>
          <w:sz w:val="24"/>
          <w:szCs w:val="24"/>
          <w:lang w:val="en-GB"/>
        </w:rPr>
        <w:t xml:space="preserve">ll central </w:t>
      </w:r>
      <w:r w:rsidR="0044082E" w:rsidRPr="00384D6A">
        <w:rPr>
          <w:rFonts w:cs="Arial"/>
          <w:sz w:val="24"/>
          <w:szCs w:val="24"/>
          <w:lang w:val="en-GB"/>
        </w:rPr>
        <w:t xml:space="preserve">access services in accordance with </w:t>
      </w:r>
      <w:r w:rsidR="004F1083" w:rsidRPr="00384D6A">
        <w:rPr>
          <w:rFonts w:cs="Arial"/>
          <w:sz w:val="24"/>
          <w:szCs w:val="24"/>
          <w:lang w:val="en-GB"/>
        </w:rPr>
        <w:t xml:space="preserve">the access obligation </w:t>
      </w:r>
      <w:r w:rsidR="0044082E" w:rsidRPr="00384D6A">
        <w:rPr>
          <w:rFonts w:cs="Arial"/>
          <w:sz w:val="24"/>
          <w:szCs w:val="24"/>
          <w:lang w:val="en-GB"/>
        </w:rPr>
        <w:t>from chapter</w:t>
      </w:r>
      <w:r w:rsidR="004F1083" w:rsidRPr="00384D6A">
        <w:rPr>
          <w:rFonts w:cs="Arial"/>
          <w:sz w:val="24"/>
          <w:szCs w:val="24"/>
          <w:lang w:val="en-GB"/>
        </w:rPr>
        <w:t xml:space="preserve"> 8.1</w:t>
      </w:r>
      <w:r w:rsidR="0044082E" w:rsidRPr="00384D6A">
        <w:rPr>
          <w:rFonts w:cs="Arial"/>
          <w:sz w:val="24"/>
          <w:szCs w:val="24"/>
          <w:lang w:val="en-GB"/>
        </w:rPr>
        <w:t>, and</w:t>
      </w:r>
    </w:p>
    <w:p w14:paraId="0CA86B7B" w14:textId="602E4EA7" w:rsidR="0044082E" w:rsidRPr="00384D6A" w:rsidRDefault="007354E3" w:rsidP="0044082E">
      <w:pPr>
        <w:pStyle w:val="ListParagraph"/>
        <w:numPr>
          <w:ilvl w:val="1"/>
          <w:numId w:val="13"/>
        </w:numPr>
        <w:jc w:val="both"/>
        <w:rPr>
          <w:rFonts w:cs="Arial"/>
          <w:sz w:val="24"/>
          <w:szCs w:val="24"/>
          <w:lang w:val="en-GB"/>
        </w:rPr>
      </w:pPr>
      <w:r w:rsidRPr="00384D6A">
        <w:rPr>
          <w:rFonts w:cs="Arial"/>
          <w:sz w:val="24"/>
          <w:szCs w:val="24"/>
          <w:lang w:val="en-GB"/>
        </w:rPr>
        <w:t>S</w:t>
      </w:r>
      <w:r w:rsidR="0044082E" w:rsidRPr="00384D6A">
        <w:rPr>
          <w:rFonts w:cs="Arial"/>
          <w:sz w:val="24"/>
          <w:szCs w:val="24"/>
          <w:lang w:val="en-GB"/>
        </w:rPr>
        <w:t xml:space="preserve">pecial virtual channel services defined in chapter </w:t>
      </w:r>
      <w:r w:rsidR="004F1083" w:rsidRPr="00384D6A">
        <w:rPr>
          <w:rFonts w:cs="Arial"/>
          <w:sz w:val="24"/>
          <w:szCs w:val="24"/>
          <w:lang w:val="en-GB"/>
        </w:rPr>
        <w:t>8</w:t>
      </w:r>
      <w:r w:rsidR="0044082E" w:rsidRPr="00384D6A">
        <w:rPr>
          <w:rFonts w:cs="Arial"/>
          <w:sz w:val="24"/>
          <w:szCs w:val="24"/>
          <w:lang w:val="en-GB"/>
        </w:rPr>
        <w:t>.1.</w:t>
      </w:r>
    </w:p>
    <w:p w14:paraId="7044CC0C" w14:textId="44F8BDE1" w:rsidR="003B79C1" w:rsidRPr="00384D6A" w:rsidRDefault="007A7710" w:rsidP="00253943">
      <w:pPr>
        <w:pStyle w:val="ListParagraph"/>
        <w:numPr>
          <w:ilvl w:val="1"/>
          <w:numId w:val="13"/>
        </w:numPr>
        <w:rPr>
          <w:rFonts w:cs="Arial"/>
          <w:sz w:val="24"/>
          <w:szCs w:val="24"/>
          <w:lang w:val="en-GB"/>
        </w:rPr>
      </w:pPr>
      <w:r w:rsidRPr="00384D6A">
        <w:rPr>
          <w:rFonts w:cs="Arial"/>
          <w:sz w:val="24"/>
          <w:szCs w:val="24"/>
          <w:lang w:val="en-GB"/>
        </w:rPr>
        <w:t>Ancill</w:t>
      </w:r>
      <w:r w:rsidR="003B79C1" w:rsidRPr="00384D6A">
        <w:rPr>
          <w:rFonts w:cs="Arial"/>
          <w:sz w:val="24"/>
          <w:szCs w:val="24"/>
          <w:lang w:val="en-GB"/>
        </w:rPr>
        <w:t xml:space="preserve">ary services defined in chapter </w:t>
      </w:r>
      <w:r w:rsidR="004F1083" w:rsidRPr="00384D6A">
        <w:rPr>
          <w:rFonts w:cs="Arial"/>
          <w:sz w:val="24"/>
          <w:szCs w:val="24"/>
          <w:lang w:val="en-GB"/>
        </w:rPr>
        <w:t>8</w:t>
      </w:r>
      <w:r w:rsidR="003B79C1" w:rsidRPr="00384D6A">
        <w:rPr>
          <w:rFonts w:cs="Arial"/>
          <w:sz w:val="24"/>
          <w:szCs w:val="24"/>
          <w:lang w:val="en-GB"/>
        </w:rPr>
        <w:t>.1.</w:t>
      </w:r>
    </w:p>
    <w:p w14:paraId="34300847" w14:textId="38579724" w:rsidR="0044082E" w:rsidRPr="00BC1ABD" w:rsidRDefault="0044082E" w:rsidP="0044082E">
      <w:pPr>
        <w:jc w:val="both"/>
        <w:rPr>
          <w:rFonts w:cs="Arial"/>
          <w:sz w:val="24"/>
          <w:szCs w:val="24"/>
          <w:lang w:val="en-GB"/>
        </w:rPr>
      </w:pPr>
      <w:r w:rsidRPr="00BC1ABD">
        <w:rPr>
          <w:rFonts w:cs="Arial"/>
          <w:sz w:val="24"/>
          <w:szCs w:val="24"/>
          <w:lang w:val="en-GB"/>
        </w:rPr>
        <w:t xml:space="preserve">The prices that the access seeker will pay must be determined in such a way they are based on </w:t>
      </w:r>
      <w:r w:rsidR="007A7710">
        <w:rPr>
          <w:rFonts w:cs="Arial"/>
          <w:sz w:val="24"/>
          <w:szCs w:val="24"/>
          <w:lang w:val="en-GB"/>
        </w:rPr>
        <w:t xml:space="preserve">duly </w:t>
      </w:r>
      <w:r w:rsidR="00FA78B5" w:rsidRPr="00BC1ABD">
        <w:rPr>
          <w:rFonts w:cs="Arial"/>
          <w:sz w:val="24"/>
          <w:szCs w:val="24"/>
          <w:lang w:val="en-GB"/>
        </w:rPr>
        <w:t xml:space="preserve">justified </w:t>
      </w:r>
      <w:r w:rsidRPr="00BC1ABD">
        <w:rPr>
          <w:rFonts w:cs="Arial"/>
          <w:sz w:val="24"/>
          <w:szCs w:val="24"/>
          <w:lang w:val="en-GB"/>
        </w:rPr>
        <w:t xml:space="preserve">costs </w:t>
      </w:r>
      <w:r w:rsidR="007A7710" w:rsidRPr="007A7710">
        <w:rPr>
          <w:rFonts w:cs="Arial"/>
          <w:sz w:val="24"/>
          <w:szCs w:val="24"/>
          <w:lang w:val="en-GB"/>
        </w:rPr>
        <w:t>(without any double counting of costs or any inclusion of costs that are not necessary to provide the wholesale service)</w:t>
      </w:r>
      <w:r w:rsidRPr="00BC1ABD">
        <w:rPr>
          <w:rFonts w:cs="Arial"/>
          <w:sz w:val="24"/>
          <w:szCs w:val="24"/>
          <w:lang w:val="en-GB"/>
        </w:rPr>
        <w:t>:</w:t>
      </w:r>
    </w:p>
    <w:p w14:paraId="31BA6748" w14:textId="4F41ACEB" w:rsidR="0044082E" w:rsidRPr="00BC1ABD" w:rsidRDefault="007354E3" w:rsidP="0044082E">
      <w:pPr>
        <w:pStyle w:val="ListParagraph"/>
        <w:numPr>
          <w:ilvl w:val="0"/>
          <w:numId w:val="13"/>
        </w:numPr>
        <w:jc w:val="both"/>
        <w:rPr>
          <w:rFonts w:cs="Arial"/>
          <w:sz w:val="24"/>
          <w:szCs w:val="24"/>
          <w:lang w:val="en-GB"/>
        </w:rPr>
      </w:pPr>
      <w:r w:rsidRPr="00BC1ABD">
        <w:rPr>
          <w:rFonts w:cs="Arial"/>
          <w:sz w:val="24"/>
          <w:szCs w:val="24"/>
          <w:lang w:val="en-GB"/>
        </w:rPr>
        <w:t>A</w:t>
      </w:r>
      <w:r w:rsidR="0044082E" w:rsidRPr="00BC1ABD">
        <w:rPr>
          <w:rFonts w:cs="Arial"/>
          <w:sz w:val="24"/>
          <w:szCs w:val="24"/>
          <w:lang w:val="en-GB"/>
        </w:rPr>
        <w:t xml:space="preserve">ccess </w:t>
      </w:r>
      <w:r w:rsidRPr="00BC1ABD">
        <w:rPr>
          <w:rFonts w:cs="Arial"/>
          <w:sz w:val="24"/>
          <w:szCs w:val="24"/>
          <w:lang w:val="en-GB"/>
        </w:rPr>
        <w:t>at</w:t>
      </w:r>
      <w:r w:rsidR="0044082E" w:rsidRPr="00BC1ABD">
        <w:rPr>
          <w:rFonts w:cs="Arial"/>
          <w:sz w:val="24"/>
          <w:szCs w:val="24"/>
          <w:lang w:val="en-GB"/>
        </w:rPr>
        <w:t xml:space="preserve"> the Ethernet and IP level (regional or national point of presence) is charged </w:t>
      </w:r>
      <w:r w:rsidRPr="00BC1ABD">
        <w:rPr>
          <w:rFonts w:cs="Arial"/>
          <w:sz w:val="24"/>
          <w:szCs w:val="24"/>
          <w:lang w:val="en-GB"/>
        </w:rPr>
        <w:t xml:space="preserve">at </w:t>
      </w:r>
      <w:r w:rsidR="0044082E" w:rsidRPr="00BC1ABD">
        <w:rPr>
          <w:rFonts w:cs="Arial"/>
          <w:sz w:val="24"/>
          <w:szCs w:val="24"/>
          <w:lang w:val="en-GB"/>
        </w:rPr>
        <w:t xml:space="preserve">a single price for access regardless of speed, with an additional price for the backhaul service (use of network capacity). If the price for access will differ by speed, then the price of the backhaul service (use of network capacity) cannot be charged. It is important to avoid double </w:t>
      </w:r>
      <w:r w:rsidR="0061391A">
        <w:rPr>
          <w:rFonts w:cs="Arial"/>
          <w:sz w:val="24"/>
          <w:szCs w:val="24"/>
          <w:lang w:val="en-GB"/>
        </w:rPr>
        <w:t xml:space="preserve">counting and/ or double </w:t>
      </w:r>
      <w:r w:rsidR="0044082E" w:rsidRPr="00BC1ABD">
        <w:rPr>
          <w:rFonts w:cs="Arial"/>
          <w:sz w:val="24"/>
          <w:szCs w:val="24"/>
          <w:lang w:val="en-GB"/>
        </w:rPr>
        <w:t>billing.</w:t>
      </w:r>
    </w:p>
    <w:p w14:paraId="571906AD" w14:textId="6FA5468E" w:rsidR="0044082E" w:rsidRPr="00BC1ABD" w:rsidRDefault="0044082E" w:rsidP="0044082E">
      <w:pPr>
        <w:jc w:val="both"/>
        <w:rPr>
          <w:rFonts w:cs="Arial"/>
          <w:sz w:val="24"/>
          <w:szCs w:val="24"/>
          <w:lang w:val="en-GB"/>
        </w:rPr>
      </w:pPr>
      <w:r w:rsidRPr="00BC1ABD">
        <w:rPr>
          <w:rFonts w:cs="Arial"/>
          <w:sz w:val="24"/>
          <w:szCs w:val="24"/>
          <w:lang w:val="en-GB"/>
        </w:rPr>
        <w:t>Th</w:t>
      </w:r>
      <w:r w:rsidR="0061391A">
        <w:rPr>
          <w:rFonts w:cs="Arial"/>
          <w:sz w:val="24"/>
          <w:szCs w:val="24"/>
          <w:lang w:val="en-GB"/>
        </w:rPr>
        <w:t>e</w:t>
      </w:r>
      <w:r w:rsidRPr="00BC1ABD">
        <w:rPr>
          <w:rFonts w:cs="Arial"/>
          <w:sz w:val="24"/>
          <w:szCs w:val="24"/>
          <w:lang w:val="en-GB"/>
        </w:rPr>
        <w:t>se</w:t>
      </w:r>
      <w:r w:rsidR="00CD52E3">
        <w:rPr>
          <w:rFonts w:cs="Arial"/>
          <w:sz w:val="24"/>
          <w:szCs w:val="24"/>
          <w:lang w:val="en-GB"/>
        </w:rPr>
        <w:t xml:space="preserve"> </w:t>
      </w:r>
      <w:r w:rsidRPr="00BC1ABD">
        <w:rPr>
          <w:rFonts w:cs="Arial"/>
          <w:sz w:val="24"/>
          <w:szCs w:val="24"/>
          <w:lang w:val="en-GB"/>
        </w:rPr>
        <w:t xml:space="preserve">prices will represent </w:t>
      </w:r>
      <w:r w:rsidR="0061391A">
        <w:rPr>
          <w:rFonts w:cs="Arial"/>
          <w:sz w:val="24"/>
          <w:szCs w:val="24"/>
          <w:lang w:val="en-GB"/>
        </w:rPr>
        <w:t xml:space="preserve">the </w:t>
      </w:r>
      <w:r w:rsidRPr="00BC1ABD">
        <w:rPr>
          <w:rFonts w:cs="Arial"/>
          <w:sz w:val="24"/>
          <w:szCs w:val="24"/>
          <w:lang w:val="en-GB"/>
        </w:rPr>
        <w:t xml:space="preserve">maximum </w:t>
      </w:r>
      <w:r w:rsidR="0061391A">
        <w:rPr>
          <w:rFonts w:cs="Arial"/>
          <w:sz w:val="24"/>
          <w:szCs w:val="24"/>
          <w:lang w:val="en-GB"/>
        </w:rPr>
        <w:t>wholesale</w:t>
      </w:r>
      <w:r w:rsidRPr="00BC1ABD">
        <w:rPr>
          <w:rFonts w:cs="Arial"/>
          <w:sz w:val="24"/>
          <w:szCs w:val="24"/>
          <w:lang w:val="en-GB"/>
        </w:rPr>
        <w:t xml:space="preserve"> tariffs calculated for central access on the basis of </w:t>
      </w:r>
      <w:r w:rsidR="007354E3" w:rsidRPr="00BC1ABD">
        <w:rPr>
          <w:rFonts w:cs="Arial"/>
          <w:sz w:val="24"/>
          <w:szCs w:val="24"/>
          <w:lang w:val="en-GB"/>
        </w:rPr>
        <w:t xml:space="preserve">a </w:t>
      </w:r>
      <w:r w:rsidRPr="00BC1ABD">
        <w:rPr>
          <w:rFonts w:cs="Arial"/>
          <w:sz w:val="24"/>
          <w:szCs w:val="24"/>
          <w:lang w:val="en-GB"/>
        </w:rPr>
        <w:t xml:space="preserve">bottom-up </w:t>
      </w:r>
      <w:r w:rsidR="007354E3" w:rsidRPr="00BC1ABD">
        <w:rPr>
          <w:rFonts w:cs="Arial"/>
          <w:sz w:val="24"/>
          <w:szCs w:val="24"/>
          <w:lang w:val="en-GB"/>
        </w:rPr>
        <w:t xml:space="preserve">cost </w:t>
      </w:r>
      <w:r w:rsidRPr="00BC1ABD">
        <w:rPr>
          <w:rFonts w:cs="Arial"/>
          <w:sz w:val="24"/>
          <w:szCs w:val="24"/>
          <w:lang w:val="en-GB"/>
        </w:rPr>
        <w:t>model.</w:t>
      </w:r>
    </w:p>
    <w:p w14:paraId="76220CA9" w14:textId="6E16E730" w:rsidR="0044082E" w:rsidRPr="00BC1ABD" w:rsidRDefault="007354E3" w:rsidP="00E80487">
      <w:pPr>
        <w:jc w:val="both"/>
        <w:rPr>
          <w:rFonts w:cs="Arial"/>
          <w:sz w:val="24"/>
          <w:szCs w:val="24"/>
          <w:lang w:val="en-GB"/>
        </w:rPr>
      </w:pPr>
      <w:r w:rsidRPr="00BC1ABD">
        <w:rPr>
          <w:rFonts w:cs="Arial"/>
          <w:sz w:val="24"/>
          <w:szCs w:val="24"/>
          <w:lang w:val="en-GB"/>
        </w:rPr>
        <w:t>No</w:t>
      </w:r>
      <w:r w:rsidR="0044082E" w:rsidRPr="00BC1ABD">
        <w:rPr>
          <w:rFonts w:cs="Arial"/>
          <w:sz w:val="24"/>
          <w:szCs w:val="24"/>
          <w:lang w:val="en-GB"/>
        </w:rPr>
        <w:t xml:space="preserve"> M</w:t>
      </w:r>
      <w:r w:rsidR="0061391A">
        <w:rPr>
          <w:rFonts w:cs="Arial"/>
          <w:sz w:val="24"/>
          <w:szCs w:val="24"/>
          <w:lang w:val="en-GB"/>
        </w:rPr>
        <w:t>ST</w:t>
      </w:r>
      <w:r w:rsidR="0044082E" w:rsidRPr="00BC1ABD">
        <w:rPr>
          <w:rFonts w:cs="Arial"/>
          <w:sz w:val="24"/>
          <w:szCs w:val="24"/>
          <w:lang w:val="en-GB"/>
        </w:rPr>
        <w:t xml:space="preserve"> for central access is needed because the calculation of cost-oriented prices will not leave room for margin squeeze with </w:t>
      </w:r>
      <w:r w:rsidRPr="00BC1ABD">
        <w:rPr>
          <w:rFonts w:cs="Arial"/>
          <w:sz w:val="24"/>
          <w:szCs w:val="24"/>
          <w:lang w:val="en-GB"/>
        </w:rPr>
        <w:t xml:space="preserve">the </w:t>
      </w:r>
      <w:r w:rsidR="0044082E" w:rsidRPr="00BC1ABD">
        <w:rPr>
          <w:rFonts w:cs="Arial"/>
          <w:sz w:val="24"/>
          <w:szCs w:val="24"/>
          <w:lang w:val="en-GB"/>
        </w:rPr>
        <w:t xml:space="preserve">existing prices on the </w:t>
      </w:r>
      <w:r w:rsidRPr="00BC1ABD">
        <w:rPr>
          <w:rFonts w:cs="Arial"/>
          <w:sz w:val="24"/>
          <w:szCs w:val="24"/>
          <w:lang w:val="en-GB"/>
        </w:rPr>
        <w:t xml:space="preserve">retail </w:t>
      </w:r>
      <w:r w:rsidR="0044082E" w:rsidRPr="00BC1ABD">
        <w:rPr>
          <w:rFonts w:cs="Arial"/>
          <w:sz w:val="24"/>
          <w:szCs w:val="24"/>
          <w:lang w:val="en-GB"/>
        </w:rPr>
        <w:t xml:space="preserve">market. In case of any changes, there is always </w:t>
      </w:r>
      <w:r w:rsidRPr="00BC1ABD">
        <w:rPr>
          <w:rFonts w:cs="Arial"/>
          <w:sz w:val="24"/>
          <w:szCs w:val="24"/>
          <w:lang w:val="en-GB"/>
        </w:rPr>
        <w:t xml:space="preserve">the </w:t>
      </w:r>
      <w:r w:rsidR="0044082E" w:rsidRPr="00BC1ABD">
        <w:rPr>
          <w:rFonts w:cs="Arial"/>
          <w:sz w:val="24"/>
          <w:szCs w:val="24"/>
          <w:lang w:val="en-GB"/>
        </w:rPr>
        <w:t xml:space="preserve">possibility of </w:t>
      </w:r>
      <w:r w:rsidRPr="00BC1ABD">
        <w:rPr>
          <w:rFonts w:cs="Arial"/>
          <w:sz w:val="24"/>
          <w:szCs w:val="24"/>
          <w:lang w:val="en-GB"/>
        </w:rPr>
        <w:t xml:space="preserve">a </w:t>
      </w:r>
      <w:r w:rsidR="0044082E" w:rsidRPr="00BC1ABD">
        <w:rPr>
          <w:rFonts w:cs="Arial"/>
          <w:sz w:val="24"/>
          <w:szCs w:val="24"/>
          <w:lang w:val="en-GB"/>
        </w:rPr>
        <w:t xml:space="preserve">case-by-case </w:t>
      </w:r>
      <w:r w:rsidR="0061391A">
        <w:rPr>
          <w:rFonts w:cs="Arial"/>
          <w:sz w:val="24"/>
          <w:szCs w:val="24"/>
          <w:lang w:val="en-GB"/>
        </w:rPr>
        <w:t>MST</w:t>
      </w:r>
      <w:r w:rsidR="0044082E" w:rsidRPr="00BC1ABD">
        <w:rPr>
          <w:rFonts w:cs="Arial"/>
          <w:sz w:val="24"/>
          <w:szCs w:val="24"/>
          <w:lang w:val="en-GB"/>
        </w:rPr>
        <w:t xml:space="preserve"> application based on </w:t>
      </w:r>
      <w:r w:rsidRPr="00BC1ABD">
        <w:rPr>
          <w:rFonts w:cs="Arial"/>
          <w:sz w:val="24"/>
          <w:szCs w:val="24"/>
          <w:lang w:val="en-GB"/>
        </w:rPr>
        <w:t xml:space="preserve">the </w:t>
      </w:r>
      <w:r w:rsidR="0044082E" w:rsidRPr="00BC1ABD">
        <w:rPr>
          <w:rFonts w:cs="Arial"/>
          <w:sz w:val="24"/>
          <w:szCs w:val="24"/>
          <w:lang w:val="en-GB"/>
        </w:rPr>
        <w:t>competition law powers of ComCom.</w:t>
      </w:r>
    </w:p>
    <w:p w14:paraId="134CAC3A" w14:textId="77777777" w:rsidR="001F2C22" w:rsidRPr="00BC1ABD" w:rsidRDefault="002F05D0" w:rsidP="00E80487">
      <w:pPr>
        <w:jc w:val="both"/>
        <w:rPr>
          <w:rFonts w:cs="Arial"/>
          <w:sz w:val="24"/>
          <w:szCs w:val="24"/>
          <w:u w:val="single"/>
          <w:lang w:val="en-GB"/>
        </w:rPr>
      </w:pPr>
      <w:r w:rsidRPr="00BC1ABD">
        <w:rPr>
          <w:rFonts w:cs="Arial"/>
          <w:sz w:val="24"/>
          <w:szCs w:val="24"/>
          <w:u w:val="single"/>
          <w:lang w:val="en-GB"/>
        </w:rPr>
        <w:t xml:space="preserve">Cluster </w:t>
      </w:r>
      <w:r w:rsidR="001F2C22" w:rsidRPr="00BC1ABD">
        <w:rPr>
          <w:rFonts w:cs="Arial"/>
          <w:sz w:val="24"/>
          <w:szCs w:val="24"/>
          <w:u w:val="single"/>
          <w:lang w:val="en-GB"/>
        </w:rPr>
        <w:t>III</w:t>
      </w:r>
    </w:p>
    <w:p w14:paraId="7F77F838" w14:textId="63835719" w:rsidR="0002667C" w:rsidRPr="00BC1ABD" w:rsidRDefault="00E8246A">
      <w:pPr>
        <w:pStyle w:val="ListParagraph"/>
        <w:numPr>
          <w:ilvl w:val="0"/>
          <w:numId w:val="21"/>
        </w:numPr>
        <w:jc w:val="both"/>
        <w:rPr>
          <w:rFonts w:cs="Arial"/>
          <w:sz w:val="24"/>
          <w:szCs w:val="24"/>
          <w:lang w:val="en-GB"/>
        </w:rPr>
      </w:pPr>
      <w:r w:rsidRPr="00BC1ABD">
        <w:rPr>
          <w:rFonts w:cs="Arial"/>
          <w:sz w:val="24"/>
          <w:szCs w:val="24"/>
          <w:lang w:val="en-GB"/>
        </w:rPr>
        <w:t xml:space="preserve">Regulatory obligation of price control </w:t>
      </w:r>
      <w:r w:rsidR="009E20FB" w:rsidRPr="00BC1ABD">
        <w:rPr>
          <w:rFonts w:cs="Arial"/>
          <w:sz w:val="24"/>
          <w:szCs w:val="24"/>
          <w:lang w:val="en-GB"/>
        </w:rPr>
        <w:t xml:space="preserve">is </w:t>
      </w:r>
      <w:r w:rsidRPr="00BC1ABD">
        <w:rPr>
          <w:rFonts w:cs="Arial"/>
          <w:sz w:val="24"/>
          <w:szCs w:val="24"/>
          <w:lang w:val="en-GB"/>
        </w:rPr>
        <w:t xml:space="preserve">not imposed which means that there are no </w:t>
      </w:r>
      <w:r w:rsidRPr="0020653E">
        <w:rPr>
          <w:rFonts w:cs="Arial"/>
          <w:i/>
          <w:iCs/>
          <w:sz w:val="24"/>
          <w:szCs w:val="24"/>
          <w:lang w:val="en-GB"/>
        </w:rPr>
        <w:t>ex-ante</w:t>
      </w:r>
      <w:r w:rsidRPr="00BC1ABD">
        <w:rPr>
          <w:rFonts w:cs="Arial"/>
          <w:sz w:val="24"/>
          <w:szCs w:val="24"/>
          <w:lang w:val="en-GB"/>
        </w:rPr>
        <w:t xml:space="preserve"> </w:t>
      </w:r>
      <w:r w:rsidR="001F2C22" w:rsidRPr="00BC1ABD">
        <w:rPr>
          <w:rFonts w:cs="Arial"/>
          <w:sz w:val="24"/>
          <w:szCs w:val="24"/>
          <w:lang w:val="en-GB"/>
        </w:rPr>
        <w:t>obligations</w:t>
      </w:r>
      <w:r w:rsidR="0061391A">
        <w:rPr>
          <w:rFonts w:cs="Arial"/>
          <w:sz w:val="24"/>
          <w:szCs w:val="24"/>
          <w:lang w:val="en-GB"/>
        </w:rPr>
        <w:t>. Wholesale charges are determined by</w:t>
      </w:r>
      <w:r w:rsidRPr="00BC1ABD">
        <w:rPr>
          <w:rFonts w:cs="Arial"/>
          <w:sz w:val="24"/>
          <w:szCs w:val="24"/>
          <w:lang w:val="en-GB"/>
        </w:rPr>
        <w:t xml:space="preserve"> </w:t>
      </w:r>
      <w:r w:rsidR="001F2C22" w:rsidRPr="00BC1ABD">
        <w:rPr>
          <w:rFonts w:cs="Arial"/>
          <w:sz w:val="24"/>
          <w:szCs w:val="24"/>
          <w:lang w:val="en-GB"/>
        </w:rPr>
        <w:t>free commercial negotiations</w:t>
      </w:r>
      <w:r w:rsidRPr="00BC1ABD">
        <w:rPr>
          <w:rFonts w:cs="Arial"/>
          <w:sz w:val="24"/>
          <w:szCs w:val="24"/>
          <w:lang w:val="en-GB"/>
        </w:rPr>
        <w:t>. In case of any problems/</w:t>
      </w:r>
      <w:r w:rsidR="0061391A">
        <w:rPr>
          <w:rFonts w:cs="Arial"/>
          <w:sz w:val="24"/>
          <w:szCs w:val="24"/>
          <w:lang w:val="en-GB"/>
        </w:rPr>
        <w:t xml:space="preserve"> </w:t>
      </w:r>
      <w:r w:rsidRPr="00BC1ABD">
        <w:rPr>
          <w:rFonts w:cs="Arial"/>
          <w:sz w:val="24"/>
          <w:szCs w:val="24"/>
          <w:lang w:val="en-GB"/>
        </w:rPr>
        <w:t>disputes</w:t>
      </w:r>
      <w:r w:rsidR="009E20FB" w:rsidRPr="00BC1ABD">
        <w:rPr>
          <w:rFonts w:cs="Arial"/>
          <w:sz w:val="24"/>
          <w:szCs w:val="24"/>
          <w:lang w:val="en-GB"/>
        </w:rPr>
        <w:t>, the</w:t>
      </w:r>
      <w:r w:rsidR="001F2C22" w:rsidRPr="00BC1ABD">
        <w:rPr>
          <w:rFonts w:cs="Arial"/>
          <w:sz w:val="24"/>
          <w:szCs w:val="24"/>
          <w:lang w:val="en-GB"/>
        </w:rPr>
        <w:t xml:space="preserve"> application of </w:t>
      </w:r>
      <w:r w:rsidR="0061391A">
        <w:rPr>
          <w:rFonts w:cs="Arial"/>
          <w:sz w:val="24"/>
          <w:szCs w:val="24"/>
          <w:lang w:val="en-GB"/>
        </w:rPr>
        <w:t xml:space="preserve">the </w:t>
      </w:r>
      <w:r w:rsidR="001F2C22" w:rsidRPr="00BC1ABD">
        <w:rPr>
          <w:rFonts w:cs="Arial"/>
          <w:sz w:val="24"/>
          <w:szCs w:val="24"/>
          <w:lang w:val="en-GB"/>
        </w:rPr>
        <w:t xml:space="preserve">MST based on </w:t>
      </w:r>
      <w:r w:rsidR="0061391A">
        <w:rPr>
          <w:rFonts w:cs="Arial"/>
          <w:sz w:val="24"/>
          <w:szCs w:val="24"/>
          <w:lang w:val="en-GB"/>
        </w:rPr>
        <w:t>ComCom’s C</w:t>
      </w:r>
      <w:r w:rsidR="001F2C22" w:rsidRPr="00BC1ABD">
        <w:rPr>
          <w:rFonts w:cs="Arial"/>
          <w:sz w:val="24"/>
          <w:szCs w:val="24"/>
          <w:lang w:val="en-GB"/>
        </w:rPr>
        <w:t xml:space="preserve">ompetition </w:t>
      </w:r>
      <w:r w:rsidR="0061391A">
        <w:rPr>
          <w:rFonts w:cs="Arial"/>
          <w:sz w:val="24"/>
          <w:szCs w:val="24"/>
          <w:lang w:val="en-GB"/>
        </w:rPr>
        <w:t>L</w:t>
      </w:r>
      <w:r w:rsidR="001F2C22" w:rsidRPr="00BC1ABD">
        <w:rPr>
          <w:rFonts w:cs="Arial"/>
          <w:sz w:val="24"/>
          <w:szCs w:val="24"/>
          <w:lang w:val="en-GB"/>
        </w:rPr>
        <w:t>aw powers</w:t>
      </w:r>
      <w:r w:rsidR="009E20FB" w:rsidRPr="00BC1ABD">
        <w:rPr>
          <w:rFonts w:cs="Arial"/>
          <w:sz w:val="24"/>
          <w:szCs w:val="24"/>
          <w:lang w:val="en-GB"/>
        </w:rPr>
        <w:t xml:space="preserve"> is possible</w:t>
      </w:r>
      <w:r w:rsidRPr="00BC1ABD">
        <w:rPr>
          <w:rFonts w:cs="Arial"/>
          <w:sz w:val="24"/>
          <w:szCs w:val="24"/>
          <w:lang w:val="en-GB"/>
        </w:rPr>
        <w:t>.</w:t>
      </w:r>
    </w:p>
    <w:p w14:paraId="387A83AA" w14:textId="736D55D5" w:rsidR="00F25721" w:rsidRPr="00BC1ABD" w:rsidRDefault="00FE00F7" w:rsidP="00B678D0">
      <w:pPr>
        <w:jc w:val="both"/>
        <w:rPr>
          <w:rFonts w:cs="Arial"/>
          <w:sz w:val="24"/>
          <w:szCs w:val="24"/>
          <w:lang w:val="en-GB"/>
        </w:rPr>
      </w:pPr>
      <w:r w:rsidRPr="00BC1ABD">
        <w:rPr>
          <w:rFonts w:cs="Arial"/>
          <w:sz w:val="24"/>
          <w:szCs w:val="24"/>
          <w:lang w:val="en-GB"/>
        </w:rPr>
        <w:t>The above defined regulatory obligation is aimed, together with non-discrimination and transparency</w:t>
      </w:r>
      <w:r w:rsidR="0061391A">
        <w:rPr>
          <w:rFonts w:cs="Arial"/>
          <w:sz w:val="24"/>
          <w:szCs w:val="24"/>
          <w:lang w:val="en-GB"/>
        </w:rPr>
        <w:t xml:space="preserve"> obligations</w:t>
      </w:r>
      <w:r w:rsidRPr="00BC1ABD">
        <w:rPr>
          <w:rFonts w:cs="Arial"/>
          <w:sz w:val="24"/>
          <w:szCs w:val="24"/>
          <w:lang w:val="en-GB"/>
        </w:rPr>
        <w:t>, at solving all competition problems that are related to price-based discrimination and non-price-based discrimination (</w:t>
      </w:r>
      <w:r w:rsidR="0061391A">
        <w:rPr>
          <w:rFonts w:cs="Arial"/>
          <w:sz w:val="24"/>
          <w:szCs w:val="24"/>
          <w:lang w:val="en-GB"/>
        </w:rPr>
        <w:t>defined in C</w:t>
      </w:r>
      <w:r w:rsidRPr="00BC1ABD">
        <w:rPr>
          <w:rFonts w:cs="Arial"/>
          <w:sz w:val="24"/>
          <w:szCs w:val="24"/>
          <w:lang w:val="en-GB"/>
        </w:rPr>
        <w:t xml:space="preserve">hapters </w:t>
      </w:r>
      <w:r w:rsidR="00F25B4A">
        <w:rPr>
          <w:rFonts w:cs="Arial"/>
          <w:sz w:val="24"/>
          <w:szCs w:val="24"/>
          <w:lang w:val="en-GB"/>
        </w:rPr>
        <w:t>7</w:t>
      </w:r>
      <w:r w:rsidRPr="00BC1ABD">
        <w:rPr>
          <w:rFonts w:cs="Arial"/>
          <w:sz w:val="24"/>
          <w:szCs w:val="24"/>
          <w:lang w:val="en-GB"/>
        </w:rPr>
        <w:t>.</w:t>
      </w:r>
      <w:r w:rsidR="009E20FB" w:rsidRPr="00BC1ABD">
        <w:rPr>
          <w:rFonts w:cs="Arial"/>
          <w:sz w:val="24"/>
          <w:szCs w:val="24"/>
          <w:lang w:val="en-GB"/>
        </w:rPr>
        <w:t>3</w:t>
      </w:r>
      <w:r w:rsidRPr="00BC1ABD">
        <w:rPr>
          <w:rFonts w:cs="Arial"/>
          <w:sz w:val="24"/>
          <w:szCs w:val="24"/>
          <w:lang w:val="en-GB"/>
        </w:rPr>
        <w:t xml:space="preserve"> and </w:t>
      </w:r>
      <w:r w:rsidR="00F25B4A">
        <w:rPr>
          <w:rFonts w:cs="Arial"/>
          <w:sz w:val="24"/>
          <w:szCs w:val="24"/>
          <w:lang w:val="en-GB"/>
        </w:rPr>
        <w:t>7</w:t>
      </w:r>
      <w:r w:rsidRPr="00BC1ABD">
        <w:rPr>
          <w:rFonts w:cs="Arial"/>
          <w:sz w:val="24"/>
          <w:szCs w:val="24"/>
          <w:lang w:val="en-GB"/>
        </w:rPr>
        <w:t>.</w:t>
      </w:r>
      <w:r w:rsidR="009E20FB" w:rsidRPr="00BC1ABD">
        <w:rPr>
          <w:rFonts w:cs="Arial"/>
          <w:sz w:val="24"/>
          <w:szCs w:val="24"/>
          <w:lang w:val="en-GB"/>
        </w:rPr>
        <w:t>4</w:t>
      </w:r>
      <w:r w:rsidRPr="00BC1ABD">
        <w:rPr>
          <w:rFonts w:cs="Arial"/>
          <w:sz w:val="24"/>
          <w:szCs w:val="24"/>
          <w:lang w:val="en-GB"/>
        </w:rPr>
        <w:t>).</w:t>
      </w:r>
    </w:p>
    <w:p w14:paraId="695D68B0" w14:textId="3879B90A" w:rsidR="00EE768A" w:rsidRPr="00826795" w:rsidRDefault="00EE768A" w:rsidP="00B678D0">
      <w:pPr>
        <w:jc w:val="both"/>
        <w:rPr>
          <w:rFonts w:eastAsia="Times New Roman" w:cs="Arial"/>
          <w:sz w:val="24"/>
          <w:szCs w:val="24"/>
          <w:lang w:val="en-GB"/>
        </w:rPr>
      </w:pPr>
      <w:r w:rsidRPr="00BC1ABD">
        <w:rPr>
          <w:rFonts w:eastAsia="Times New Roman" w:cs="Arial"/>
          <w:sz w:val="24"/>
          <w:szCs w:val="24"/>
          <w:lang w:val="en-GB"/>
        </w:rPr>
        <w:t xml:space="preserve">The bottom-up cost model </w:t>
      </w:r>
      <w:r w:rsidR="0061391A">
        <w:rPr>
          <w:rFonts w:eastAsia="Times New Roman" w:cs="Arial"/>
          <w:sz w:val="24"/>
          <w:szCs w:val="24"/>
          <w:lang w:val="en-GB"/>
        </w:rPr>
        <w:t>m</w:t>
      </w:r>
      <w:r w:rsidRPr="00BC1ABD">
        <w:rPr>
          <w:rFonts w:eastAsia="Times New Roman" w:cs="Arial"/>
          <w:sz w:val="24"/>
          <w:szCs w:val="24"/>
          <w:lang w:val="en-GB"/>
        </w:rPr>
        <w:t xml:space="preserve">ethodology that should be used by </w:t>
      </w:r>
      <w:r w:rsidR="0061391A">
        <w:rPr>
          <w:rFonts w:eastAsia="Times New Roman" w:cs="Arial"/>
          <w:sz w:val="24"/>
          <w:szCs w:val="24"/>
          <w:lang w:val="en-GB"/>
        </w:rPr>
        <w:t xml:space="preserve">the </w:t>
      </w:r>
      <w:r w:rsidRPr="00BC1ABD">
        <w:rPr>
          <w:rFonts w:eastAsia="Times New Roman" w:cs="Arial"/>
          <w:sz w:val="24"/>
          <w:szCs w:val="24"/>
          <w:lang w:val="en-GB"/>
        </w:rPr>
        <w:t xml:space="preserve">SMP operator to calculate the wholesale costs will be defined by a separate </w:t>
      </w:r>
      <w:r w:rsidR="0061391A">
        <w:rPr>
          <w:rFonts w:eastAsia="Times New Roman" w:cs="Arial"/>
          <w:sz w:val="24"/>
          <w:szCs w:val="24"/>
          <w:lang w:val="en-GB"/>
        </w:rPr>
        <w:t xml:space="preserve">ComCom </w:t>
      </w:r>
      <w:r w:rsidRPr="00BC1ABD">
        <w:rPr>
          <w:rFonts w:eastAsia="Times New Roman" w:cs="Arial"/>
          <w:sz w:val="24"/>
          <w:szCs w:val="24"/>
          <w:lang w:val="en-GB"/>
        </w:rPr>
        <w:t>decision based on the Article 30.3 of the Law on Electronic Communications.</w:t>
      </w:r>
    </w:p>
    <w:p w14:paraId="308EBE27" w14:textId="77777777" w:rsidR="00B271E6" w:rsidRPr="00BC1ABD" w:rsidRDefault="00B271E6" w:rsidP="00C2733F">
      <w:pPr>
        <w:pStyle w:val="Heading2"/>
        <w:numPr>
          <w:ilvl w:val="1"/>
          <w:numId w:val="88"/>
        </w:numPr>
        <w:spacing w:after="240"/>
        <w:rPr>
          <w:lang w:val="en-GB"/>
        </w:rPr>
      </w:pPr>
      <w:bookmarkStart w:id="364" w:name="_Toc169259010"/>
      <w:r w:rsidRPr="00BC1ABD">
        <w:rPr>
          <w:lang w:val="en-GB"/>
        </w:rPr>
        <w:t>Accounting separation</w:t>
      </w:r>
      <w:bookmarkEnd w:id="364"/>
    </w:p>
    <w:p w14:paraId="6F21A160" w14:textId="415623E5" w:rsidR="0002667C" w:rsidRPr="00BC1ABD" w:rsidRDefault="0039291A" w:rsidP="0039291A">
      <w:pPr>
        <w:jc w:val="both"/>
        <w:rPr>
          <w:rFonts w:cs="Arial"/>
          <w:sz w:val="24"/>
          <w:szCs w:val="24"/>
          <w:lang w:val="en-GB"/>
        </w:rPr>
      </w:pPr>
      <w:r w:rsidRPr="00BC1ABD">
        <w:rPr>
          <w:rFonts w:cs="Arial"/>
          <w:sz w:val="24"/>
          <w:szCs w:val="24"/>
          <w:lang w:val="en-GB"/>
        </w:rPr>
        <w:t xml:space="preserve">According to Article </w:t>
      </w:r>
      <w:r w:rsidR="00676AC3" w:rsidRPr="00BC1ABD">
        <w:rPr>
          <w:rFonts w:cs="Arial"/>
          <w:sz w:val="24"/>
          <w:szCs w:val="24"/>
          <w:lang w:val="en-GB"/>
        </w:rPr>
        <w:t>33 of the Law, ComCom</w:t>
      </w:r>
      <w:r w:rsidRPr="00BC1ABD">
        <w:rPr>
          <w:rFonts w:cs="Arial"/>
          <w:sz w:val="24"/>
          <w:szCs w:val="24"/>
          <w:lang w:val="en-GB"/>
        </w:rPr>
        <w:t xml:space="preserve"> has the right to, in accordance with the regulations governing accounting, </w:t>
      </w:r>
      <w:r w:rsidR="00676AC3" w:rsidRPr="00BC1ABD">
        <w:rPr>
          <w:rFonts w:cs="Arial"/>
          <w:sz w:val="24"/>
          <w:szCs w:val="24"/>
          <w:lang w:val="en-GB"/>
        </w:rPr>
        <w:t xml:space="preserve">impose </w:t>
      </w:r>
      <w:r w:rsidR="0061391A">
        <w:rPr>
          <w:rFonts w:cs="Arial"/>
          <w:sz w:val="24"/>
          <w:szCs w:val="24"/>
          <w:lang w:val="en-GB"/>
        </w:rPr>
        <w:t xml:space="preserve">an obligation on an </w:t>
      </w:r>
      <w:r w:rsidR="00676AC3" w:rsidRPr="00BC1ABD">
        <w:rPr>
          <w:rFonts w:cs="Arial"/>
          <w:sz w:val="24"/>
          <w:szCs w:val="24"/>
          <w:lang w:val="en-GB"/>
        </w:rPr>
        <w:t>SMP o</w:t>
      </w:r>
      <w:r w:rsidRPr="00BC1ABD">
        <w:rPr>
          <w:rFonts w:cs="Arial"/>
          <w:sz w:val="24"/>
          <w:szCs w:val="24"/>
          <w:lang w:val="en-GB"/>
        </w:rPr>
        <w:t>perator to keep separate</w:t>
      </w:r>
      <w:r w:rsidR="0061391A">
        <w:rPr>
          <w:rFonts w:cs="Arial"/>
          <w:sz w:val="24"/>
          <w:szCs w:val="24"/>
          <w:lang w:val="en-GB"/>
        </w:rPr>
        <w:t>d</w:t>
      </w:r>
      <w:r w:rsidRPr="00BC1ABD">
        <w:rPr>
          <w:rFonts w:cs="Arial"/>
          <w:sz w:val="24"/>
          <w:szCs w:val="24"/>
          <w:lang w:val="en-GB"/>
        </w:rPr>
        <w:t xml:space="preserve"> account</w:t>
      </w:r>
      <w:r w:rsidR="0061391A">
        <w:rPr>
          <w:rFonts w:cs="Arial"/>
          <w:sz w:val="24"/>
          <w:szCs w:val="24"/>
          <w:lang w:val="en-GB"/>
        </w:rPr>
        <w:t>s</w:t>
      </w:r>
      <w:r w:rsidRPr="00BC1ABD">
        <w:rPr>
          <w:rFonts w:cs="Arial"/>
          <w:sz w:val="24"/>
          <w:szCs w:val="24"/>
          <w:lang w:val="en-GB"/>
        </w:rPr>
        <w:t xml:space="preserve"> for activities related to interconnection and/</w:t>
      </w:r>
      <w:r w:rsidR="0061391A">
        <w:rPr>
          <w:rFonts w:cs="Arial"/>
          <w:sz w:val="24"/>
          <w:szCs w:val="24"/>
          <w:lang w:val="en-GB"/>
        </w:rPr>
        <w:t xml:space="preserve"> </w:t>
      </w:r>
      <w:r w:rsidRPr="00BC1ABD">
        <w:rPr>
          <w:rFonts w:cs="Arial"/>
          <w:sz w:val="24"/>
          <w:szCs w:val="24"/>
          <w:lang w:val="en-GB"/>
        </w:rPr>
        <w:t>or access.</w:t>
      </w:r>
    </w:p>
    <w:p w14:paraId="7838DD74" w14:textId="4A4FCB98" w:rsidR="0039291A" w:rsidRPr="00BC1ABD" w:rsidRDefault="00676AC3" w:rsidP="0039291A">
      <w:pPr>
        <w:jc w:val="both"/>
        <w:rPr>
          <w:rFonts w:cs="Arial"/>
          <w:sz w:val="24"/>
          <w:szCs w:val="24"/>
          <w:lang w:val="en-GB"/>
        </w:rPr>
      </w:pPr>
      <w:r w:rsidRPr="00BC1ABD">
        <w:rPr>
          <w:rFonts w:cs="Arial"/>
          <w:sz w:val="24"/>
          <w:szCs w:val="24"/>
          <w:lang w:val="en-GB"/>
        </w:rPr>
        <w:t>This obligation could be imposed i</w:t>
      </w:r>
      <w:r w:rsidR="0039291A" w:rsidRPr="00BC1ABD">
        <w:rPr>
          <w:rFonts w:cs="Arial"/>
          <w:sz w:val="24"/>
          <w:szCs w:val="24"/>
          <w:lang w:val="en-GB"/>
        </w:rPr>
        <w:t>n order to control compliance with the obligation of non-discrimination or when it is necessary to prevent unjustified</w:t>
      </w:r>
      <w:r w:rsidRPr="00BC1ABD">
        <w:rPr>
          <w:rFonts w:cs="Arial"/>
          <w:sz w:val="24"/>
          <w:szCs w:val="24"/>
          <w:lang w:val="en-GB"/>
        </w:rPr>
        <w:t xml:space="preserve"> cross</w:t>
      </w:r>
      <w:r w:rsidR="0039291A" w:rsidRPr="00BC1ABD">
        <w:rPr>
          <w:rFonts w:cs="Arial"/>
          <w:sz w:val="24"/>
          <w:szCs w:val="24"/>
          <w:lang w:val="en-GB"/>
        </w:rPr>
        <w:t xml:space="preserve"> subsidi</w:t>
      </w:r>
      <w:r w:rsidR="001B67B9">
        <w:rPr>
          <w:rFonts w:cs="Arial"/>
          <w:sz w:val="24"/>
          <w:szCs w:val="24"/>
          <w:lang w:val="en-GB"/>
        </w:rPr>
        <w:t>s</w:t>
      </w:r>
      <w:r w:rsidR="0039291A" w:rsidRPr="00BC1ABD">
        <w:rPr>
          <w:rFonts w:cs="Arial"/>
          <w:sz w:val="24"/>
          <w:szCs w:val="24"/>
          <w:lang w:val="en-GB"/>
        </w:rPr>
        <w:t>ation between different activities. In particular, such an obligation may be imposed on a vertically integrated operator with significant market power to make its wholesale prices and internal prices transparent</w:t>
      </w:r>
      <w:r w:rsidRPr="00BC1ABD">
        <w:rPr>
          <w:rFonts w:cs="Arial"/>
          <w:sz w:val="24"/>
          <w:szCs w:val="24"/>
          <w:lang w:val="en-GB"/>
        </w:rPr>
        <w:t>, in particular to ensure compliance with the obligation of non-discrimination, or if necessary, to prevent unfair cross subsidi</w:t>
      </w:r>
      <w:r w:rsidR="001B67B9">
        <w:rPr>
          <w:rFonts w:cs="Arial"/>
          <w:sz w:val="24"/>
          <w:szCs w:val="24"/>
          <w:lang w:val="en-GB"/>
        </w:rPr>
        <w:t>s</w:t>
      </w:r>
      <w:r w:rsidRPr="00BC1ABD">
        <w:rPr>
          <w:rFonts w:cs="Arial"/>
          <w:sz w:val="24"/>
          <w:szCs w:val="24"/>
          <w:lang w:val="en-GB"/>
        </w:rPr>
        <w:t>ation</w:t>
      </w:r>
      <w:r w:rsidR="00FE00F7" w:rsidRPr="00BC1ABD">
        <w:rPr>
          <w:rFonts w:cs="Arial"/>
          <w:sz w:val="24"/>
          <w:szCs w:val="24"/>
          <w:lang w:val="en-GB"/>
        </w:rPr>
        <w:t>.</w:t>
      </w:r>
    </w:p>
    <w:p w14:paraId="38949577" w14:textId="0EC5407B" w:rsidR="0039291A" w:rsidRPr="00BC1ABD" w:rsidRDefault="0039291A" w:rsidP="0039291A">
      <w:pPr>
        <w:jc w:val="both"/>
        <w:rPr>
          <w:rFonts w:cs="Arial"/>
          <w:sz w:val="24"/>
          <w:szCs w:val="24"/>
          <w:lang w:val="en-GB"/>
        </w:rPr>
      </w:pPr>
      <w:r w:rsidRPr="00BC1ABD">
        <w:rPr>
          <w:rFonts w:cs="Arial"/>
          <w:sz w:val="24"/>
          <w:szCs w:val="24"/>
          <w:lang w:val="en-GB"/>
        </w:rPr>
        <w:t>This obligation to separate accounting records</w:t>
      </w:r>
      <w:r w:rsidR="0061391A">
        <w:rPr>
          <w:rFonts w:cs="Arial"/>
          <w:sz w:val="24"/>
          <w:szCs w:val="24"/>
          <w:lang w:val="en-GB"/>
        </w:rPr>
        <w:t xml:space="preserve"> (</w:t>
      </w:r>
      <w:r w:rsidRPr="00BC1ABD">
        <w:rPr>
          <w:rFonts w:cs="Arial"/>
          <w:sz w:val="24"/>
          <w:szCs w:val="24"/>
          <w:lang w:val="en-GB"/>
        </w:rPr>
        <w:t xml:space="preserve">to separate the costs and revenues of electronic communications services of </w:t>
      </w:r>
      <w:r w:rsidR="0061391A">
        <w:rPr>
          <w:rFonts w:cs="Arial"/>
          <w:sz w:val="24"/>
          <w:szCs w:val="24"/>
          <w:lang w:val="en-GB"/>
        </w:rPr>
        <w:t xml:space="preserve">an SMP </w:t>
      </w:r>
      <w:r w:rsidRPr="00BC1ABD">
        <w:rPr>
          <w:rFonts w:cs="Arial"/>
          <w:sz w:val="24"/>
          <w:szCs w:val="24"/>
          <w:lang w:val="en-GB"/>
        </w:rPr>
        <w:t>operator</w:t>
      </w:r>
      <w:r w:rsidR="0061391A">
        <w:rPr>
          <w:rFonts w:cs="Arial"/>
          <w:sz w:val="24"/>
          <w:szCs w:val="24"/>
          <w:lang w:val="en-GB"/>
        </w:rPr>
        <w:t>)</w:t>
      </w:r>
      <w:r w:rsidRPr="00BC1ABD">
        <w:rPr>
          <w:rFonts w:cs="Arial"/>
          <w:sz w:val="24"/>
          <w:szCs w:val="24"/>
          <w:lang w:val="en-GB"/>
        </w:rPr>
        <w:t xml:space="preserve"> prevents </w:t>
      </w:r>
      <w:r w:rsidR="00676AC3" w:rsidRPr="00BC1ABD">
        <w:rPr>
          <w:rFonts w:cs="Arial"/>
          <w:sz w:val="24"/>
          <w:szCs w:val="24"/>
          <w:lang w:val="en-GB"/>
        </w:rPr>
        <w:t xml:space="preserve">competition problems related to </w:t>
      </w:r>
      <w:r w:rsidRPr="00BC1ABD">
        <w:rPr>
          <w:rFonts w:cs="Arial"/>
          <w:sz w:val="24"/>
          <w:szCs w:val="24"/>
          <w:lang w:val="en-GB"/>
        </w:rPr>
        <w:t>price discrimination and cross-subsidi</w:t>
      </w:r>
      <w:r w:rsidR="00B91B7D">
        <w:rPr>
          <w:rFonts w:cs="Arial"/>
          <w:sz w:val="24"/>
          <w:szCs w:val="24"/>
          <w:lang w:val="en-GB"/>
        </w:rPr>
        <w:t>s</w:t>
      </w:r>
      <w:r w:rsidRPr="00BC1ABD">
        <w:rPr>
          <w:rFonts w:cs="Arial"/>
          <w:sz w:val="24"/>
          <w:szCs w:val="24"/>
          <w:lang w:val="en-GB"/>
        </w:rPr>
        <w:t>ation of services, in combination with the already established obligations of non-discrimination and transparency.</w:t>
      </w:r>
    </w:p>
    <w:p w14:paraId="3736C67B" w14:textId="0D5F6EF1" w:rsidR="0039291A" w:rsidRPr="00BC1ABD" w:rsidRDefault="006C5C75" w:rsidP="0039291A">
      <w:pPr>
        <w:jc w:val="both"/>
        <w:rPr>
          <w:rFonts w:cs="Arial"/>
          <w:sz w:val="24"/>
          <w:szCs w:val="24"/>
          <w:lang w:val="en-GB"/>
        </w:rPr>
      </w:pPr>
      <w:r w:rsidRPr="00BC1ABD">
        <w:rPr>
          <w:rFonts w:cs="Arial"/>
          <w:sz w:val="24"/>
          <w:szCs w:val="24"/>
          <w:lang w:val="en-GB"/>
        </w:rPr>
        <w:t>According to the Article 33 of the Law</w:t>
      </w:r>
      <w:r w:rsidR="009E20FB" w:rsidRPr="00BC1ABD">
        <w:rPr>
          <w:rFonts w:cs="Arial"/>
          <w:sz w:val="24"/>
          <w:szCs w:val="24"/>
          <w:lang w:val="en-GB"/>
        </w:rPr>
        <w:t xml:space="preserve"> and in line with the principle of </w:t>
      </w:r>
      <w:r w:rsidR="00E46B8B">
        <w:rPr>
          <w:rFonts w:cs="Arial"/>
          <w:sz w:val="24"/>
          <w:szCs w:val="24"/>
          <w:lang w:val="en-GB"/>
        </w:rPr>
        <w:t>proportionality</w:t>
      </w:r>
      <w:r w:rsidR="00E46B8B" w:rsidRPr="00BC1ABD">
        <w:rPr>
          <w:rFonts w:cs="Arial"/>
          <w:sz w:val="24"/>
          <w:szCs w:val="24"/>
          <w:lang w:val="en-GB"/>
        </w:rPr>
        <w:t xml:space="preserve"> set out in </w:t>
      </w:r>
      <w:r w:rsidR="00E46B8B" w:rsidRPr="003E5448">
        <w:rPr>
          <w:rFonts w:cs="Arial"/>
          <w:sz w:val="24"/>
          <w:szCs w:val="24"/>
          <w:highlight w:val="green"/>
          <w:lang w:val="en-GB"/>
        </w:rPr>
        <w:t>Art.1</w:t>
      </w:r>
      <w:r w:rsidR="00DE2E8C" w:rsidRPr="003E5448">
        <w:rPr>
          <w:rFonts w:cs="Arial"/>
          <w:sz w:val="24"/>
          <w:szCs w:val="24"/>
          <w:highlight w:val="green"/>
          <w:lang w:val="en-GB"/>
        </w:rPr>
        <w:t>7 1</w:t>
      </w:r>
      <w:r w:rsidR="00E46B8B" w:rsidRPr="003E5448">
        <w:rPr>
          <w:rFonts w:cs="Arial"/>
          <w:sz w:val="24"/>
          <w:szCs w:val="24"/>
          <w:highlight w:val="green"/>
          <w:lang w:val="en-GB"/>
        </w:rPr>
        <w:t xml:space="preserve">) </w:t>
      </w:r>
      <w:r w:rsidR="00DE2E8C" w:rsidRPr="003E5448">
        <w:rPr>
          <w:rFonts w:cs="Arial"/>
          <w:sz w:val="24"/>
          <w:szCs w:val="24"/>
          <w:highlight w:val="green"/>
          <w:lang w:val="en-GB"/>
        </w:rPr>
        <w:t>c</w:t>
      </w:r>
      <w:r w:rsidR="00E46B8B" w:rsidRPr="003E5448">
        <w:rPr>
          <w:rFonts w:cs="Arial"/>
          <w:sz w:val="24"/>
          <w:szCs w:val="24"/>
          <w:highlight w:val="green"/>
          <w:lang w:val="en-GB"/>
        </w:rPr>
        <w:t>) of the revised</w:t>
      </w:r>
      <w:r w:rsidR="00E46B8B">
        <w:rPr>
          <w:rFonts w:cs="Arial"/>
          <w:sz w:val="24"/>
          <w:szCs w:val="24"/>
          <w:lang w:val="en-GB"/>
        </w:rPr>
        <w:t xml:space="preserve"> </w:t>
      </w:r>
      <w:r w:rsidR="009E20FB" w:rsidRPr="00BC1ABD">
        <w:rPr>
          <w:rFonts w:cs="Arial"/>
          <w:sz w:val="24"/>
          <w:szCs w:val="24"/>
          <w:lang w:val="en-GB"/>
        </w:rPr>
        <w:t xml:space="preserve">Methodological rules (based on findings from Chapter </w:t>
      </w:r>
      <w:r w:rsidR="00F25B4A">
        <w:rPr>
          <w:rFonts w:cs="Arial"/>
          <w:sz w:val="24"/>
          <w:szCs w:val="24"/>
          <w:lang w:val="en-GB"/>
        </w:rPr>
        <w:t>7</w:t>
      </w:r>
      <w:r w:rsidR="009E20FB" w:rsidRPr="00BC1ABD">
        <w:rPr>
          <w:rFonts w:cs="Arial"/>
          <w:sz w:val="24"/>
          <w:szCs w:val="24"/>
          <w:lang w:val="en-GB"/>
        </w:rPr>
        <w:t>.1),</w:t>
      </w:r>
      <w:r w:rsidRPr="00BC1ABD">
        <w:rPr>
          <w:rFonts w:cs="Arial"/>
          <w:sz w:val="24"/>
          <w:szCs w:val="24"/>
          <w:lang w:val="en-GB"/>
        </w:rPr>
        <w:t xml:space="preserve"> ComCom</w:t>
      </w:r>
      <w:r w:rsidR="0039291A" w:rsidRPr="00BC1ABD">
        <w:rPr>
          <w:rFonts w:cs="Arial"/>
          <w:sz w:val="24"/>
          <w:szCs w:val="24"/>
          <w:lang w:val="en-GB"/>
        </w:rPr>
        <w:t xml:space="preserve"> proposes that </w:t>
      </w:r>
      <w:r w:rsidR="00A01B91">
        <w:rPr>
          <w:rFonts w:cs="Arial"/>
          <w:sz w:val="24"/>
          <w:szCs w:val="24"/>
          <w:lang w:val="en-GB"/>
        </w:rPr>
        <w:t xml:space="preserve">the </w:t>
      </w:r>
      <w:r w:rsidRPr="00BC1ABD">
        <w:rPr>
          <w:rFonts w:cs="Arial"/>
          <w:sz w:val="24"/>
          <w:szCs w:val="24"/>
          <w:lang w:val="en-GB"/>
        </w:rPr>
        <w:t>SMP</w:t>
      </w:r>
      <w:r w:rsidR="0039291A" w:rsidRPr="00BC1ABD">
        <w:rPr>
          <w:rFonts w:cs="Arial"/>
          <w:sz w:val="24"/>
          <w:szCs w:val="24"/>
          <w:lang w:val="en-GB"/>
        </w:rPr>
        <w:t xml:space="preserve"> operator </w:t>
      </w:r>
      <w:r w:rsidRPr="00BC1ABD">
        <w:rPr>
          <w:rFonts w:cs="Arial"/>
          <w:sz w:val="24"/>
          <w:szCs w:val="24"/>
          <w:lang w:val="en-GB"/>
        </w:rPr>
        <w:t>is required</w:t>
      </w:r>
      <w:r w:rsidR="0039291A" w:rsidRPr="00BC1ABD">
        <w:rPr>
          <w:rFonts w:cs="Arial"/>
          <w:sz w:val="24"/>
          <w:szCs w:val="24"/>
          <w:lang w:val="en-GB"/>
        </w:rPr>
        <w:t>:</w:t>
      </w:r>
    </w:p>
    <w:p w14:paraId="4B6924C4" w14:textId="77777777" w:rsidR="0039291A" w:rsidRPr="00B41DB8" w:rsidRDefault="002F05D0" w:rsidP="0039291A">
      <w:pPr>
        <w:jc w:val="both"/>
        <w:rPr>
          <w:rFonts w:cs="Arial"/>
          <w:sz w:val="24"/>
          <w:szCs w:val="24"/>
          <w:u w:val="single"/>
          <w:lang w:val="en-GB"/>
        </w:rPr>
      </w:pPr>
      <w:r w:rsidRPr="00B41DB8">
        <w:rPr>
          <w:rFonts w:cs="Arial"/>
          <w:sz w:val="24"/>
          <w:szCs w:val="24"/>
          <w:u w:val="single"/>
          <w:lang w:val="en-GB"/>
        </w:rPr>
        <w:t>Cluster</w:t>
      </w:r>
      <w:r w:rsidR="009E20FB" w:rsidRPr="00B41DB8">
        <w:rPr>
          <w:rFonts w:cs="Arial"/>
          <w:sz w:val="24"/>
          <w:szCs w:val="24"/>
          <w:u w:val="single"/>
          <w:lang w:val="en-GB"/>
        </w:rPr>
        <w:t xml:space="preserve"> </w:t>
      </w:r>
      <w:r w:rsidR="0039291A" w:rsidRPr="00B41DB8">
        <w:rPr>
          <w:rFonts w:cs="Arial"/>
          <w:sz w:val="24"/>
          <w:szCs w:val="24"/>
          <w:u w:val="single"/>
          <w:lang w:val="en-GB"/>
        </w:rPr>
        <w:t>I</w:t>
      </w:r>
    </w:p>
    <w:p w14:paraId="1BB44301" w14:textId="0475563A" w:rsidR="0039291A" w:rsidRPr="00384D6A" w:rsidRDefault="007354E3">
      <w:pPr>
        <w:pStyle w:val="ListParagraph"/>
        <w:numPr>
          <w:ilvl w:val="0"/>
          <w:numId w:val="14"/>
        </w:numPr>
        <w:jc w:val="both"/>
        <w:rPr>
          <w:rFonts w:cs="Arial"/>
          <w:sz w:val="24"/>
          <w:szCs w:val="24"/>
          <w:lang w:val="en-GB"/>
        </w:rPr>
      </w:pPr>
      <w:r w:rsidRPr="00384D6A">
        <w:rPr>
          <w:rFonts w:cs="Arial"/>
          <w:sz w:val="24"/>
          <w:szCs w:val="24"/>
          <w:lang w:val="en-GB"/>
        </w:rPr>
        <w:t>T</w:t>
      </w:r>
      <w:r w:rsidR="006C5C75" w:rsidRPr="00384D6A">
        <w:rPr>
          <w:rFonts w:cs="Arial"/>
          <w:sz w:val="24"/>
          <w:szCs w:val="24"/>
          <w:lang w:val="en-GB"/>
        </w:rPr>
        <w:t xml:space="preserve">o </w:t>
      </w:r>
      <w:r w:rsidR="0039291A" w:rsidRPr="00384D6A">
        <w:rPr>
          <w:rFonts w:cs="Arial"/>
          <w:sz w:val="24"/>
          <w:szCs w:val="24"/>
          <w:lang w:val="en-GB"/>
        </w:rPr>
        <w:t>keep separate accoun</w:t>
      </w:r>
      <w:r w:rsidR="00D80F87" w:rsidRPr="00384D6A">
        <w:rPr>
          <w:rFonts w:cs="Arial"/>
          <w:sz w:val="24"/>
          <w:szCs w:val="24"/>
          <w:lang w:val="en-GB"/>
        </w:rPr>
        <w:t xml:space="preserve">ts for </w:t>
      </w:r>
      <w:r w:rsidR="0061391A" w:rsidRPr="00384D6A">
        <w:rPr>
          <w:rFonts w:cs="Arial"/>
          <w:sz w:val="24"/>
          <w:szCs w:val="24"/>
          <w:lang w:val="en-GB"/>
        </w:rPr>
        <w:t xml:space="preserve">the </w:t>
      </w:r>
      <w:r w:rsidR="00D80F87" w:rsidRPr="00384D6A">
        <w:rPr>
          <w:rFonts w:cs="Arial"/>
          <w:sz w:val="24"/>
          <w:szCs w:val="24"/>
          <w:lang w:val="en-GB"/>
        </w:rPr>
        <w:t xml:space="preserve">services of </w:t>
      </w:r>
      <w:r w:rsidR="00C77D1D" w:rsidRPr="003E5448">
        <w:rPr>
          <w:rFonts w:cs="Arial"/>
          <w:sz w:val="24"/>
          <w:szCs w:val="24"/>
          <w:highlight w:val="yellow"/>
          <w:lang w:val="en-GB"/>
        </w:rPr>
        <w:t xml:space="preserve">VULA </w:t>
      </w:r>
      <w:r w:rsidR="00D80F87" w:rsidRPr="003E5448">
        <w:rPr>
          <w:rFonts w:cs="Arial"/>
          <w:sz w:val="24"/>
          <w:szCs w:val="24"/>
          <w:highlight w:val="yellow"/>
          <w:lang w:val="en-GB"/>
        </w:rPr>
        <w:t xml:space="preserve">and </w:t>
      </w:r>
      <w:r w:rsidR="00C77D1D" w:rsidRPr="003E5448">
        <w:rPr>
          <w:rFonts w:cs="Arial"/>
          <w:sz w:val="24"/>
          <w:szCs w:val="24"/>
          <w:highlight w:val="yellow"/>
          <w:lang w:val="en-GB"/>
        </w:rPr>
        <w:t>wholesale</w:t>
      </w:r>
      <w:r w:rsidR="00C77D1D">
        <w:rPr>
          <w:rFonts w:cs="Arial"/>
          <w:sz w:val="24"/>
          <w:szCs w:val="24"/>
          <w:lang w:val="en-GB"/>
        </w:rPr>
        <w:t xml:space="preserve"> </w:t>
      </w:r>
      <w:r w:rsidR="00D80F87" w:rsidRPr="00384D6A">
        <w:rPr>
          <w:rFonts w:cs="Arial"/>
          <w:sz w:val="24"/>
          <w:szCs w:val="24"/>
          <w:lang w:val="en-GB"/>
        </w:rPr>
        <w:t>central access</w:t>
      </w:r>
      <w:r w:rsidR="000711AB" w:rsidRPr="00384D6A">
        <w:rPr>
          <w:rFonts w:cs="Arial"/>
          <w:sz w:val="24"/>
          <w:szCs w:val="24"/>
          <w:lang w:val="en-GB"/>
        </w:rPr>
        <w:t xml:space="preserve"> (including ancillary services)</w:t>
      </w:r>
      <w:r w:rsidR="0061391A" w:rsidRPr="00384D6A">
        <w:rPr>
          <w:rFonts w:cs="Arial"/>
          <w:sz w:val="24"/>
          <w:szCs w:val="24"/>
          <w:lang w:val="en-GB"/>
        </w:rPr>
        <w:t xml:space="preserve"> defined in this market analysis.</w:t>
      </w:r>
    </w:p>
    <w:p w14:paraId="6D7B41FF" w14:textId="77777777" w:rsidR="00D80F87" w:rsidRPr="00384D6A" w:rsidRDefault="002F05D0" w:rsidP="0039291A">
      <w:pPr>
        <w:jc w:val="both"/>
        <w:rPr>
          <w:rFonts w:cs="Arial"/>
          <w:sz w:val="24"/>
          <w:szCs w:val="24"/>
          <w:u w:val="single"/>
          <w:lang w:val="en-GB"/>
        </w:rPr>
      </w:pPr>
      <w:r w:rsidRPr="00384D6A">
        <w:rPr>
          <w:rFonts w:cs="Arial"/>
          <w:sz w:val="24"/>
          <w:szCs w:val="24"/>
          <w:u w:val="single"/>
          <w:lang w:val="en-GB"/>
        </w:rPr>
        <w:t>Cluster</w:t>
      </w:r>
      <w:r w:rsidR="009E20FB" w:rsidRPr="00384D6A">
        <w:rPr>
          <w:rFonts w:cs="Arial"/>
          <w:sz w:val="24"/>
          <w:szCs w:val="24"/>
          <w:u w:val="single"/>
          <w:lang w:val="en-GB"/>
        </w:rPr>
        <w:t xml:space="preserve"> </w:t>
      </w:r>
      <w:r w:rsidR="00D80F87" w:rsidRPr="00384D6A">
        <w:rPr>
          <w:rFonts w:cs="Arial"/>
          <w:sz w:val="24"/>
          <w:szCs w:val="24"/>
          <w:u w:val="single"/>
          <w:lang w:val="en-GB"/>
        </w:rPr>
        <w:t>II</w:t>
      </w:r>
    </w:p>
    <w:p w14:paraId="2C9FBC2A" w14:textId="793BB3D3" w:rsidR="00D80F87" w:rsidRPr="00384D6A" w:rsidRDefault="007354E3">
      <w:pPr>
        <w:pStyle w:val="ListParagraph"/>
        <w:numPr>
          <w:ilvl w:val="0"/>
          <w:numId w:val="14"/>
        </w:numPr>
        <w:jc w:val="both"/>
        <w:rPr>
          <w:rFonts w:cs="Arial"/>
          <w:sz w:val="24"/>
          <w:szCs w:val="24"/>
          <w:lang w:val="en-GB"/>
        </w:rPr>
      </w:pPr>
      <w:r w:rsidRPr="00384D6A">
        <w:rPr>
          <w:rFonts w:cs="Arial"/>
          <w:sz w:val="24"/>
          <w:szCs w:val="24"/>
          <w:lang w:val="en-GB"/>
        </w:rPr>
        <w:t>T</w:t>
      </w:r>
      <w:r w:rsidR="00D80F87" w:rsidRPr="00384D6A">
        <w:rPr>
          <w:rFonts w:cs="Arial"/>
          <w:sz w:val="24"/>
          <w:szCs w:val="24"/>
          <w:lang w:val="en-GB"/>
        </w:rPr>
        <w:t xml:space="preserve">o keep separate accounts for services of </w:t>
      </w:r>
      <w:r w:rsidR="00C77D1D" w:rsidRPr="003E5448">
        <w:rPr>
          <w:rFonts w:cs="Arial"/>
          <w:sz w:val="24"/>
          <w:szCs w:val="24"/>
          <w:highlight w:val="yellow"/>
          <w:lang w:val="en-GB"/>
        </w:rPr>
        <w:t xml:space="preserve">VULA </w:t>
      </w:r>
      <w:r w:rsidR="0044082E" w:rsidRPr="003E5448">
        <w:rPr>
          <w:rFonts w:cs="Arial"/>
          <w:sz w:val="24"/>
          <w:szCs w:val="24"/>
          <w:highlight w:val="yellow"/>
          <w:lang w:val="en-GB"/>
        </w:rPr>
        <w:t xml:space="preserve">and </w:t>
      </w:r>
      <w:r w:rsidR="00C77D1D" w:rsidRPr="003E5448">
        <w:rPr>
          <w:rFonts w:cs="Arial"/>
          <w:sz w:val="24"/>
          <w:szCs w:val="24"/>
          <w:highlight w:val="yellow"/>
          <w:lang w:val="en-GB"/>
        </w:rPr>
        <w:t>wholesale</w:t>
      </w:r>
      <w:r w:rsidR="00C77D1D">
        <w:rPr>
          <w:rFonts w:cs="Arial"/>
          <w:sz w:val="24"/>
          <w:szCs w:val="24"/>
          <w:lang w:val="en-GB"/>
        </w:rPr>
        <w:t xml:space="preserve"> </w:t>
      </w:r>
      <w:r w:rsidR="00D80F87" w:rsidRPr="00384D6A">
        <w:rPr>
          <w:rFonts w:cs="Arial"/>
          <w:sz w:val="24"/>
          <w:szCs w:val="24"/>
          <w:lang w:val="en-GB"/>
        </w:rPr>
        <w:t>central access</w:t>
      </w:r>
      <w:r w:rsidR="000711AB" w:rsidRPr="00384D6A">
        <w:rPr>
          <w:rFonts w:cs="Arial"/>
          <w:sz w:val="24"/>
          <w:szCs w:val="24"/>
          <w:lang w:val="en-GB"/>
        </w:rPr>
        <w:t xml:space="preserve"> (including ancillary services)</w:t>
      </w:r>
      <w:r w:rsidR="0061391A" w:rsidRPr="00384D6A">
        <w:rPr>
          <w:rFonts w:cs="Arial"/>
          <w:sz w:val="24"/>
          <w:szCs w:val="24"/>
          <w:lang w:val="en-GB"/>
        </w:rPr>
        <w:t xml:space="preserve"> defined in this market analysis</w:t>
      </w:r>
      <w:r w:rsidR="00D80F87" w:rsidRPr="00384D6A">
        <w:rPr>
          <w:rFonts w:cs="Arial"/>
          <w:sz w:val="24"/>
          <w:szCs w:val="24"/>
          <w:lang w:val="en-GB"/>
        </w:rPr>
        <w:t>.</w:t>
      </w:r>
    </w:p>
    <w:p w14:paraId="070259B9" w14:textId="77777777" w:rsidR="00D80F87" w:rsidRPr="00BC1ABD" w:rsidRDefault="002F05D0" w:rsidP="00D80F87">
      <w:pPr>
        <w:jc w:val="both"/>
        <w:rPr>
          <w:rFonts w:cs="Arial"/>
          <w:sz w:val="24"/>
          <w:szCs w:val="24"/>
          <w:lang w:val="en-GB"/>
        </w:rPr>
      </w:pPr>
      <w:r w:rsidRPr="00384D6A">
        <w:rPr>
          <w:rFonts w:cs="Arial"/>
          <w:sz w:val="24"/>
          <w:szCs w:val="24"/>
          <w:lang w:val="en-GB"/>
        </w:rPr>
        <w:t xml:space="preserve">Cluster </w:t>
      </w:r>
      <w:r w:rsidR="00D80F87" w:rsidRPr="00384D6A">
        <w:rPr>
          <w:rFonts w:cs="Arial"/>
          <w:sz w:val="24"/>
          <w:szCs w:val="24"/>
          <w:lang w:val="en-GB"/>
        </w:rPr>
        <w:t>III</w:t>
      </w:r>
    </w:p>
    <w:p w14:paraId="0038C61C" w14:textId="77777777" w:rsidR="00D80F87" w:rsidRPr="00BC1ABD" w:rsidRDefault="009E20FB">
      <w:pPr>
        <w:pStyle w:val="ListParagraph"/>
        <w:numPr>
          <w:ilvl w:val="0"/>
          <w:numId w:val="14"/>
        </w:numPr>
        <w:jc w:val="both"/>
        <w:rPr>
          <w:rFonts w:cs="Arial"/>
          <w:sz w:val="24"/>
          <w:szCs w:val="24"/>
          <w:lang w:val="en-GB"/>
        </w:rPr>
      </w:pPr>
      <w:r w:rsidRPr="00BC1ABD">
        <w:rPr>
          <w:rFonts w:cs="Arial"/>
          <w:sz w:val="24"/>
          <w:szCs w:val="24"/>
          <w:lang w:val="en-GB"/>
        </w:rPr>
        <w:t>Regulatory obligation of accounting separation is not imposed.</w:t>
      </w:r>
    </w:p>
    <w:p w14:paraId="7996339D" w14:textId="1046B563" w:rsidR="00D34F98" w:rsidRPr="00BC1ABD" w:rsidRDefault="00A3001D" w:rsidP="00A3001D">
      <w:pPr>
        <w:jc w:val="both"/>
        <w:rPr>
          <w:sz w:val="24"/>
          <w:lang w:val="en-GB"/>
        </w:rPr>
      </w:pPr>
      <w:r w:rsidRPr="00BC1ABD">
        <w:rPr>
          <w:rFonts w:cs="Arial"/>
          <w:sz w:val="24"/>
          <w:szCs w:val="24"/>
          <w:lang w:val="en-GB"/>
        </w:rPr>
        <w:t>The SMP operator will implement this obligation in accordance with Resolution N</w:t>
      </w:r>
      <w:r w:rsidR="0061391A">
        <w:rPr>
          <w:rFonts w:cs="Arial"/>
          <w:sz w:val="24"/>
          <w:szCs w:val="24"/>
          <w:lang w:val="en-GB"/>
        </w:rPr>
        <w:t>o.</w:t>
      </w:r>
      <w:r w:rsidRPr="00BC1ABD">
        <w:rPr>
          <w:rFonts w:cs="Arial"/>
          <w:sz w:val="24"/>
          <w:szCs w:val="24"/>
          <w:lang w:val="en-GB"/>
        </w:rPr>
        <w:t xml:space="preserve"> 5 of the Georgian National Communications Commission of April 20, 2006 on Approval of Rules of Separate Accounting and Cost Accounting Methodology by Authori</w:t>
      </w:r>
      <w:r w:rsidR="00B91B7D">
        <w:rPr>
          <w:rFonts w:cs="Arial"/>
          <w:sz w:val="24"/>
          <w:szCs w:val="24"/>
          <w:lang w:val="en-GB"/>
        </w:rPr>
        <w:t>s</w:t>
      </w:r>
      <w:r w:rsidRPr="00BC1ABD">
        <w:rPr>
          <w:rFonts w:cs="Arial"/>
          <w:sz w:val="24"/>
          <w:szCs w:val="24"/>
          <w:lang w:val="en-GB"/>
        </w:rPr>
        <w:t>ed Entities</w:t>
      </w:r>
      <w:r w:rsidRPr="009E40F9">
        <w:rPr>
          <w:sz w:val="24"/>
          <w:lang w:val="en-GB"/>
        </w:rPr>
        <w:t>.</w:t>
      </w:r>
    </w:p>
    <w:p w14:paraId="402E39D4" w14:textId="42791BB7" w:rsidR="00F22660" w:rsidRPr="00BC1ABD" w:rsidRDefault="0079041E" w:rsidP="0039291A">
      <w:pPr>
        <w:jc w:val="both"/>
        <w:rPr>
          <w:rFonts w:cs="Arial"/>
          <w:sz w:val="24"/>
          <w:szCs w:val="24"/>
          <w:lang w:val="en-GB"/>
        </w:rPr>
        <w:sectPr w:rsidR="00F22660" w:rsidRPr="00BC1ABD" w:rsidSect="0073442C">
          <w:footerReference w:type="default" r:id="rId51"/>
          <w:pgSz w:w="11906" w:h="16838"/>
          <w:pgMar w:top="1417" w:right="1417" w:bottom="1134" w:left="1417" w:header="708" w:footer="708" w:gutter="0"/>
          <w:cols w:space="708"/>
          <w:docGrid w:linePitch="360"/>
        </w:sectPr>
      </w:pPr>
      <w:r w:rsidRPr="00BC1ABD">
        <w:rPr>
          <w:rFonts w:cs="Arial"/>
          <w:sz w:val="24"/>
          <w:szCs w:val="24"/>
          <w:lang w:val="en-GB"/>
        </w:rPr>
        <w:t xml:space="preserve">In ComCom’s view, this regulatory </w:t>
      </w:r>
      <w:r w:rsidR="0039291A" w:rsidRPr="00BC1ABD">
        <w:rPr>
          <w:rFonts w:cs="Arial"/>
          <w:sz w:val="24"/>
          <w:szCs w:val="24"/>
          <w:lang w:val="en-GB"/>
        </w:rPr>
        <w:t>obligation solve</w:t>
      </w:r>
      <w:r w:rsidRPr="00BC1ABD">
        <w:rPr>
          <w:rFonts w:cs="Arial"/>
          <w:sz w:val="24"/>
          <w:szCs w:val="24"/>
          <w:lang w:val="en-GB"/>
        </w:rPr>
        <w:t xml:space="preserve">s competition problems defined in Chapter </w:t>
      </w:r>
      <w:r w:rsidR="00F25B4A">
        <w:rPr>
          <w:rFonts w:cs="Arial"/>
          <w:sz w:val="24"/>
          <w:szCs w:val="24"/>
          <w:lang w:val="en-GB"/>
        </w:rPr>
        <w:t>7</w:t>
      </w:r>
      <w:r w:rsidRPr="00BC1ABD">
        <w:rPr>
          <w:rFonts w:cs="Arial"/>
          <w:sz w:val="24"/>
          <w:szCs w:val="24"/>
          <w:lang w:val="en-GB"/>
        </w:rPr>
        <w:t>.</w:t>
      </w:r>
      <w:r w:rsidR="009E20FB" w:rsidRPr="00BC1ABD">
        <w:rPr>
          <w:rFonts w:cs="Arial"/>
          <w:sz w:val="24"/>
          <w:szCs w:val="24"/>
          <w:lang w:val="en-GB"/>
        </w:rPr>
        <w:t>4</w:t>
      </w:r>
      <w:r w:rsidRPr="00BC1ABD">
        <w:rPr>
          <w:rFonts w:cs="Arial"/>
          <w:sz w:val="24"/>
          <w:szCs w:val="24"/>
          <w:lang w:val="en-GB"/>
        </w:rPr>
        <w:t>.</w:t>
      </w:r>
      <w:r w:rsidR="0039291A" w:rsidRPr="00BC1ABD">
        <w:rPr>
          <w:rFonts w:cs="Arial"/>
          <w:sz w:val="24"/>
          <w:szCs w:val="24"/>
          <w:lang w:val="en-GB"/>
        </w:rPr>
        <w:t xml:space="preserve"> and all obstacles that are not directly </w:t>
      </w:r>
      <w:r w:rsidRPr="00BC1ABD">
        <w:rPr>
          <w:rFonts w:cs="Arial"/>
          <w:sz w:val="24"/>
          <w:szCs w:val="24"/>
          <w:lang w:val="en-GB"/>
        </w:rPr>
        <w:t>defined and</w:t>
      </w:r>
      <w:r w:rsidR="0039291A" w:rsidRPr="00BC1ABD">
        <w:rPr>
          <w:rFonts w:cs="Arial"/>
          <w:sz w:val="24"/>
          <w:szCs w:val="24"/>
          <w:lang w:val="en-GB"/>
        </w:rPr>
        <w:t xml:space="preserve"> could cause the same or similar consequences on the market. </w:t>
      </w:r>
      <w:r w:rsidR="0061391A">
        <w:rPr>
          <w:rFonts w:cs="Arial"/>
          <w:sz w:val="24"/>
          <w:szCs w:val="24"/>
          <w:lang w:val="en-GB"/>
        </w:rPr>
        <w:t>Any potential</w:t>
      </w:r>
      <w:r w:rsidRPr="00BC1ABD">
        <w:rPr>
          <w:rFonts w:cs="Arial"/>
          <w:sz w:val="24"/>
          <w:szCs w:val="24"/>
          <w:lang w:val="en-GB"/>
        </w:rPr>
        <w:t xml:space="preserve"> cross-subsidi</w:t>
      </w:r>
      <w:r w:rsidR="00B91B7D">
        <w:rPr>
          <w:rFonts w:cs="Arial"/>
          <w:sz w:val="24"/>
          <w:szCs w:val="24"/>
          <w:lang w:val="en-GB"/>
        </w:rPr>
        <w:t>s</w:t>
      </w:r>
      <w:r w:rsidRPr="00BC1ABD">
        <w:rPr>
          <w:rFonts w:cs="Arial"/>
          <w:sz w:val="24"/>
          <w:szCs w:val="24"/>
          <w:lang w:val="en-GB"/>
        </w:rPr>
        <w:t xml:space="preserve">ation problem </w:t>
      </w:r>
      <w:r w:rsidR="0039291A" w:rsidRPr="00BC1ABD">
        <w:rPr>
          <w:rFonts w:cs="Arial"/>
          <w:sz w:val="24"/>
          <w:szCs w:val="24"/>
          <w:lang w:val="en-GB"/>
        </w:rPr>
        <w:t xml:space="preserve">will be solved </w:t>
      </w:r>
      <w:r w:rsidR="0061391A">
        <w:rPr>
          <w:rFonts w:cs="Arial"/>
          <w:sz w:val="24"/>
          <w:szCs w:val="24"/>
          <w:lang w:val="en-GB"/>
        </w:rPr>
        <w:t xml:space="preserve">by accounting </w:t>
      </w:r>
      <w:r w:rsidR="009E40F9">
        <w:rPr>
          <w:rFonts w:cs="Arial"/>
          <w:sz w:val="24"/>
          <w:szCs w:val="24"/>
          <w:lang w:val="en-GB"/>
        </w:rPr>
        <w:t>separation</w:t>
      </w:r>
      <w:r w:rsidR="0061391A">
        <w:rPr>
          <w:rFonts w:cs="Arial"/>
          <w:sz w:val="24"/>
          <w:szCs w:val="24"/>
          <w:lang w:val="en-GB"/>
        </w:rPr>
        <w:t xml:space="preserve"> </w:t>
      </w:r>
      <w:r w:rsidR="0039291A" w:rsidRPr="00BC1ABD">
        <w:rPr>
          <w:rFonts w:cs="Arial"/>
          <w:sz w:val="24"/>
          <w:szCs w:val="24"/>
          <w:lang w:val="en-GB"/>
        </w:rPr>
        <w:t xml:space="preserve">in combination with the </w:t>
      </w:r>
      <w:r w:rsidRPr="00BC1ABD">
        <w:rPr>
          <w:rFonts w:cs="Arial"/>
          <w:sz w:val="24"/>
          <w:szCs w:val="24"/>
          <w:lang w:val="en-GB"/>
        </w:rPr>
        <w:t>regulatory</w:t>
      </w:r>
      <w:r w:rsidR="0039291A" w:rsidRPr="00BC1ABD">
        <w:rPr>
          <w:rFonts w:cs="Arial"/>
          <w:sz w:val="24"/>
          <w:szCs w:val="24"/>
          <w:lang w:val="en-GB"/>
        </w:rPr>
        <w:t xml:space="preserve"> obligations </w:t>
      </w:r>
      <w:r w:rsidRPr="00BC1ABD">
        <w:rPr>
          <w:rFonts w:cs="Arial"/>
          <w:sz w:val="24"/>
          <w:szCs w:val="24"/>
          <w:lang w:val="en-GB"/>
        </w:rPr>
        <w:t>related to</w:t>
      </w:r>
      <w:r w:rsidR="0039291A" w:rsidRPr="00BC1ABD">
        <w:rPr>
          <w:rFonts w:cs="Arial"/>
          <w:sz w:val="24"/>
          <w:szCs w:val="24"/>
          <w:lang w:val="en-GB"/>
        </w:rPr>
        <w:t xml:space="preserve"> non-discrimination and transparency</w:t>
      </w:r>
      <w:r w:rsidR="008B6927" w:rsidRPr="00BC1ABD">
        <w:rPr>
          <w:rFonts w:cs="Arial"/>
          <w:sz w:val="24"/>
          <w:szCs w:val="24"/>
          <w:lang w:val="en-GB"/>
        </w:rPr>
        <w:t>.</w:t>
      </w:r>
      <w:r w:rsidR="007A00A7" w:rsidRPr="00BC1ABD">
        <w:rPr>
          <w:rFonts w:cs="Arial"/>
          <w:sz w:val="24"/>
          <w:szCs w:val="24"/>
          <w:lang w:val="en-GB"/>
        </w:rPr>
        <w:t xml:space="preserve"> </w:t>
      </w:r>
    </w:p>
    <w:p w14:paraId="486D465E" w14:textId="77777777" w:rsidR="00D80F87" w:rsidRDefault="007354E3" w:rsidP="00C2733F">
      <w:pPr>
        <w:pStyle w:val="Heading2"/>
        <w:numPr>
          <w:ilvl w:val="1"/>
          <w:numId w:val="88"/>
        </w:numPr>
        <w:spacing w:after="240"/>
        <w:rPr>
          <w:lang w:val="en-GB"/>
        </w:rPr>
      </w:pPr>
      <w:bookmarkStart w:id="365" w:name="_Toc169259011"/>
      <w:r w:rsidRPr="00BC1ABD">
        <w:rPr>
          <w:lang w:val="en-GB"/>
        </w:rPr>
        <w:t>Wholesale fixed access: O</w:t>
      </w:r>
      <w:r w:rsidR="00D80F87" w:rsidRPr="00BC1ABD">
        <w:rPr>
          <w:lang w:val="en-GB"/>
        </w:rPr>
        <w:t xml:space="preserve">verview of the proposed regulatory remedies </w:t>
      </w:r>
      <w:r w:rsidR="009E20FB" w:rsidRPr="00BC1ABD">
        <w:rPr>
          <w:lang w:val="en-GB"/>
        </w:rPr>
        <w:t xml:space="preserve">for </w:t>
      </w:r>
      <w:r w:rsidR="00163441" w:rsidRPr="00BC1ABD">
        <w:rPr>
          <w:lang w:val="en-GB"/>
        </w:rPr>
        <w:t>Clusters</w:t>
      </w:r>
      <w:r w:rsidR="009E20FB" w:rsidRPr="00BC1ABD">
        <w:rPr>
          <w:lang w:val="en-GB"/>
        </w:rPr>
        <w:t xml:space="preserve"> I, II and III</w:t>
      </w:r>
      <w:bookmarkEnd w:id="365"/>
    </w:p>
    <w:p w14:paraId="4E74C014" w14:textId="3B871665" w:rsidR="008711B0" w:rsidRPr="00C5127C" w:rsidRDefault="00C5127C" w:rsidP="00C5127C">
      <w:pPr>
        <w:pStyle w:val="Caption"/>
        <w:jc w:val="center"/>
        <w:rPr>
          <w:lang w:val="en-GB"/>
        </w:rPr>
      </w:pPr>
      <w:bookmarkStart w:id="366" w:name="_Toc152931426"/>
      <w:r>
        <w:t xml:space="preserve">Figure </w:t>
      </w:r>
      <w:r>
        <w:fldChar w:fldCharType="begin"/>
      </w:r>
      <w:r>
        <w:instrText xml:space="preserve"> SEQ Figure \* ARABIC </w:instrText>
      </w:r>
      <w:r>
        <w:fldChar w:fldCharType="separate"/>
      </w:r>
      <w:r w:rsidR="00ED2C35">
        <w:rPr>
          <w:noProof/>
        </w:rPr>
        <w:t>75</w:t>
      </w:r>
      <w:r>
        <w:fldChar w:fldCharType="end"/>
      </w:r>
      <w:r>
        <w:t xml:space="preserve"> </w:t>
      </w:r>
      <w:r w:rsidRPr="00C5127C">
        <w:rPr>
          <w:lang w:val="en-GB"/>
        </w:rPr>
        <w:t>Geographic segmentation of remedies</w:t>
      </w:r>
      <w:bookmarkEnd w:id="366"/>
    </w:p>
    <w:tbl>
      <w:tblPr>
        <w:tblStyle w:val="TableGrid1"/>
        <w:tblW w:w="14312" w:type="dxa"/>
        <w:tblLook w:val="04A0" w:firstRow="1" w:lastRow="0" w:firstColumn="1" w:lastColumn="0" w:noHBand="0" w:noVBand="1"/>
      </w:tblPr>
      <w:tblGrid>
        <w:gridCol w:w="2972"/>
        <w:gridCol w:w="2693"/>
        <w:gridCol w:w="3119"/>
        <w:gridCol w:w="5528"/>
      </w:tblGrid>
      <w:tr w:rsidR="00D80F87" w:rsidRPr="00BC1ABD" w14:paraId="38769E81" w14:textId="77777777" w:rsidTr="00D80F87">
        <w:tc>
          <w:tcPr>
            <w:tcW w:w="14312" w:type="dxa"/>
            <w:gridSpan w:val="4"/>
            <w:tcBorders>
              <w:top w:val="single" w:sz="4" w:space="0" w:color="2E74B5"/>
              <w:left w:val="single" w:sz="4" w:space="0" w:color="2E74B5"/>
              <w:bottom w:val="single" w:sz="4" w:space="0" w:color="2E74B5"/>
              <w:right w:val="single" w:sz="4" w:space="0" w:color="2E74B5"/>
            </w:tcBorders>
            <w:shd w:val="clear" w:color="auto" w:fill="DEEAF6"/>
          </w:tcPr>
          <w:p w14:paraId="23316183" w14:textId="77777777" w:rsidR="00D80F87" w:rsidRPr="00BC1ABD" w:rsidRDefault="00D80F87" w:rsidP="00D80F87">
            <w:pPr>
              <w:spacing w:before="120" w:after="120" w:line="240" w:lineRule="auto"/>
              <w:jc w:val="center"/>
              <w:rPr>
                <w:b/>
                <w:smallCaps/>
                <w:lang w:val="en-GB"/>
              </w:rPr>
            </w:pPr>
            <w:r w:rsidRPr="00BC1ABD">
              <w:rPr>
                <w:b/>
                <w:smallCaps/>
                <w:noProof/>
                <w:lang w:val="sl-SI" w:eastAsia="sl-SI"/>
              </w:rPr>
              <mc:AlternateContent>
                <mc:Choice Requires="wps">
                  <w:drawing>
                    <wp:anchor distT="0" distB="0" distL="114300" distR="114300" simplePos="0" relativeHeight="251663360" behindDoc="0" locked="0" layoutInCell="1" allowOverlap="1" wp14:anchorId="715DDEC0" wp14:editId="3937612A">
                      <wp:simplePos x="0" y="0"/>
                      <wp:positionH relativeFrom="column">
                        <wp:posOffset>-79707</wp:posOffset>
                      </wp:positionH>
                      <wp:positionV relativeFrom="paragraph">
                        <wp:posOffset>327605</wp:posOffset>
                      </wp:positionV>
                      <wp:extent cx="1900361" cy="421419"/>
                      <wp:effectExtent l="0" t="0" r="24130" b="36195"/>
                      <wp:wrapNone/>
                      <wp:docPr id="3" name="Connecteur droit 1"/>
                      <wp:cNvGraphicFramePr/>
                      <a:graphic xmlns:a="http://schemas.openxmlformats.org/drawingml/2006/main">
                        <a:graphicData uri="http://schemas.microsoft.com/office/word/2010/wordprocessingShape">
                          <wps:wsp>
                            <wps:cNvCnPr/>
                            <wps:spPr>
                              <a:xfrm>
                                <a:off x="0" y="0"/>
                                <a:ext cx="1900361" cy="421419"/>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23F672DB" id="Connecteur droit 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6.3pt,25.8pt" to="143.3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" strokecolor="#5b9bd5" strokeweight=".5pt">
                      <v:stroke joinstyle="miter"/>
                    </v:line>
                  </w:pict>
                </mc:Fallback>
              </mc:AlternateContent>
            </w:r>
            <w:r w:rsidRPr="00BC1ABD">
              <w:rPr>
                <w:b/>
                <w:smallCaps/>
                <w:lang w:val="en-GB"/>
              </w:rPr>
              <w:t>Geographic segmentation of remedies</w:t>
            </w:r>
          </w:p>
        </w:tc>
      </w:tr>
      <w:tr w:rsidR="00D80F87" w:rsidRPr="00BC1ABD" w14:paraId="445EB58C" w14:textId="77777777" w:rsidTr="00D80F87">
        <w:tc>
          <w:tcPr>
            <w:tcW w:w="2972" w:type="dxa"/>
            <w:tcBorders>
              <w:top w:val="single" w:sz="4" w:space="0" w:color="2E74B5"/>
              <w:left w:val="single" w:sz="4" w:space="0" w:color="2E74B5"/>
              <w:bottom w:val="single" w:sz="4" w:space="0" w:color="2E74B5"/>
              <w:right w:val="single" w:sz="4" w:space="0" w:color="2E74B5"/>
            </w:tcBorders>
            <w:shd w:val="clear" w:color="auto" w:fill="DEEAF6"/>
          </w:tcPr>
          <w:p w14:paraId="39AB9261" w14:textId="77777777" w:rsidR="00D80F87" w:rsidRPr="00BC1ABD" w:rsidRDefault="00163441" w:rsidP="00D80F87">
            <w:pPr>
              <w:spacing w:after="0" w:line="240" w:lineRule="auto"/>
              <w:jc w:val="right"/>
              <w:rPr>
                <w:b/>
                <w:smallCaps/>
                <w:lang w:val="en-GB"/>
              </w:rPr>
            </w:pPr>
            <w:r w:rsidRPr="00BC1ABD">
              <w:rPr>
                <w:b/>
                <w:smallCaps/>
                <w:lang w:val="en-GB"/>
              </w:rPr>
              <w:t>Clusters</w:t>
            </w:r>
          </w:p>
          <w:p w14:paraId="061B7313" w14:textId="77777777" w:rsidR="00D80F87" w:rsidRPr="00BC1ABD" w:rsidRDefault="00D80F87" w:rsidP="00D80F87">
            <w:pPr>
              <w:spacing w:after="120" w:line="240" w:lineRule="auto"/>
              <w:rPr>
                <w:b/>
                <w:smallCaps/>
                <w:lang w:val="en-GB"/>
              </w:rPr>
            </w:pPr>
            <w:r w:rsidRPr="00BC1ABD">
              <w:rPr>
                <w:b/>
                <w:smallCaps/>
                <w:lang w:val="en-GB"/>
              </w:rPr>
              <w:t>Remedies</w:t>
            </w:r>
          </w:p>
        </w:tc>
        <w:tc>
          <w:tcPr>
            <w:tcW w:w="2693" w:type="dxa"/>
            <w:tcBorders>
              <w:top w:val="single" w:sz="4" w:space="0" w:color="2E74B5"/>
              <w:left w:val="single" w:sz="4" w:space="0" w:color="2E74B5"/>
              <w:bottom w:val="single" w:sz="4" w:space="0" w:color="2E74B5"/>
              <w:right w:val="single" w:sz="4" w:space="0" w:color="2E74B5"/>
            </w:tcBorders>
            <w:shd w:val="clear" w:color="auto" w:fill="DEEAF6"/>
          </w:tcPr>
          <w:p w14:paraId="661A5F97" w14:textId="77777777" w:rsidR="00D80F87" w:rsidRPr="00BC1ABD" w:rsidRDefault="002F05D0" w:rsidP="00D80F87">
            <w:pPr>
              <w:spacing w:after="0" w:line="240" w:lineRule="auto"/>
              <w:jc w:val="center"/>
              <w:rPr>
                <w:b/>
                <w:smallCaps/>
                <w:lang w:val="en-GB"/>
              </w:rPr>
            </w:pPr>
            <w:r w:rsidRPr="00BC1ABD">
              <w:rPr>
                <w:b/>
                <w:smallCaps/>
                <w:lang w:val="en-GB"/>
              </w:rPr>
              <w:t>Cluster</w:t>
            </w:r>
            <w:r w:rsidR="009E20FB" w:rsidRPr="00BC1ABD">
              <w:rPr>
                <w:b/>
                <w:smallCaps/>
                <w:lang w:val="en-GB"/>
              </w:rPr>
              <w:t xml:space="preserve"> </w:t>
            </w:r>
            <w:r w:rsidR="00D80F87" w:rsidRPr="00BC1ABD">
              <w:rPr>
                <w:b/>
                <w:smallCaps/>
                <w:lang w:val="en-GB"/>
              </w:rPr>
              <w:t>I : full set of remedies</w:t>
            </w:r>
          </w:p>
        </w:tc>
        <w:tc>
          <w:tcPr>
            <w:tcW w:w="3119" w:type="dxa"/>
            <w:tcBorders>
              <w:top w:val="single" w:sz="4" w:space="0" w:color="2E74B5"/>
              <w:left w:val="single" w:sz="4" w:space="0" w:color="2E74B5"/>
              <w:bottom w:val="single" w:sz="4" w:space="0" w:color="2E74B5"/>
              <w:right w:val="single" w:sz="4" w:space="0" w:color="2E74B5"/>
            </w:tcBorders>
            <w:shd w:val="clear" w:color="auto" w:fill="DEEAF6"/>
          </w:tcPr>
          <w:p w14:paraId="1CD20CD5" w14:textId="77777777" w:rsidR="00D80F87" w:rsidRPr="00BC1ABD" w:rsidRDefault="002F05D0" w:rsidP="00D80F87">
            <w:pPr>
              <w:spacing w:after="0" w:line="240" w:lineRule="auto"/>
              <w:jc w:val="center"/>
              <w:rPr>
                <w:b/>
                <w:smallCaps/>
                <w:lang w:val="en-GB"/>
              </w:rPr>
            </w:pPr>
            <w:r w:rsidRPr="00BC1ABD">
              <w:rPr>
                <w:b/>
                <w:smallCaps/>
                <w:lang w:val="en-GB"/>
              </w:rPr>
              <w:t>Cluster</w:t>
            </w:r>
            <w:r w:rsidR="009E20FB" w:rsidRPr="00BC1ABD">
              <w:rPr>
                <w:b/>
                <w:smallCaps/>
                <w:lang w:val="en-GB"/>
              </w:rPr>
              <w:t xml:space="preserve"> </w:t>
            </w:r>
            <w:r w:rsidR="00D80F87" w:rsidRPr="00BC1ABD">
              <w:rPr>
                <w:b/>
                <w:smallCaps/>
                <w:lang w:val="en-GB"/>
              </w:rPr>
              <w:t xml:space="preserve">II: </w:t>
            </w:r>
            <w:r w:rsidR="009E20FB" w:rsidRPr="00BC1ABD">
              <w:rPr>
                <w:b/>
                <w:smallCaps/>
                <w:lang w:val="en-GB"/>
              </w:rPr>
              <w:t>Lighter set of remedies</w:t>
            </w:r>
          </w:p>
        </w:tc>
        <w:tc>
          <w:tcPr>
            <w:tcW w:w="5528" w:type="dxa"/>
            <w:tcBorders>
              <w:top w:val="single" w:sz="4" w:space="0" w:color="2E74B5"/>
              <w:left w:val="single" w:sz="4" w:space="0" w:color="2E74B5"/>
              <w:bottom w:val="single" w:sz="4" w:space="0" w:color="2E74B5"/>
              <w:right w:val="single" w:sz="4" w:space="0" w:color="2E74B5"/>
            </w:tcBorders>
            <w:shd w:val="clear" w:color="auto" w:fill="DEEAF6"/>
          </w:tcPr>
          <w:p w14:paraId="41430D36" w14:textId="77777777" w:rsidR="00D80F87" w:rsidRPr="00BC1ABD" w:rsidRDefault="002F05D0" w:rsidP="00D80F87">
            <w:pPr>
              <w:spacing w:after="0" w:line="240" w:lineRule="auto"/>
              <w:jc w:val="center"/>
              <w:rPr>
                <w:b/>
                <w:smallCaps/>
                <w:lang w:val="en-GB"/>
              </w:rPr>
            </w:pPr>
            <w:r w:rsidRPr="00BC1ABD">
              <w:rPr>
                <w:b/>
                <w:smallCaps/>
                <w:lang w:val="en-GB"/>
              </w:rPr>
              <w:t>Cluster</w:t>
            </w:r>
            <w:r w:rsidR="009E20FB" w:rsidRPr="00BC1ABD">
              <w:rPr>
                <w:b/>
                <w:smallCaps/>
                <w:lang w:val="en-GB"/>
              </w:rPr>
              <w:t xml:space="preserve"> </w:t>
            </w:r>
            <w:r w:rsidR="00D80F87" w:rsidRPr="00BC1ABD">
              <w:rPr>
                <w:b/>
                <w:smallCaps/>
                <w:lang w:val="en-GB"/>
              </w:rPr>
              <w:t>III</w:t>
            </w:r>
            <w:r w:rsidR="009E20FB" w:rsidRPr="00BC1ABD">
              <w:rPr>
                <w:b/>
                <w:smallCaps/>
                <w:lang w:val="en-GB"/>
              </w:rPr>
              <w:t>:</w:t>
            </w:r>
            <w:r w:rsidR="00D80F87" w:rsidRPr="00BC1ABD">
              <w:rPr>
                <w:b/>
                <w:smallCaps/>
                <w:lang w:val="en-GB"/>
              </w:rPr>
              <w:t xml:space="preserve"> </w:t>
            </w:r>
            <w:r w:rsidR="009E20FB" w:rsidRPr="00BC1ABD">
              <w:rPr>
                <w:b/>
                <w:smallCaps/>
                <w:lang w:val="en-GB"/>
              </w:rPr>
              <w:t>Only access</w:t>
            </w:r>
          </w:p>
        </w:tc>
      </w:tr>
      <w:tr w:rsidR="0029620A" w:rsidRPr="00355738" w14:paraId="021A638F" w14:textId="77777777" w:rsidTr="007354E3">
        <w:trPr>
          <w:trHeight w:val="288"/>
        </w:trPr>
        <w:tc>
          <w:tcPr>
            <w:tcW w:w="2972" w:type="dxa"/>
            <w:vMerge w:val="restart"/>
            <w:tcBorders>
              <w:top w:val="single" w:sz="4" w:space="0" w:color="2E74B5"/>
              <w:left w:val="single" w:sz="4" w:space="0" w:color="2E74B5"/>
              <w:bottom w:val="single" w:sz="4" w:space="0" w:color="2E74B5"/>
              <w:right w:val="single" w:sz="4" w:space="0" w:color="2E74B5"/>
            </w:tcBorders>
            <w:shd w:val="clear" w:color="auto" w:fill="DEEAF6"/>
          </w:tcPr>
          <w:p w14:paraId="0067890A" w14:textId="39D3320B" w:rsidR="0029620A" w:rsidRPr="00BC1ABD" w:rsidRDefault="00A52891" w:rsidP="00D80F87">
            <w:pPr>
              <w:spacing w:after="0" w:line="240" w:lineRule="auto"/>
              <w:rPr>
                <w:lang w:val="en-GB"/>
              </w:rPr>
            </w:pPr>
            <w:bookmarkStart w:id="367" w:name="_Hlk129872694"/>
            <w:r>
              <w:rPr>
                <w:lang w:val="en-GB"/>
              </w:rPr>
              <w:t>O</w:t>
            </w:r>
            <w:r w:rsidR="0029620A" w:rsidRPr="00BC1ABD">
              <w:rPr>
                <w:lang w:val="en-GB"/>
              </w:rPr>
              <w:t xml:space="preserve">bligation to ensure </w:t>
            </w:r>
            <w:r w:rsidR="0029620A" w:rsidRPr="00BC1ABD">
              <w:rPr>
                <w:b/>
                <w:lang w:val="en-GB"/>
              </w:rPr>
              <w:t>transparency</w:t>
            </w:r>
            <w:r w:rsidR="0029620A" w:rsidRPr="00BC1ABD">
              <w:rPr>
                <w:lang w:val="en-GB"/>
              </w:rPr>
              <w:t xml:space="preserve"> of information (art. 31 law)</w:t>
            </w:r>
          </w:p>
          <w:bookmarkEnd w:id="367"/>
          <w:p w14:paraId="1F00FB8F" w14:textId="77777777" w:rsidR="0029620A" w:rsidRPr="00BC1ABD" w:rsidRDefault="0029620A" w:rsidP="00D80F87">
            <w:pPr>
              <w:spacing w:after="0" w:line="240" w:lineRule="auto"/>
              <w:rPr>
                <w:lang w:val="en-GB"/>
              </w:rPr>
            </w:pPr>
          </w:p>
        </w:tc>
        <w:tc>
          <w:tcPr>
            <w:tcW w:w="2693" w:type="dxa"/>
            <w:tcBorders>
              <w:top w:val="single" w:sz="4" w:space="0" w:color="2E74B5"/>
              <w:left w:val="single" w:sz="4" w:space="0" w:color="2E74B5"/>
              <w:bottom w:val="single" w:sz="4" w:space="0" w:color="2E74B5"/>
              <w:right w:val="single" w:sz="4" w:space="0" w:color="2E74B5"/>
            </w:tcBorders>
            <w:shd w:val="clear" w:color="auto" w:fill="FFF2CC"/>
          </w:tcPr>
          <w:p w14:paraId="03BF55E6" w14:textId="63F6FE7C" w:rsidR="0029620A" w:rsidRPr="00BC1ABD" w:rsidRDefault="0029620A" w:rsidP="00D80F87">
            <w:pPr>
              <w:spacing w:after="0" w:line="240" w:lineRule="auto"/>
              <w:ind w:hanging="27"/>
              <w:rPr>
                <w:lang w:val="en-GB"/>
              </w:rPr>
            </w:pPr>
            <w:r w:rsidRPr="00BC1ABD">
              <w:rPr>
                <w:lang w:val="en-GB"/>
              </w:rPr>
              <w:t>Reference offer to be published for central access for all levels of access</w:t>
            </w:r>
            <w:r w:rsidR="00610A41">
              <w:rPr>
                <w:lang w:val="en-GB"/>
              </w:rPr>
              <w:t xml:space="preserve"> (90 days)</w:t>
            </w:r>
          </w:p>
        </w:tc>
        <w:tc>
          <w:tcPr>
            <w:tcW w:w="3119" w:type="dxa"/>
            <w:tcBorders>
              <w:top w:val="single" w:sz="4" w:space="0" w:color="2E74B5"/>
              <w:left w:val="single" w:sz="4" w:space="0" w:color="2E74B5"/>
              <w:right w:val="single" w:sz="4" w:space="0" w:color="2E74B5"/>
            </w:tcBorders>
            <w:shd w:val="clear" w:color="auto" w:fill="FFF2CC"/>
          </w:tcPr>
          <w:p w14:paraId="5E4F1C37" w14:textId="1CF12736" w:rsidR="0029620A" w:rsidRPr="00BC1ABD" w:rsidRDefault="0029620A" w:rsidP="0029620A">
            <w:pPr>
              <w:spacing w:after="0" w:line="240" w:lineRule="auto"/>
              <w:rPr>
                <w:lang w:val="en-GB"/>
              </w:rPr>
            </w:pPr>
            <w:r w:rsidRPr="00BC1ABD">
              <w:rPr>
                <w:lang w:val="en-GB"/>
              </w:rPr>
              <w:t>Reference offer to be published for central access for all levels of access</w:t>
            </w:r>
            <w:r w:rsidR="00A52891">
              <w:rPr>
                <w:lang w:val="en-GB"/>
              </w:rPr>
              <w:t xml:space="preserve"> (90 days)</w:t>
            </w:r>
          </w:p>
          <w:p w14:paraId="1BFA44A5" w14:textId="77777777" w:rsidR="0029620A" w:rsidRPr="00BC1ABD" w:rsidRDefault="0029620A" w:rsidP="0029620A">
            <w:pPr>
              <w:spacing w:after="0" w:line="240" w:lineRule="auto"/>
              <w:rPr>
                <w:lang w:val="en-GB"/>
              </w:rPr>
            </w:pPr>
          </w:p>
        </w:tc>
        <w:tc>
          <w:tcPr>
            <w:tcW w:w="5528" w:type="dxa"/>
            <w:vMerge w:val="restart"/>
            <w:tcBorders>
              <w:top w:val="single" w:sz="4" w:space="0" w:color="2E74B5"/>
              <w:left w:val="single" w:sz="4" w:space="0" w:color="2E74B5"/>
              <w:bottom w:val="single" w:sz="4" w:space="0" w:color="2E74B5"/>
              <w:right w:val="single" w:sz="4" w:space="0" w:color="2E74B5"/>
            </w:tcBorders>
            <w:shd w:val="clear" w:color="auto" w:fill="E2EFD9"/>
          </w:tcPr>
          <w:p w14:paraId="6B283F89" w14:textId="77777777" w:rsidR="0029620A" w:rsidRPr="00BC1ABD" w:rsidRDefault="0029620A" w:rsidP="00D80F87">
            <w:pPr>
              <w:spacing w:after="0" w:line="240" w:lineRule="auto"/>
              <w:rPr>
                <w:lang w:val="en-GB"/>
              </w:rPr>
            </w:pPr>
            <w:r w:rsidRPr="00BC1ABD">
              <w:rPr>
                <w:b/>
                <w:lang w:val="en-GB"/>
              </w:rPr>
              <w:t>No</w:t>
            </w:r>
            <w:r w:rsidRPr="00BC1ABD">
              <w:rPr>
                <w:lang w:val="en-GB"/>
              </w:rPr>
              <w:t xml:space="preserve"> ex-ante publication requirement – commercial negotiation</w:t>
            </w:r>
          </w:p>
        </w:tc>
      </w:tr>
      <w:tr w:rsidR="0029620A" w:rsidRPr="00355738" w14:paraId="6382F638" w14:textId="77777777" w:rsidTr="007354E3">
        <w:trPr>
          <w:trHeight w:val="288"/>
        </w:trPr>
        <w:tc>
          <w:tcPr>
            <w:tcW w:w="2972" w:type="dxa"/>
            <w:vMerge/>
            <w:tcBorders>
              <w:top w:val="single" w:sz="4" w:space="0" w:color="2E74B5"/>
              <w:left w:val="single" w:sz="4" w:space="0" w:color="2E74B5"/>
              <w:bottom w:val="single" w:sz="4" w:space="0" w:color="2E74B5"/>
              <w:right w:val="single" w:sz="4" w:space="0" w:color="2E74B5"/>
            </w:tcBorders>
            <w:shd w:val="clear" w:color="auto" w:fill="DEEAF6"/>
          </w:tcPr>
          <w:p w14:paraId="496A10EF" w14:textId="77777777" w:rsidR="0029620A" w:rsidRPr="00BC1ABD" w:rsidRDefault="0029620A" w:rsidP="00D80F87">
            <w:pPr>
              <w:spacing w:after="0" w:line="240" w:lineRule="auto"/>
              <w:rPr>
                <w:lang w:val="en-GB"/>
              </w:rPr>
            </w:pPr>
          </w:p>
        </w:tc>
        <w:tc>
          <w:tcPr>
            <w:tcW w:w="2693" w:type="dxa"/>
            <w:tcBorders>
              <w:top w:val="single" w:sz="4" w:space="0" w:color="2E74B5"/>
              <w:left w:val="single" w:sz="4" w:space="0" w:color="2E74B5"/>
              <w:bottom w:val="single" w:sz="4" w:space="0" w:color="2E74B5"/>
              <w:right w:val="single" w:sz="4" w:space="0" w:color="2E74B5"/>
            </w:tcBorders>
            <w:shd w:val="clear" w:color="auto" w:fill="FFF2CC"/>
          </w:tcPr>
          <w:p w14:paraId="05186C35" w14:textId="4F6B0624" w:rsidR="0029620A" w:rsidRPr="00BC1ABD" w:rsidRDefault="0029620A" w:rsidP="00D80F87">
            <w:pPr>
              <w:spacing w:after="0" w:line="240" w:lineRule="auto"/>
              <w:rPr>
                <w:lang w:val="en-GB"/>
              </w:rPr>
            </w:pPr>
            <w:r w:rsidRPr="00BC1ABD">
              <w:rPr>
                <w:lang w:val="en-GB"/>
              </w:rPr>
              <w:t xml:space="preserve">For </w:t>
            </w:r>
            <w:r w:rsidR="00937DAF" w:rsidRPr="003E5448">
              <w:rPr>
                <w:highlight w:val="yellow"/>
                <w:lang w:val="en-GB"/>
              </w:rPr>
              <w:t>VULA</w:t>
            </w:r>
            <w:r w:rsidRPr="00BC1ABD">
              <w:rPr>
                <w:lang w:val="en-GB"/>
              </w:rPr>
              <w:t xml:space="preserve">, reference offer </w:t>
            </w:r>
            <w:r w:rsidRPr="00BC1ABD">
              <w:rPr>
                <w:b/>
                <w:lang w:val="en-GB"/>
              </w:rPr>
              <w:t>only in case of demand</w:t>
            </w:r>
            <w:r w:rsidR="00AD0BE4">
              <w:rPr>
                <w:b/>
                <w:lang w:val="en-GB"/>
              </w:rPr>
              <w:t xml:space="preserve"> </w:t>
            </w:r>
            <w:r w:rsidR="00AD0BE4" w:rsidRPr="0096483B">
              <w:rPr>
                <w:bCs/>
                <w:lang w:val="en-GB"/>
              </w:rPr>
              <w:t>(The core elements must be published within 90 days</w:t>
            </w:r>
            <w:r w:rsidR="00373B99">
              <w:rPr>
                <w:bCs/>
                <w:lang w:val="en-GB"/>
              </w:rPr>
              <w:t>)</w:t>
            </w:r>
            <w:r w:rsidR="00AD0BE4" w:rsidRPr="0096483B">
              <w:rPr>
                <w:bCs/>
                <w:lang w:val="en-GB"/>
              </w:rPr>
              <w:t xml:space="preserve"> </w:t>
            </w:r>
          </w:p>
        </w:tc>
        <w:tc>
          <w:tcPr>
            <w:tcW w:w="3119" w:type="dxa"/>
            <w:tcBorders>
              <w:left w:val="single" w:sz="4" w:space="0" w:color="2E74B5"/>
              <w:bottom w:val="single" w:sz="4" w:space="0" w:color="2E74B5"/>
              <w:right w:val="single" w:sz="4" w:space="0" w:color="2E74B5"/>
            </w:tcBorders>
            <w:shd w:val="clear" w:color="auto" w:fill="FFF2CC"/>
          </w:tcPr>
          <w:p w14:paraId="14FBED65" w14:textId="57D77EE6" w:rsidR="0029620A" w:rsidRPr="00BC1ABD" w:rsidRDefault="0029620A" w:rsidP="0029620A">
            <w:pPr>
              <w:spacing w:after="0" w:line="240" w:lineRule="auto"/>
              <w:rPr>
                <w:lang w:val="en-GB"/>
              </w:rPr>
            </w:pPr>
            <w:r w:rsidRPr="00BC1ABD">
              <w:rPr>
                <w:lang w:val="en-GB"/>
              </w:rPr>
              <w:t xml:space="preserve">For </w:t>
            </w:r>
            <w:r w:rsidR="00937DAF" w:rsidRPr="003E5448">
              <w:rPr>
                <w:highlight w:val="yellow"/>
                <w:lang w:val="en-GB"/>
              </w:rPr>
              <w:t>VULA</w:t>
            </w:r>
            <w:r w:rsidRPr="00BC1ABD">
              <w:rPr>
                <w:lang w:val="en-GB"/>
              </w:rPr>
              <w:t xml:space="preserve">, reference offer </w:t>
            </w:r>
            <w:r w:rsidRPr="00BC1ABD">
              <w:rPr>
                <w:b/>
                <w:bCs/>
                <w:lang w:val="en-GB"/>
              </w:rPr>
              <w:t xml:space="preserve">only in </w:t>
            </w:r>
            <w:r w:rsidR="007354E3" w:rsidRPr="00BC1ABD">
              <w:rPr>
                <w:b/>
                <w:bCs/>
                <w:lang w:val="en-GB"/>
              </w:rPr>
              <w:t xml:space="preserve">the </w:t>
            </w:r>
            <w:r w:rsidRPr="00BC1ABD">
              <w:rPr>
                <w:b/>
                <w:bCs/>
                <w:lang w:val="en-GB"/>
              </w:rPr>
              <w:t>case of demand</w:t>
            </w:r>
            <w:r w:rsidR="00373B99">
              <w:rPr>
                <w:b/>
                <w:bCs/>
                <w:lang w:val="en-GB"/>
              </w:rPr>
              <w:t xml:space="preserve"> </w:t>
            </w:r>
            <w:r w:rsidR="00373B99" w:rsidRPr="0096483B">
              <w:rPr>
                <w:lang w:val="en-GB"/>
              </w:rPr>
              <w:t>(The core elements must be published within 90 days)</w:t>
            </w:r>
          </w:p>
        </w:tc>
        <w:tc>
          <w:tcPr>
            <w:tcW w:w="5528" w:type="dxa"/>
            <w:vMerge/>
            <w:tcBorders>
              <w:top w:val="single" w:sz="4" w:space="0" w:color="2E74B5"/>
              <w:left w:val="single" w:sz="4" w:space="0" w:color="2E74B5"/>
              <w:bottom w:val="single" w:sz="4" w:space="0" w:color="2E74B5"/>
              <w:right w:val="single" w:sz="4" w:space="0" w:color="2E74B5"/>
            </w:tcBorders>
            <w:shd w:val="clear" w:color="auto" w:fill="E2EFD9"/>
          </w:tcPr>
          <w:p w14:paraId="1FCF01C0" w14:textId="77777777" w:rsidR="0029620A" w:rsidRPr="00BC1ABD" w:rsidRDefault="0029620A" w:rsidP="00D80F87">
            <w:pPr>
              <w:spacing w:after="0" w:line="240" w:lineRule="auto"/>
              <w:rPr>
                <w:lang w:val="en-GB"/>
              </w:rPr>
            </w:pPr>
          </w:p>
        </w:tc>
      </w:tr>
      <w:tr w:rsidR="00D80F87" w:rsidRPr="00355738" w14:paraId="01396489" w14:textId="77777777" w:rsidTr="00D80F87">
        <w:tc>
          <w:tcPr>
            <w:tcW w:w="2972" w:type="dxa"/>
            <w:tcBorders>
              <w:top w:val="single" w:sz="4" w:space="0" w:color="2E74B5"/>
              <w:left w:val="single" w:sz="4" w:space="0" w:color="2E74B5"/>
              <w:bottom w:val="single" w:sz="4" w:space="0" w:color="2E74B5"/>
              <w:right w:val="single" w:sz="4" w:space="0" w:color="2E74B5"/>
            </w:tcBorders>
            <w:shd w:val="clear" w:color="auto" w:fill="DEEAF6"/>
          </w:tcPr>
          <w:p w14:paraId="322CA985" w14:textId="32A9CACD" w:rsidR="00D80F87" w:rsidRPr="00BC1ABD" w:rsidRDefault="00D80F87" w:rsidP="00D80F87">
            <w:pPr>
              <w:spacing w:after="0" w:line="240" w:lineRule="auto"/>
              <w:rPr>
                <w:lang w:val="en-GB"/>
              </w:rPr>
            </w:pPr>
            <w:r w:rsidRPr="00BC1ABD">
              <w:rPr>
                <w:b/>
                <w:lang w:val="en-GB"/>
              </w:rPr>
              <w:t>Non</w:t>
            </w:r>
            <w:r w:rsidR="00A52891">
              <w:rPr>
                <w:b/>
                <w:lang w:val="en-GB"/>
              </w:rPr>
              <w:t>-</w:t>
            </w:r>
            <w:r w:rsidRPr="00BC1ABD">
              <w:rPr>
                <w:b/>
                <w:lang w:val="en-GB"/>
              </w:rPr>
              <w:t>discrimination</w:t>
            </w:r>
            <w:r w:rsidRPr="00BC1ABD">
              <w:rPr>
                <w:lang w:val="en-GB"/>
              </w:rPr>
              <w:t xml:space="preserve"> obligation (art. 32 law)</w:t>
            </w:r>
          </w:p>
          <w:p w14:paraId="767031B9" w14:textId="77777777" w:rsidR="00D80F87" w:rsidRPr="00BC1ABD" w:rsidRDefault="00D80F87" w:rsidP="00D80F87">
            <w:pPr>
              <w:spacing w:after="0" w:line="240" w:lineRule="auto"/>
              <w:rPr>
                <w:lang w:val="en-GB"/>
              </w:rPr>
            </w:pPr>
          </w:p>
          <w:p w14:paraId="49308150" w14:textId="77777777" w:rsidR="00D80F87" w:rsidRPr="00BC1ABD" w:rsidRDefault="00D80F87" w:rsidP="00D80F87">
            <w:pPr>
              <w:spacing w:after="0" w:line="240" w:lineRule="auto"/>
              <w:rPr>
                <w:lang w:val="en-GB"/>
              </w:rPr>
            </w:pPr>
          </w:p>
        </w:tc>
        <w:tc>
          <w:tcPr>
            <w:tcW w:w="2693" w:type="dxa"/>
            <w:tcBorders>
              <w:top w:val="single" w:sz="4" w:space="0" w:color="2E74B5"/>
              <w:left w:val="single" w:sz="4" w:space="0" w:color="2E74B5"/>
              <w:bottom w:val="single" w:sz="4" w:space="0" w:color="2E74B5"/>
              <w:right w:val="single" w:sz="4" w:space="0" w:color="2E74B5"/>
            </w:tcBorders>
            <w:shd w:val="clear" w:color="auto" w:fill="FFF2CC"/>
          </w:tcPr>
          <w:p w14:paraId="64DDC4AF" w14:textId="15BAD626" w:rsidR="00D80F87" w:rsidRPr="00BC1ABD" w:rsidRDefault="00D80F87" w:rsidP="00D80F87">
            <w:pPr>
              <w:spacing w:after="0" w:line="240" w:lineRule="auto"/>
              <w:rPr>
                <w:lang w:val="en-GB"/>
              </w:rPr>
            </w:pPr>
            <w:r w:rsidRPr="00BC1ABD">
              <w:rPr>
                <w:lang w:val="en-GB"/>
              </w:rPr>
              <w:t xml:space="preserve">For central </w:t>
            </w:r>
            <w:r w:rsidR="00937DAF">
              <w:rPr>
                <w:lang w:val="en-GB"/>
              </w:rPr>
              <w:t xml:space="preserve">access </w:t>
            </w:r>
            <w:r w:rsidRPr="00BC1ABD">
              <w:rPr>
                <w:lang w:val="en-GB"/>
              </w:rPr>
              <w:t xml:space="preserve">and, if implemented, </w:t>
            </w:r>
            <w:r w:rsidR="00937DAF" w:rsidRPr="003E5448">
              <w:rPr>
                <w:highlight w:val="yellow"/>
                <w:lang w:val="en-GB"/>
              </w:rPr>
              <w:t>VULA</w:t>
            </w:r>
            <w:r w:rsidR="00937DAF">
              <w:rPr>
                <w:lang w:val="en-GB"/>
              </w:rPr>
              <w:t xml:space="preserve"> </w:t>
            </w:r>
            <w:r w:rsidRPr="00BC1ABD">
              <w:rPr>
                <w:lang w:val="en-GB"/>
              </w:rPr>
              <w:t xml:space="preserve"> – monitoring through KPIs</w:t>
            </w:r>
            <w:r w:rsidR="00736430" w:rsidRPr="00BC1ABD">
              <w:rPr>
                <w:lang w:val="en-GB"/>
              </w:rPr>
              <w:t xml:space="preserve"> defined in transparency obligation</w:t>
            </w:r>
          </w:p>
        </w:tc>
        <w:tc>
          <w:tcPr>
            <w:tcW w:w="3119" w:type="dxa"/>
            <w:tcBorders>
              <w:top w:val="single" w:sz="4" w:space="0" w:color="2E74B5"/>
              <w:left w:val="single" w:sz="4" w:space="0" w:color="2E74B5"/>
              <w:bottom w:val="single" w:sz="4" w:space="0" w:color="2E74B5"/>
              <w:right w:val="single" w:sz="4" w:space="0" w:color="2E74B5"/>
            </w:tcBorders>
            <w:shd w:val="clear" w:color="auto" w:fill="FFF2CC"/>
          </w:tcPr>
          <w:p w14:paraId="2ACF599F" w14:textId="012C2602" w:rsidR="00D80F87" w:rsidRPr="00BC1ABD" w:rsidRDefault="0029620A" w:rsidP="00D80F87">
            <w:pPr>
              <w:spacing w:after="0" w:line="240" w:lineRule="auto"/>
              <w:rPr>
                <w:lang w:val="en-GB"/>
              </w:rPr>
            </w:pPr>
            <w:r w:rsidRPr="00BC1ABD">
              <w:rPr>
                <w:lang w:val="en-GB"/>
              </w:rPr>
              <w:t xml:space="preserve">For central </w:t>
            </w:r>
            <w:r w:rsidR="00937DAF">
              <w:rPr>
                <w:lang w:val="en-GB"/>
              </w:rPr>
              <w:t xml:space="preserve">access </w:t>
            </w:r>
            <w:r w:rsidRPr="00BC1ABD">
              <w:rPr>
                <w:lang w:val="en-GB"/>
              </w:rPr>
              <w:t>and, if implemented</w:t>
            </w:r>
            <w:r w:rsidRPr="003E5448">
              <w:rPr>
                <w:lang w:val="en-GB"/>
              </w:rPr>
              <w:t>,</w:t>
            </w:r>
            <w:r w:rsidRPr="003E5448">
              <w:rPr>
                <w:highlight w:val="yellow"/>
                <w:lang w:val="en-GB"/>
              </w:rPr>
              <w:t xml:space="preserve"> </w:t>
            </w:r>
            <w:r w:rsidR="00937DAF" w:rsidRPr="003E5448">
              <w:rPr>
                <w:highlight w:val="yellow"/>
                <w:lang w:val="en-GB"/>
              </w:rPr>
              <w:t>VULA</w:t>
            </w:r>
            <w:r w:rsidR="00937DAF">
              <w:rPr>
                <w:lang w:val="en-GB"/>
              </w:rPr>
              <w:t xml:space="preserve"> </w:t>
            </w:r>
            <w:r w:rsidRPr="00BC1ABD">
              <w:rPr>
                <w:lang w:val="en-GB"/>
              </w:rPr>
              <w:t xml:space="preserve"> – monitoring through KPIs defined in transparency obligation</w:t>
            </w:r>
          </w:p>
        </w:tc>
        <w:tc>
          <w:tcPr>
            <w:tcW w:w="5528" w:type="dxa"/>
            <w:tcBorders>
              <w:top w:val="single" w:sz="4" w:space="0" w:color="2E74B5"/>
              <w:left w:val="single" w:sz="4" w:space="0" w:color="2E74B5"/>
              <w:bottom w:val="single" w:sz="4" w:space="0" w:color="2E74B5"/>
              <w:right w:val="single" w:sz="4" w:space="0" w:color="2E74B5"/>
            </w:tcBorders>
            <w:shd w:val="clear" w:color="auto" w:fill="E2EFD9"/>
          </w:tcPr>
          <w:p w14:paraId="6FADFFC0" w14:textId="77777777" w:rsidR="00D80F87" w:rsidRPr="00BC1ABD" w:rsidRDefault="00D80F87" w:rsidP="00D80F87">
            <w:pPr>
              <w:spacing w:after="0" w:line="240" w:lineRule="auto"/>
              <w:rPr>
                <w:lang w:val="en-GB"/>
              </w:rPr>
            </w:pPr>
            <w:r w:rsidRPr="00BC1ABD">
              <w:rPr>
                <w:b/>
                <w:lang w:val="en-GB"/>
              </w:rPr>
              <w:t>Not</w:t>
            </w:r>
            <w:r w:rsidRPr="00BC1ABD">
              <w:rPr>
                <w:lang w:val="en-GB"/>
              </w:rPr>
              <w:t xml:space="preserve"> imposed: commercial negotiations which may entail different treatment of access seekers</w:t>
            </w:r>
          </w:p>
        </w:tc>
      </w:tr>
      <w:tr w:rsidR="00D80F87" w:rsidRPr="00BC1ABD" w14:paraId="6215D191" w14:textId="77777777" w:rsidTr="00961912">
        <w:tc>
          <w:tcPr>
            <w:tcW w:w="2972" w:type="dxa"/>
            <w:tcBorders>
              <w:top w:val="single" w:sz="4" w:space="0" w:color="2E74B5"/>
              <w:left w:val="single" w:sz="4" w:space="0" w:color="2E74B5"/>
              <w:bottom w:val="single" w:sz="4" w:space="0" w:color="2E74B5"/>
              <w:right w:val="single" w:sz="4" w:space="0" w:color="2E74B5"/>
            </w:tcBorders>
            <w:shd w:val="clear" w:color="auto" w:fill="DEEAF6"/>
          </w:tcPr>
          <w:p w14:paraId="11D291F2" w14:textId="77777777" w:rsidR="00D80F87" w:rsidRPr="00BC1ABD" w:rsidRDefault="00D80F87" w:rsidP="00D80F87">
            <w:pPr>
              <w:spacing w:after="0" w:line="240" w:lineRule="auto"/>
              <w:rPr>
                <w:lang w:val="en-GB"/>
              </w:rPr>
            </w:pPr>
            <w:r w:rsidRPr="00BC1ABD">
              <w:rPr>
                <w:b/>
                <w:lang w:val="en-GB"/>
              </w:rPr>
              <w:t>Accounting</w:t>
            </w:r>
            <w:r w:rsidRPr="00BC1ABD">
              <w:rPr>
                <w:lang w:val="en-GB"/>
              </w:rPr>
              <w:t xml:space="preserve"> </w:t>
            </w:r>
            <w:r w:rsidRPr="00BC1ABD">
              <w:rPr>
                <w:b/>
                <w:lang w:val="en-GB"/>
              </w:rPr>
              <w:t>separation</w:t>
            </w:r>
            <w:r w:rsidRPr="00BC1ABD">
              <w:rPr>
                <w:lang w:val="en-GB"/>
              </w:rPr>
              <w:t xml:space="preserve"> in accordance with the methodological rules approved by ComCom (art. 33 law)</w:t>
            </w:r>
          </w:p>
        </w:tc>
        <w:tc>
          <w:tcPr>
            <w:tcW w:w="2693" w:type="dxa"/>
            <w:tcBorders>
              <w:top w:val="single" w:sz="4" w:space="0" w:color="2E74B5"/>
              <w:left w:val="single" w:sz="4" w:space="0" w:color="2E74B5"/>
              <w:bottom w:val="single" w:sz="4" w:space="0" w:color="2E74B5"/>
              <w:right w:val="single" w:sz="4" w:space="0" w:color="2E74B5"/>
            </w:tcBorders>
            <w:shd w:val="clear" w:color="auto" w:fill="FFF2CC"/>
          </w:tcPr>
          <w:p w14:paraId="5635B0E7" w14:textId="0BDD3202" w:rsidR="00D80F87" w:rsidRPr="00BC1ABD" w:rsidRDefault="00D80F87" w:rsidP="00D80F87">
            <w:pPr>
              <w:spacing w:after="0" w:line="240" w:lineRule="auto"/>
              <w:rPr>
                <w:lang w:val="en-GB"/>
              </w:rPr>
            </w:pPr>
            <w:r w:rsidRPr="00BC1ABD">
              <w:rPr>
                <w:lang w:val="en-GB"/>
              </w:rPr>
              <w:t>For central</w:t>
            </w:r>
            <w:r w:rsidR="00937DAF">
              <w:rPr>
                <w:lang w:val="en-GB"/>
              </w:rPr>
              <w:t xml:space="preserve"> access</w:t>
            </w:r>
            <w:r w:rsidRPr="00BC1ABD">
              <w:rPr>
                <w:lang w:val="en-GB"/>
              </w:rPr>
              <w:t xml:space="preserve"> and, if implemented, </w:t>
            </w:r>
            <w:r w:rsidR="00937DAF" w:rsidRPr="003E5448">
              <w:rPr>
                <w:highlight w:val="yellow"/>
                <w:lang w:val="en-GB"/>
              </w:rPr>
              <w:t>VULA</w:t>
            </w:r>
          </w:p>
        </w:tc>
        <w:tc>
          <w:tcPr>
            <w:tcW w:w="3119" w:type="dxa"/>
            <w:tcBorders>
              <w:top w:val="single" w:sz="4" w:space="0" w:color="2E74B5"/>
              <w:left w:val="single" w:sz="4" w:space="0" w:color="2E74B5"/>
              <w:bottom w:val="single" w:sz="4" w:space="0" w:color="2E74B5"/>
              <w:right w:val="single" w:sz="4" w:space="0" w:color="2E74B5"/>
            </w:tcBorders>
            <w:shd w:val="clear" w:color="auto" w:fill="FFF2CC"/>
          </w:tcPr>
          <w:p w14:paraId="64D077E7" w14:textId="7C41BA42" w:rsidR="00D80F87" w:rsidRPr="00BC1ABD" w:rsidRDefault="0029620A" w:rsidP="00D80F87">
            <w:pPr>
              <w:spacing w:after="0" w:line="240" w:lineRule="auto"/>
              <w:rPr>
                <w:lang w:val="en-GB"/>
              </w:rPr>
            </w:pPr>
            <w:r w:rsidRPr="00BC1ABD">
              <w:rPr>
                <w:lang w:val="en-GB"/>
              </w:rPr>
              <w:t xml:space="preserve">For central </w:t>
            </w:r>
            <w:r w:rsidR="00937DAF">
              <w:rPr>
                <w:lang w:val="en-GB"/>
              </w:rPr>
              <w:t xml:space="preserve">access </w:t>
            </w:r>
            <w:r w:rsidRPr="00BC1ABD">
              <w:rPr>
                <w:lang w:val="en-GB"/>
              </w:rPr>
              <w:t xml:space="preserve">and, if implemented, </w:t>
            </w:r>
            <w:r w:rsidR="00937DAF" w:rsidRPr="003E5448">
              <w:rPr>
                <w:highlight w:val="yellow"/>
                <w:lang w:val="en-GB"/>
              </w:rPr>
              <w:t>VULA</w:t>
            </w:r>
          </w:p>
        </w:tc>
        <w:tc>
          <w:tcPr>
            <w:tcW w:w="5528" w:type="dxa"/>
            <w:tcBorders>
              <w:top w:val="single" w:sz="4" w:space="0" w:color="2E74B5"/>
              <w:left w:val="single" w:sz="4" w:space="0" w:color="2E74B5"/>
              <w:bottom w:val="single" w:sz="4" w:space="0" w:color="2E74B5"/>
              <w:right w:val="single" w:sz="4" w:space="0" w:color="2E74B5"/>
            </w:tcBorders>
            <w:shd w:val="clear" w:color="auto" w:fill="E2EFD9" w:themeFill="accent6" w:themeFillTint="33"/>
          </w:tcPr>
          <w:p w14:paraId="2C94C351" w14:textId="77777777" w:rsidR="00D80F87" w:rsidRPr="00BC1ABD" w:rsidRDefault="00961912" w:rsidP="00D80F87">
            <w:pPr>
              <w:spacing w:after="0" w:line="240" w:lineRule="auto"/>
              <w:rPr>
                <w:lang w:val="en-GB"/>
              </w:rPr>
            </w:pPr>
            <w:r w:rsidRPr="00BC1ABD">
              <w:rPr>
                <w:b/>
                <w:bCs/>
                <w:lang w:val="en-GB"/>
              </w:rPr>
              <w:t>Not</w:t>
            </w:r>
            <w:r w:rsidRPr="00BC1ABD">
              <w:rPr>
                <w:lang w:val="en-GB"/>
              </w:rPr>
              <w:t xml:space="preserve"> imposed</w:t>
            </w:r>
          </w:p>
        </w:tc>
      </w:tr>
      <w:tr w:rsidR="00D80F87" w:rsidRPr="00355738" w14:paraId="28214D88" w14:textId="77777777" w:rsidTr="00D80F87">
        <w:tc>
          <w:tcPr>
            <w:tcW w:w="2972" w:type="dxa"/>
            <w:tcBorders>
              <w:top w:val="single" w:sz="4" w:space="0" w:color="2E74B5"/>
              <w:left w:val="single" w:sz="4" w:space="0" w:color="2E74B5"/>
              <w:bottom w:val="single" w:sz="4" w:space="0" w:color="2E74B5"/>
              <w:right w:val="single" w:sz="4" w:space="0" w:color="2E74B5"/>
            </w:tcBorders>
            <w:shd w:val="clear" w:color="auto" w:fill="DEEAF6"/>
          </w:tcPr>
          <w:p w14:paraId="7A158B07" w14:textId="672B7C0A" w:rsidR="00D80F87" w:rsidRPr="00BC1ABD" w:rsidRDefault="00A52891" w:rsidP="00D80F87">
            <w:pPr>
              <w:spacing w:after="0" w:line="240" w:lineRule="auto"/>
              <w:rPr>
                <w:lang w:val="en-GB"/>
              </w:rPr>
            </w:pPr>
            <w:r>
              <w:rPr>
                <w:b/>
                <w:lang w:val="en-GB"/>
              </w:rPr>
              <w:t>O</w:t>
            </w:r>
            <w:r w:rsidR="00D80F87" w:rsidRPr="00BC1ABD">
              <w:rPr>
                <w:b/>
                <w:lang w:val="en-GB"/>
              </w:rPr>
              <w:t>bligation to provide access</w:t>
            </w:r>
            <w:r w:rsidR="00D80F87" w:rsidRPr="00BC1ABD">
              <w:rPr>
                <w:lang w:val="en-GB"/>
              </w:rPr>
              <w:t xml:space="preserve"> to relevant elements of an electronic communication network (art. 34 law)</w:t>
            </w:r>
          </w:p>
          <w:p w14:paraId="27838634" w14:textId="77777777" w:rsidR="00D80F87" w:rsidRPr="00BC1ABD" w:rsidRDefault="00D80F87" w:rsidP="00D80F87">
            <w:pPr>
              <w:spacing w:after="0" w:line="240" w:lineRule="auto"/>
              <w:rPr>
                <w:lang w:val="en-GB"/>
              </w:rPr>
            </w:pPr>
          </w:p>
        </w:tc>
        <w:tc>
          <w:tcPr>
            <w:tcW w:w="2693" w:type="dxa"/>
            <w:tcBorders>
              <w:top w:val="single" w:sz="4" w:space="0" w:color="2E74B5"/>
              <w:left w:val="single" w:sz="4" w:space="0" w:color="2E74B5"/>
              <w:bottom w:val="single" w:sz="4" w:space="0" w:color="2E74B5"/>
              <w:right w:val="single" w:sz="4" w:space="0" w:color="2E74B5"/>
            </w:tcBorders>
            <w:shd w:val="clear" w:color="auto" w:fill="FFF2CC"/>
          </w:tcPr>
          <w:p w14:paraId="7BC039B3" w14:textId="00936FE4" w:rsidR="00D80F87" w:rsidRPr="00384D6A" w:rsidRDefault="00D80F87" w:rsidP="00D80F87">
            <w:pPr>
              <w:spacing w:after="0" w:line="240" w:lineRule="auto"/>
              <w:rPr>
                <w:lang w:val="en-GB"/>
              </w:rPr>
            </w:pPr>
            <w:r w:rsidRPr="00384D6A">
              <w:rPr>
                <w:lang w:val="en-GB"/>
              </w:rPr>
              <w:t>For central</w:t>
            </w:r>
            <w:r w:rsidR="002F1CE7">
              <w:rPr>
                <w:lang w:val="en-GB"/>
              </w:rPr>
              <w:t xml:space="preserve"> access</w:t>
            </w:r>
            <w:r w:rsidRPr="00384D6A">
              <w:rPr>
                <w:lang w:val="en-GB"/>
              </w:rPr>
              <w:t xml:space="preserve"> and </w:t>
            </w:r>
            <w:r w:rsidR="002F1CE7" w:rsidRPr="003E5448">
              <w:rPr>
                <w:highlight w:val="yellow"/>
                <w:lang w:val="en-GB"/>
              </w:rPr>
              <w:t>VULA</w:t>
            </w:r>
            <w:r w:rsidR="00A52891" w:rsidRPr="00384D6A">
              <w:rPr>
                <w:lang w:val="en-GB"/>
              </w:rPr>
              <w:t>, including ancillary services</w:t>
            </w:r>
          </w:p>
        </w:tc>
        <w:tc>
          <w:tcPr>
            <w:tcW w:w="3119" w:type="dxa"/>
            <w:tcBorders>
              <w:top w:val="single" w:sz="4" w:space="0" w:color="2E74B5"/>
              <w:left w:val="single" w:sz="4" w:space="0" w:color="2E74B5"/>
              <w:bottom w:val="single" w:sz="4" w:space="0" w:color="2E74B5"/>
              <w:right w:val="single" w:sz="4" w:space="0" w:color="2E74B5"/>
            </w:tcBorders>
            <w:shd w:val="clear" w:color="auto" w:fill="FFF2CC"/>
          </w:tcPr>
          <w:p w14:paraId="18728CCE" w14:textId="33381F52" w:rsidR="00D80F87" w:rsidRPr="00384D6A" w:rsidRDefault="0029620A" w:rsidP="00D80F87">
            <w:pPr>
              <w:spacing w:after="0" w:line="240" w:lineRule="auto"/>
              <w:rPr>
                <w:lang w:val="en-GB"/>
              </w:rPr>
            </w:pPr>
            <w:r w:rsidRPr="00384D6A">
              <w:rPr>
                <w:lang w:val="en-GB"/>
              </w:rPr>
              <w:t>For central access</w:t>
            </w:r>
            <w:r w:rsidR="002F1CE7">
              <w:rPr>
                <w:lang w:val="en-GB"/>
              </w:rPr>
              <w:t xml:space="preserve"> and </w:t>
            </w:r>
            <w:r w:rsidR="002F1CE7" w:rsidRPr="003E5448">
              <w:rPr>
                <w:highlight w:val="yellow"/>
                <w:lang w:val="en-GB"/>
              </w:rPr>
              <w:t>VULA</w:t>
            </w:r>
            <w:r w:rsidR="00A52891" w:rsidRPr="00384D6A">
              <w:rPr>
                <w:lang w:val="en-GB"/>
              </w:rPr>
              <w:t>, including ancillary services</w:t>
            </w:r>
          </w:p>
        </w:tc>
        <w:tc>
          <w:tcPr>
            <w:tcW w:w="5528" w:type="dxa"/>
            <w:tcBorders>
              <w:top w:val="single" w:sz="4" w:space="0" w:color="2E74B5"/>
              <w:left w:val="single" w:sz="4" w:space="0" w:color="2E74B5"/>
              <w:bottom w:val="single" w:sz="4" w:space="0" w:color="2E74B5"/>
              <w:right w:val="single" w:sz="4" w:space="0" w:color="2E74B5"/>
            </w:tcBorders>
            <w:shd w:val="clear" w:color="auto" w:fill="FFF2CC"/>
          </w:tcPr>
          <w:p w14:paraId="7D906937" w14:textId="77777777" w:rsidR="00D80F87" w:rsidRPr="00BC1ABD" w:rsidRDefault="00D80F87" w:rsidP="00D80F87">
            <w:pPr>
              <w:spacing w:after="0" w:line="240" w:lineRule="auto"/>
              <w:rPr>
                <w:lang w:val="en-GB"/>
              </w:rPr>
            </w:pPr>
            <w:r w:rsidRPr="00BC1ABD">
              <w:rPr>
                <w:lang w:val="en-GB"/>
              </w:rPr>
              <w:t>Obligation to negotiate and provide access within a specified time period, e.g. 6 months, in case of reasonable demand. The proof that a demand is not reasonable rests on the SMP operator. Art. 36 dispute settlement in case no agreement = in line with symmetric ‘access’ (and interconnect) obligation of art. 19(1) of the law.</w:t>
            </w:r>
          </w:p>
        </w:tc>
      </w:tr>
      <w:tr w:rsidR="00D80F87" w:rsidRPr="00355738" w14:paraId="3FBCEAE7" w14:textId="77777777" w:rsidTr="00D80F87">
        <w:tc>
          <w:tcPr>
            <w:tcW w:w="2972" w:type="dxa"/>
            <w:tcBorders>
              <w:top w:val="single" w:sz="4" w:space="0" w:color="2E74B5"/>
              <w:left w:val="single" w:sz="4" w:space="0" w:color="2E74B5"/>
              <w:bottom w:val="single" w:sz="4" w:space="0" w:color="2E74B5"/>
              <w:right w:val="single" w:sz="4" w:space="0" w:color="2E74B5"/>
            </w:tcBorders>
            <w:shd w:val="clear" w:color="auto" w:fill="DEEAF6"/>
          </w:tcPr>
          <w:p w14:paraId="20A81946" w14:textId="77777777" w:rsidR="00D80F87" w:rsidRPr="00BC1ABD" w:rsidRDefault="00D80F87" w:rsidP="00D80F87">
            <w:pPr>
              <w:spacing w:after="0" w:line="240" w:lineRule="auto"/>
              <w:rPr>
                <w:lang w:val="en-GB"/>
              </w:rPr>
            </w:pPr>
            <w:r w:rsidRPr="00BC1ABD">
              <w:rPr>
                <w:b/>
                <w:lang w:val="en-GB"/>
              </w:rPr>
              <w:t>Price controls</w:t>
            </w:r>
            <w:r w:rsidRPr="00BC1ABD">
              <w:rPr>
                <w:lang w:val="en-GB"/>
              </w:rPr>
              <w:t xml:space="preserve"> (art. 35 law)</w:t>
            </w:r>
          </w:p>
        </w:tc>
        <w:tc>
          <w:tcPr>
            <w:tcW w:w="2693" w:type="dxa"/>
            <w:tcBorders>
              <w:top w:val="single" w:sz="4" w:space="0" w:color="2E74B5"/>
              <w:left w:val="single" w:sz="4" w:space="0" w:color="2E74B5"/>
              <w:bottom w:val="single" w:sz="4" w:space="0" w:color="2E74B5"/>
              <w:right w:val="single" w:sz="4" w:space="0" w:color="2E74B5"/>
            </w:tcBorders>
            <w:shd w:val="clear" w:color="auto" w:fill="FFF2CC"/>
          </w:tcPr>
          <w:p w14:paraId="6BDE551D" w14:textId="338872AC" w:rsidR="00D80F87" w:rsidRPr="00384D6A" w:rsidRDefault="00D80F87" w:rsidP="00D80F87">
            <w:pPr>
              <w:spacing w:after="0" w:line="240" w:lineRule="auto"/>
              <w:rPr>
                <w:lang w:val="en-GB"/>
              </w:rPr>
            </w:pPr>
            <w:r w:rsidRPr="00384D6A">
              <w:rPr>
                <w:lang w:val="en-GB"/>
              </w:rPr>
              <w:t>Maximum access tariffs calculated for central</w:t>
            </w:r>
            <w:r w:rsidR="00F12B0C">
              <w:rPr>
                <w:lang w:val="en-GB"/>
              </w:rPr>
              <w:t xml:space="preserve"> access</w:t>
            </w:r>
            <w:r w:rsidRPr="00384D6A">
              <w:rPr>
                <w:lang w:val="en-GB"/>
              </w:rPr>
              <w:t xml:space="preserve"> and </w:t>
            </w:r>
            <w:r w:rsidR="00F12B0C" w:rsidRPr="004D7C98">
              <w:rPr>
                <w:highlight w:val="yellow"/>
                <w:lang w:val="en-GB"/>
              </w:rPr>
              <w:t>VULA</w:t>
            </w:r>
            <w:r w:rsidR="00680F3E" w:rsidRPr="00384D6A">
              <w:rPr>
                <w:lang w:val="en-GB"/>
              </w:rPr>
              <w:t xml:space="preserve"> (including ancillary services)</w:t>
            </w:r>
            <w:r w:rsidRPr="00384D6A">
              <w:rPr>
                <w:lang w:val="en-GB"/>
              </w:rPr>
              <w:t xml:space="preserve"> on the basis of </w:t>
            </w:r>
            <w:r w:rsidR="008A47C8" w:rsidRPr="00384D6A">
              <w:rPr>
                <w:lang w:val="en-GB"/>
              </w:rPr>
              <w:t xml:space="preserve">a </w:t>
            </w:r>
            <w:r w:rsidRPr="00384D6A">
              <w:rPr>
                <w:lang w:val="en-GB"/>
              </w:rPr>
              <w:t>bottom</w:t>
            </w:r>
            <w:r w:rsidR="00961912" w:rsidRPr="00384D6A">
              <w:rPr>
                <w:lang w:val="en-GB"/>
              </w:rPr>
              <w:t>-</w:t>
            </w:r>
            <w:r w:rsidRPr="00384D6A">
              <w:rPr>
                <w:lang w:val="en-GB"/>
              </w:rPr>
              <w:t>up</w:t>
            </w:r>
            <w:r w:rsidR="00F12B0C">
              <w:rPr>
                <w:lang w:val="en-GB"/>
              </w:rPr>
              <w:t xml:space="preserve"> </w:t>
            </w:r>
            <w:r w:rsidR="00F12B0C" w:rsidRPr="004D7C98">
              <w:rPr>
                <w:highlight w:val="yellow"/>
                <w:lang w:val="en-GB"/>
              </w:rPr>
              <w:t>cost</w:t>
            </w:r>
            <w:r w:rsidRPr="00384D6A">
              <w:rPr>
                <w:lang w:val="en-GB"/>
              </w:rPr>
              <w:t xml:space="preserve"> model</w:t>
            </w:r>
          </w:p>
        </w:tc>
        <w:tc>
          <w:tcPr>
            <w:tcW w:w="3119" w:type="dxa"/>
            <w:tcBorders>
              <w:top w:val="single" w:sz="4" w:space="0" w:color="2E74B5"/>
              <w:left w:val="single" w:sz="4" w:space="0" w:color="2E74B5"/>
              <w:bottom w:val="single" w:sz="4" w:space="0" w:color="2E74B5"/>
              <w:right w:val="single" w:sz="4" w:space="0" w:color="2E74B5"/>
            </w:tcBorders>
            <w:shd w:val="clear" w:color="auto" w:fill="E2EFD9"/>
          </w:tcPr>
          <w:p w14:paraId="4B742CB3" w14:textId="7EADFC25" w:rsidR="0029620A" w:rsidRPr="00384D6A" w:rsidRDefault="0029620A" w:rsidP="0029620A">
            <w:pPr>
              <w:keepNext/>
              <w:keepLines/>
              <w:spacing w:before="200" w:after="0" w:line="240" w:lineRule="auto"/>
              <w:outlineLvl w:val="7"/>
              <w:rPr>
                <w:bCs/>
                <w:lang w:val="en-GB"/>
              </w:rPr>
            </w:pPr>
            <w:r w:rsidRPr="00384D6A">
              <w:rPr>
                <w:bCs/>
                <w:lang w:val="en-GB"/>
              </w:rPr>
              <w:t>Maximum access tariffs calculated for central access</w:t>
            </w:r>
            <w:r w:rsidR="00680F3E" w:rsidRPr="00384D6A">
              <w:rPr>
                <w:bCs/>
                <w:lang w:val="en-GB"/>
              </w:rPr>
              <w:t xml:space="preserve"> (including ancillary services)</w:t>
            </w:r>
            <w:r w:rsidRPr="00384D6A">
              <w:rPr>
                <w:bCs/>
                <w:lang w:val="en-GB"/>
              </w:rPr>
              <w:t xml:space="preserve"> on the basis of </w:t>
            </w:r>
            <w:r w:rsidR="007354E3" w:rsidRPr="00384D6A">
              <w:rPr>
                <w:bCs/>
                <w:lang w:val="en-GB"/>
              </w:rPr>
              <w:t xml:space="preserve">a </w:t>
            </w:r>
            <w:r w:rsidRPr="00384D6A">
              <w:rPr>
                <w:bCs/>
                <w:lang w:val="en-GB"/>
              </w:rPr>
              <w:t xml:space="preserve">bottom-up </w:t>
            </w:r>
            <w:r w:rsidR="007354E3" w:rsidRPr="00384D6A">
              <w:rPr>
                <w:bCs/>
                <w:lang w:val="en-GB"/>
              </w:rPr>
              <w:t xml:space="preserve">cost </w:t>
            </w:r>
            <w:r w:rsidRPr="00384D6A">
              <w:rPr>
                <w:bCs/>
                <w:lang w:val="en-GB"/>
              </w:rPr>
              <w:t>model</w:t>
            </w:r>
          </w:p>
          <w:p w14:paraId="42E3AFE9" w14:textId="2114BC4C" w:rsidR="00D80F87" w:rsidRPr="00384D6A" w:rsidRDefault="0029620A" w:rsidP="00D80F87">
            <w:pPr>
              <w:spacing w:after="0" w:line="240" w:lineRule="auto"/>
              <w:rPr>
                <w:lang w:val="en-GB"/>
              </w:rPr>
            </w:pPr>
            <w:r w:rsidRPr="00384D6A">
              <w:rPr>
                <w:bCs/>
                <w:lang w:val="en-GB"/>
              </w:rPr>
              <w:t xml:space="preserve">For </w:t>
            </w:r>
            <w:r w:rsidR="00F12B0C" w:rsidRPr="004D7C98">
              <w:rPr>
                <w:bCs/>
                <w:highlight w:val="yellow"/>
                <w:lang w:val="en-GB"/>
              </w:rPr>
              <w:t>VULA</w:t>
            </w:r>
            <w:r w:rsidRPr="00384D6A">
              <w:rPr>
                <w:bCs/>
                <w:lang w:val="en-GB"/>
              </w:rPr>
              <w:t xml:space="preserve">, </w:t>
            </w:r>
            <w:r w:rsidRPr="00384D6A">
              <w:rPr>
                <w:b/>
                <w:lang w:val="en-GB"/>
              </w:rPr>
              <w:t xml:space="preserve">NO </w:t>
            </w:r>
            <w:r w:rsidR="00D80F87" w:rsidRPr="00384D6A">
              <w:rPr>
                <w:lang w:val="en-GB"/>
              </w:rPr>
              <w:t xml:space="preserve">maximum price, but </w:t>
            </w:r>
            <w:r w:rsidR="007354E3" w:rsidRPr="00384D6A">
              <w:rPr>
                <w:lang w:val="en-GB"/>
              </w:rPr>
              <w:t xml:space="preserve">a </w:t>
            </w:r>
            <w:r w:rsidR="00D80F87" w:rsidRPr="00384D6A">
              <w:rPr>
                <w:lang w:val="en-GB"/>
              </w:rPr>
              <w:t>margin squeeze test could be applied ex</w:t>
            </w:r>
            <w:r w:rsidR="007354E3" w:rsidRPr="00384D6A">
              <w:rPr>
                <w:lang w:val="en-GB"/>
              </w:rPr>
              <w:t>-</w:t>
            </w:r>
            <w:r w:rsidR="00D80F87" w:rsidRPr="00384D6A">
              <w:rPr>
                <w:lang w:val="en-GB"/>
              </w:rPr>
              <w:t>post in the framework of the non-discrimination obligation</w:t>
            </w:r>
          </w:p>
        </w:tc>
        <w:tc>
          <w:tcPr>
            <w:tcW w:w="5528" w:type="dxa"/>
            <w:tcBorders>
              <w:top w:val="single" w:sz="4" w:space="0" w:color="2E74B5"/>
              <w:left w:val="single" w:sz="4" w:space="0" w:color="2E74B5"/>
              <w:bottom w:val="single" w:sz="4" w:space="0" w:color="2E74B5"/>
              <w:right w:val="single" w:sz="4" w:space="0" w:color="2E74B5"/>
            </w:tcBorders>
            <w:shd w:val="clear" w:color="auto" w:fill="E2EFD9"/>
          </w:tcPr>
          <w:p w14:paraId="33E0522A" w14:textId="77777777" w:rsidR="00D80F87" w:rsidRPr="00BC1ABD" w:rsidRDefault="00D80F87" w:rsidP="00D80F87">
            <w:pPr>
              <w:spacing w:after="0" w:line="240" w:lineRule="auto"/>
              <w:rPr>
                <w:lang w:val="en-GB"/>
              </w:rPr>
            </w:pPr>
            <w:bookmarkStart w:id="368" w:name="_Hlk129875877"/>
            <w:r w:rsidRPr="00BC1ABD">
              <w:rPr>
                <w:b/>
                <w:lang w:val="en-GB"/>
              </w:rPr>
              <w:t>No</w:t>
            </w:r>
            <w:r w:rsidRPr="00BC1ABD">
              <w:rPr>
                <w:lang w:val="en-GB"/>
              </w:rPr>
              <w:t xml:space="preserve"> ex</w:t>
            </w:r>
            <w:r w:rsidR="00961912" w:rsidRPr="00BC1ABD">
              <w:rPr>
                <w:lang w:val="en-GB"/>
              </w:rPr>
              <w:t>-</w:t>
            </w:r>
            <w:r w:rsidRPr="00BC1ABD">
              <w:rPr>
                <w:lang w:val="en-GB"/>
              </w:rPr>
              <w:t>ante obligations - free commercial negotiations</w:t>
            </w:r>
            <w:bookmarkEnd w:id="368"/>
          </w:p>
        </w:tc>
      </w:tr>
      <w:tr w:rsidR="00B6459C" w:rsidRPr="00BC1ABD" w14:paraId="247B0864" w14:textId="77777777" w:rsidTr="00D80F87">
        <w:tc>
          <w:tcPr>
            <w:tcW w:w="2972" w:type="dxa"/>
            <w:tcBorders>
              <w:top w:val="single" w:sz="4" w:space="0" w:color="2E74B5"/>
              <w:left w:val="single" w:sz="4" w:space="0" w:color="2E74B5"/>
              <w:bottom w:val="single" w:sz="4" w:space="0" w:color="2E74B5"/>
              <w:right w:val="single" w:sz="4" w:space="0" w:color="2E74B5"/>
            </w:tcBorders>
          </w:tcPr>
          <w:p w14:paraId="4D8C6AFF" w14:textId="77777777" w:rsidR="00B6459C" w:rsidRPr="00BC1ABD" w:rsidRDefault="00B6459C" w:rsidP="00B6459C">
            <w:pPr>
              <w:spacing w:after="0" w:line="240" w:lineRule="auto"/>
              <w:rPr>
                <w:lang w:val="en-GB"/>
              </w:rPr>
            </w:pPr>
            <w:r w:rsidRPr="00BC1ABD">
              <w:rPr>
                <w:lang w:val="en-GB"/>
              </w:rPr>
              <w:t>Number of settlements</w:t>
            </w:r>
          </w:p>
        </w:tc>
        <w:tc>
          <w:tcPr>
            <w:tcW w:w="2693" w:type="dxa"/>
            <w:tcBorders>
              <w:top w:val="single" w:sz="4" w:space="0" w:color="2E74B5"/>
              <w:left w:val="single" w:sz="4" w:space="0" w:color="2E74B5"/>
              <w:bottom w:val="single" w:sz="4" w:space="0" w:color="2E74B5"/>
              <w:right w:val="single" w:sz="4" w:space="0" w:color="2E74B5"/>
            </w:tcBorders>
          </w:tcPr>
          <w:p w14:paraId="1EF192A1" w14:textId="565F264E" w:rsidR="00B6459C" w:rsidRPr="00384D6A" w:rsidRDefault="00B6459C" w:rsidP="00B6459C">
            <w:pPr>
              <w:spacing w:after="0" w:line="240" w:lineRule="auto"/>
              <w:jc w:val="center"/>
              <w:rPr>
                <w:lang w:val="en-GB"/>
              </w:rPr>
            </w:pPr>
            <w:r w:rsidRPr="00384D6A">
              <w:rPr>
                <w:lang w:val="en-GB"/>
              </w:rPr>
              <w:t>589</w:t>
            </w:r>
          </w:p>
        </w:tc>
        <w:tc>
          <w:tcPr>
            <w:tcW w:w="3119" w:type="dxa"/>
            <w:tcBorders>
              <w:top w:val="single" w:sz="4" w:space="0" w:color="2E74B5"/>
              <w:left w:val="single" w:sz="4" w:space="0" w:color="2E74B5"/>
              <w:bottom w:val="single" w:sz="4" w:space="0" w:color="2E74B5"/>
              <w:right w:val="single" w:sz="4" w:space="0" w:color="2E74B5"/>
            </w:tcBorders>
          </w:tcPr>
          <w:p w14:paraId="3492E3BC" w14:textId="77777777" w:rsidR="00B6459C" w:rsidRPr="00384D6A" w:rsidRDefault="00B6459C" w:rsidP="00B6459C">
            <w:pPr>
              <w:spacing w:after="0" w:line="240" w:lineRule="auto"/>
              <w:jc w:val="center"/>
              <w:rPr>
                <w:lang w:val="en-GB"/>
              </w:rPr>
            </w:pPr>
            <w:r w:rsidRPr="00384D6A">
              <w:rPr>
                <w:lang w:val="en-GB"/>
              </w:rPr>
              <w:t>4</w:t>
            </w:r>
          </w:p>
        </w:tc>
        <w:tc>
          <w:tcPr>
            <w:tcW w:w="5528" w:type="dxa"/>
            <w:tcBorders>
              <w:top w:val="single" w:sz="4" w:space="0" w:color="2E74B5"/>
              <w:left w:val="single" w:sz="4" w:space="0" w:color="2E74B5"/>
              <w:bottom w:val="single" w:sz="4" w:space="0" w:color="2E74B5"/>
              <w:right w:val="single" w:sz="4" w:space="0" w:color="2E74B5"/>
            </w:tcBorders>
          </w:tcPr>
          <w:p w14:paraId="02377473" w14:textId="77777777" w:rsidR="00B6459C" w:rsidRPr="00BC1ABD" w:rsidRDefault="00B6459C" w:rsidP="00B6459C">
            <w:pPr>
              <w:spacing w:after="0" w:line="240" w:lineRule="auto"/>
              <w:jc w:val="center"/>
              <w:rPr>
                <w:lang w:val="en-GB"/>
              </w:rPr>
            </w:pPr>
            <w:r w:rsidRPr="00BC1ABD">
              <w:rPr>
                <w:lang w:val="en-GB"/>
              </w:rPr>
              <w:t>9</w:t>
            </w:r>
          </w:p>
        </w:tc>
      </w:tr>
      <w:tr w:rsidR="00B6459C" w:rsidRPr="00BC1ABD" w14:paraId="0F36CD00" w14:textId="77777777" w:rsidTr="00D80F87">
        <w:tc>
          <w:tcPr>
            <w:tcW w:w="2972" w:type="dxa"/>
            <w:tcBorders>
              <w:top w:val="single" w:sz="4" w:space="0" w:color="2E74B5"/>
              <w:left w:val="single" w:sz="4" w:space="0" w:color="2E74B5"/>
              <w:bottom w:val="single" w:sz="4" w:space="0" w:color="2E74B5"/>
              <w:right w:val="single" w:sz="4" w:space="0" w:color="2E74B5"/>
            </w:tcBorders>
          </w:tcPr>
          <w:p w14:paraId="1EFDA90B" w14:textId="77777777" w:rsidR="00B6459C" w:rsidRPr="00BC1ABD" w:rsidRDefault="00B6459C" w:rsidP="00B6459C">
            <w:pPr>
              <w:spacing w:after="0" w:line="240" w:lineRule="auto"/>
              <w:rPr>
                <w:lang w:val="en-GB"/>
              </w:rPr>
            </w:pPr>
            <w:r w:rsidRPr="00BC1ABD">
              <w:rPr>
                <w:lang w:val="en-GB"/>
              </w:rPr>
              <w:t>Population concerned</w:t>
            </w:r>
          </w:p>
        </w:tc>
        <w:tc>
          <w:tcPr>
            <w:tcW w:w="2693" w:type="dxa"/>
            <w:tcBorders>
              <w:top w:val="single" w:sz="4" w:space="0" w:color="2E74B5"/>
              <w:left w:val="single" w:sz="4" w:space="0" w:color="2E74B5"/>
              <w:bottom w:val="single" w:sz="4" w:space="0" w:color="2E74B5"/>
              <w:right w:val="single" w:sz="4" w:space="0" w:color="2E74B5"/>
            </w:tcBorders>
          </w:tcPr>
          <w:p w14:paraId="044AC4C5" w14:textId="1B4D5C73" w:rsidR="00B6459C" w:rsidRPr="00384D6A" w:rsidRDefault="00B6459C" w:rsidP="00B6459C">
            <w:pPr>
              <w:spacing w:after="0" w:line="240" w:lineRule="auto"/>
              <w:jc w:val="center"/>
              <w:rPr>
                <w:lang w:val="en-GB"/>
              </w:rPr>
            </w:pPr>
            <w:r w:rsidRPr="00384D6A">
              <w:rPr>
                <w:lang w:val="en-GB"/>
              </w:rPr>
              <w:t>2,511,167</w:t>
            </w:r>
          </w:p>
        </w:tc>
        <w:tc>
          <w:tcPr>
            <w:tcW w:w="3119" w:type="dxa"/>
            <w:tcBorders>
              <w:top w:val="single" w:sz="4" w:space="0" w:color="2E74B5"/>
              <w:left w:val="single" w:sz="4" w:space="0" w:color="2E74B5"/>
              <w:bottom w:val="single" w:sz="4" w:space="0" w:color="2E74B5"/>
              <w:right w:val="single" w:sz="4" w:space="0" w:color="2E74B5"/>
            </w:tcBorders>
          </w:tcPr>
          <w:p w14:paraId="436B6EC4" w14:textId="77777777" w:rsidR="00B6459C" w:rsidRPr="00384D6A" w:rsidRDefault="00B6459C" w:rsidP="00B6459C">
            <w:pPr>
              <w:spacing w:after="0" w:line="240" w:lineRule="auto"/>
              <w:jc w:val="center"/>
              <w:rPr>
                <w:lang w:val="en-GB"/>
              </w:rPr>
            </w:pPr>
            <w:r w:rsidRPr="00384D6A">
              <w:rPr>
                <w:lang w:val="en-GB"/>
              </w:rPr>
              <w:t>292,949</w:t>
            </w:r>
          </w:p>
        </w:tc>
        <w:tc>
          <w:tcPr>
            <w:tcW w:w="5528" w:type="dxa"/>
            <w:tcBorders>
              <w:top w:val="single" w:sz="4" w:space="0" w:color="2E74B5"/>
              <w:left w:val="single" w:sz="4" w:space="0" w:color="2E74B5"/>
              <w:bottom w:val="single" w:sz="4" w:space="0" w:color="2E74B5"/>
              <w:right w:val="single" w:sz="4" w:space="0" w:color="2E74B5"/>
            </w:tcBorders>
          </w:tcPr>
          <w:p w14:paraId="0B852DB2" w14:textId="77777777" w:rsidR="00B6459C" w:rsidRPr="00BC1ABD" w:rsidRDefault="00B6459C" w:rsidP="00B6459C">
            <w:pPr>
              <w:spacing w:after="0" w:line="240" w:lineRule="auto"/>
              <w:jc w:val="center"/>
              <w:rPr>
                <w:lang w:val="en-GB"/>
              </w:rPr>
            </w:pPr>
            <w:r w:rsidRPr="00BC1ABD">
              <w:rPr>
                <w:lang w:val="en-GB"/>
              </w:rPr>
              <w:t>24,964</w:t>
            </w:r>
          </w:p>
        </w:tc>
      </w:tr>
    </w:tbl>
    <w:p w14:paraId="4463297B" w14:textId="77777777" w:rsidR="00AF6448" w:rsidRPr="00BC1ABD" w:rsidRDefault="00AF6448" w:rsidP="00F22660">
      <w:pPr>
        <w:spacing w:after="0" w:line="240" w:lineRule="auto"/>
        <w:rPr>
          <w:b/>
          <w:bCs/>
          <w:sz w:val="24"/>
          <w:szCs w:val="24"/>
          <w:lang w:val="en-GB"/>
        </w:rPr>
      </w:pPr>
    </w:p>
    <w:p w14:paraId="3EB36B86" w14:textId="0A45E97D" w:rsidR="00C5127C" w:rsidRDefault="00C5127C" w:rsidP="00C5127C">
      <w:pPr>
        <w:jc w:val="center"/>
        <w:rPr>
          <w:lang w:val="en-GB"/>
        </w:rPr>
      </w:pPr>
      <w:r>
        <w:rPr>
          <w:rFonts w:cs="Arial"/>
          <w:sz w:val="20"/>
          <w:szCs w:val="20"/>
          <w:lang w:val="en-GB"/>
        </w:rPr>
        <w:t>Source: Expert team</w:t>
      </w:r>
    </w:p>
    <w:p w14:paraId="2B3B1B2B" w14:textId="77777777" w:rsidR="00864ADD" w:rsidRPr="00BC1ABD" w:rsidRDefault="00864ADD" w:rsidP="00F22660">
      <w:pPr>
        <w:spacing w:after="0" w:line="240" w:lineRule="auto"/>
        <w:rPr>
          <w:b/>
          <w:bCs/>
          <w:sz w:val="24"/>
          <w:szCs w:val="24"/>
          <w:lang w:val="en-GB"/>
        </w:rPr>
      </w:pPr>
    </w:p>
    <w:p w14:paraId="158DFF0A" w14:textId="77777777" w:rsidR="00484363" w:rsidRPr="00BC1ABD" w:rsidRDefault="00484363" w:rsidP="00F22660">
      <w:pPr>
        <w:spacing w:after="0" w:line="240" w:lineRule="auto"/>
        <w:rPr>
          <w:b/>
          <w:bCs/>
          <w:sz w:val="24"/>
          <w:szCs w:val="24"/>
          <w:lang w:val="en-GB"/>
        </w:rPr>
      </w:pPr>
    </w:p>
    <w:p w14:paraId="0384B180" w14:textId="77777777" w:rsidR="00B750AC" w:rsidRPr="00BC1ABD" w:rsidRDefault="00B750AC" w:rsidP="00F22660">
      <w:pPr>
        <w:spacing w:after="0" w:line="240" w:lineRule="auto"/>
        <w:rPr>
          <w:b/>
          <w:bCs/>
          <w:sz w:val="24"/>
          <w:szCs w:val="24"/>
          <w:lang w:val="en-GB"/>
        </w:rPr>
      </w:pPr>
    </w:p>
    <w:p w14:paraId="3666146F" w14:textId="77777777" w:rsidR="00B750AC" w:rsidRPr="00BC1ABD" w:rsidRDefault="00B750AC" w:rsidP="00F22660">
      <w:pPr>
        <w:spacing w:after="0" w:line="240" w:lineRule="auto"/>
        <w:rPr>
          <w:b/>
          <w:bCs/>
          <w:sz w:val="24"/>
          <w:szCs w:val="24"/>
          <w:lang w:val="en-GB"/>
        </w:rPr>
      </w:pPr>
    </w:p>
    <w:p w14:paraId="21B17A8D" w14:textId="77777777" w:rsidR="00B750AC" w:rsidRPr="00BC1ABD" w:rsidRDefault="00B750AC" w:rsidP="00F22660">
      <w:pPr>
        <w:spacing w:after="0" w:line="240" w:lineRule="auto"/>
        <w:rPr>
          <w:b/>
          <w:bCs/>
          <w:sz w:val="24"/>
          <w:szCs w:val="24"/>
          <w:lang w:val="en-GB"/>
        </w:rPr>
      </w:pPr>
    </w:p>
    <w:p w14:paraId="5AA165FD" w14:textId="77777777" w:rsidR="00B750AC" w:rsidRPr="00BC1ABD" w:rsidRDefault="00B750AC" w:rsidP="00F22660">
      <w:pPr>
        <w:spacing w:after="0" w:line="240" w:lineRule="auto"/>
        <w:rPr>
          <w:b/>
          <w:bCs/>
          <w:sz w:val="24"/>
          <w:szCs w:val="24"/>
          <w:lang w:val="en-GB"/>
        </w:rPr>
      </w:pPr>
    </w:p>
    <w:p w14:paraId="1809DBF5" w14:textId="77777777" w:rsidR="00B750AC" w:rsidRPr="00BC1ABD" w:rsidRDefault="00B750AC" w:rsidP="00F22660">
      <w:pPr>
        <w:spacing w:after="0" w:line="240" w:lineRule="auto"/>
        <w:rPr>
          <w:b/>
          <w:bCs/>
          <w:sz w:val="24"/>
          <w:szCs w:val="24"/>
          <w:lang w:val="en-GB"/>
        </w:rPr>
      </w:pPr>
    </w:p>
    <w:p w14:paraId="1B8F41D9" w14:textId="77777777" w:rsidR="00B750AC" w:rsidRPr="00BC1ABD" w:rsidRDefault="00B750AC" w:rsidP="00F22660">
      <w:pPr>
        <w:spacing w:after="0" w:line="240" w:lineRule="auto"/>
        <w:rPr>
          <w:b/>
          <w:bCs/>
          <w:sz w:val="24"/>
          <w:szCs w:val="24"/>
          <w:lang w:val="en-GB"/>
        </w:rPr>
      </w:pPr>
    </w:p>
    <w:p w14:paraId="5496F1D2" w14:textId="77777777" w:rsidR="00B750AC" w:rsidRPr="00BC1ABD" w:rsidRDefault="00B750AC" w:rsidP="00F22660">
      <w:pPr>
        <w:spacing w:after="0" w:line="240" w:lineRule="auto"/>
        <w:rPr>
          <w:b/>
          <w:bCs/>
          <w:sz w:val="24"/>
          <w:szCs w:val="24"/>
          <w:lang w:val="en-GB"/>
        </w:rPr>
      </w:pPr>
    </w:p>
    <w:p w14:paraId="6B69012E" w14:textId="77777777" w:rsidR="00B750AC" w:rsidRPr="00BC1ABD" w:rsidRDefault="00B750AC" w:rsidP="00F22660">
      <w:pPr>
        <w:spacing w:after="0" w:line="240" w:lineRule="auto"/>
        <w:rPr>
          <w:b/>
          <w:bCs/>
          <w:sz w:val="24"/>
          <w:szCs w:val="24"/>
          <w:lang w:val="en-GB"/>
        </w:rPr>
      </w:pPr>
    </w:p>
    <w:p w14:paraId="0761A875" w14:textId="77777777" w:rsidR="00B750AC" w:rsidRPr="00BC1ABD" w:rsidRDefault="00B750AC" w:rsidP="00F22660">
      <w:pPr>
        <w:spacing w:after="0" w:line="240" w:lineRule="auto"/>
        <w:rPr>
          <w:b/>
          <w:bCs/>
          <w:sz w:val="24"/>
          <w:szCs w:val="24"/>
          <w:lang w:val="en-GB"/>
        </w:rPr>
      </w:pPr>
    </w:p>
    <w:p w14:paraId="4A13982E" w14:textId="77777777" w:rsidR="00B750AC" w:rsidRPr="00BC1ABD" w:rsidRDefault="00B750AC" w:rsidP="00F22660">
      <w:pPr>
        <w:spacing w:after="0" w:line="240" w:lineRule="auto"/>
        <w:rPr>
          <w:b/>
          <w:bCs/>
          <w:sz w:val="24"/>
          <w:szCs w:val="24"/>
          <w:lang w:val="en-GB"/>
        </w:rPr>
      </w:pPr>
    </w:p>
    <w:p w14:paraId="13918341" w14:textId="77777777" w:rsidR="00B750AC" w:rsidRPr="00BC1ABD" w:rsidRDefault="00B750AC" w:rsidP="00F22660">
      <w:pPr>
        <w:spacing w:after="0" w:line="240" w:lineRule="auto"/>
        <w:rPr>
          <w:b/>
          <w:bCs/>
          <w:sz w:val="24"/>
          <w:szCs w:val="24"/>
          <w:lang w:val="en-GB"/>
        </w:rPr>
      </w:pPr>
    </w:p>
    <w:p w14:paraId="63AC6020" w14:textId="77777777" w:rsidR="00B750AC" w:rsidRPr="00BC1ABD" w:rsidRDefault="00B750AC" w:rsidP="00F22660">
      <w:pPr>
        <w:spacing w:after="0" w:line="240" w:lineRule="auto"/>
        <w:rPr>
          <w:b/>
          <w:bCs/>
          <w:sz w:val="24"/>
          <w:szCs w:val="24"/>
          <w:lang w:val="en-GB"/>
        </w:rPr>
      </w:pPr>
    </w:p>
    <w:p w14:paraId="60C31690" w14:textId="77777777" w:rsidR="00B750AC" w:rsidRPr="00BC1ABD" w:rsidRDefault="00B750AC" w:rsidP="00F22660">
      <w:pPr>
        <w:spacing w:after="0" w:line="240" w:lineRule="auto"/>
        <w:rPr>
          <w:b/>
          <w:bCs/>
          <w:sz w:val="24"/>
          <w:szCs w:val="24"/>
          <w:lang w:val="en-GB"/>
        </w:rPr>
      </w:pPr>
    </w:p>
    <w:p w14:paraId="245CAA80" w14:textId="77777777" w:rsidR="00B750AC" w:rsidRDefault="00B750AC" w:rsidP="00F22660">
      <w:pPr>
        <w:spacing w:after="0" w:line="240" w:lineRule="auto"/>
        <w:rPr>
          <w:b/>
          <w:bCs/>
          <w:sz w:val="24"/>
          <w:szCs w:val="24"/>
          <w:lang w:val="en-GB"/>
        </w:rPr>
      </w:pPr>
    </w:p>
    <w:p w14:paraId="486235D9" w14:textId="77777777" w:rsidR="00BC66DF" w:rsidRDefault="00BC66DF" w:rsidP="00F65975">
      <w:pPr>
        <w:pStyle w:val="Heading2"/>
        <w:numPr>
          <w:ilvl w:val="1"/>
          <w:numId w:val="88"/>
        </w:numPr>
        <w:spacing w:after="240"/>
        <w:rPr>
          <w:lang w:val="en-GB"/>
        </w:rPr>
        <w:sectPr w:rsidR="00BC66DF" w:rsidSect="0073442C">
          <w:pgSz w:w="16838" w:h="11906" w:orient="landscape"/>
          <w:pgMar w:top="1418" w:right="1134" w:bottom="1418" w:left="1418" w:header="709" w:footer="709" w:gutter="0"/>
          <w:cols w:space="708"/>
          <w:docGrid w:linePitch="360"/>
        </w:sectPr>
      </w:pPr>
    </w:p>
    <w:p w14:paraId="5F24225F" w14:textId="36CB1542" w:rsidR="00F65975" w:rsidRPr="00775670" w:rsidRDefault="00F65975" w:rsidP="00F65975">
      <w:pPr>
        <w:pStyle w:val="Heading2"/>
        <w:numPr>
          <w:ilvl w:val="1"/>
          <w:numId w:val="88"/>
        </w:numPr>
        <w:spacing w:after="240"/>
        <w:rPr>
          <w:lang w:val="en-GB"/>
        </w:rPr>
      </w:pPr>
      <w:bookmarkStart w:id="369" w:name="_Toc169259012"/>
      <w:r w:rsidRPr="00775670">
        <w:rPr>
          <w:lang w:val="en-GB"/>
        </w:rPr>
        <w:t>How the regulatory remedies address the competition concerns</w:t>
      </w:r>
      <w:bookmarkEnd w:id="369"/>
    </w:p>
    <w:p w14:paraId="2D77F472" w14:textId="77777777" w:rsidR="000003A3" w:rsidRPr="000003A3" w:rsidRDefault="000003A3" w:rsidP="000003A3">
      <w:pPr>
        <w:jc w:val="both"/>
        <w:rPr>
          <w:rFonts w:eastAsia="Times New Roman" w:cs="Calibri"/>
          <w:sz w:val="24"/>
          <w:szCs w:val="24"/>
          <w:lang w:val="en-GB" w:eastAsia="fr-FR"/>
        </w:rPr>
      </w:pPr>
      <w:r w:rsidRPr="000003A3">
        <w:rPr>
          <w:rFonts w:eastAsia="Times New Roman" w:cs="Calibri"/>
          <w:sz w:val="24"/>
          <w:szCs w:val="24"/>
          <w:lang w:val="en-GB" w:eastAsia="fr-FR"/>
        </w:rPr>
        <w:t>Chapter 7 described the current and expected competition concerns in the wholesale local and central access market at a fixed location. Figure 76 summarises, for each competition concern, how these are expected to be addressed by the proposed remedies described in Chapters 8.1 to 8.5.</w:t>
      </w:r>
    </w:p>
    <w:p w14:paraId="6DE9908E" w14:textId="6740249B" w:rsidR="000003A3" w:rsidRPr="000003A3" w:rsidRDefault="000003A3" w:rsidP="000003A3">
      <w:pPr>
        <w:jc w:val="both"/>
        <w:rPr>
          <w:rFonts w:eastAsia="Times New Roman" w:cs="Calibri"/>
          <w:sz w:val="24"/>
          <w:szCs w:val="24"/>
          <w:lang w:val="en-GB" w:eastAsia="fr-FR"/>
        </w:rPr>
      </w:pPr>
      <w:r w:rsidRPr="000003A3">
        <w:rPr>
          <w:rFonts w:eastAsia="Times New Roman" w:cs="Calibri"/>
          <w:sz w:val="24"/>
          <w:szCs w:val="24"/>
          <w:lang w:val="en-GB" w:eastAsia="fr-FR"/>
        </w:rPr>
        <w:t xml:space="preserve">Some concerns cannot be addressed by a single regulatory obligation. </w:t>
      </w:r>
      <w:r w:rsidR="00354F9F" w:rsidRPr="000003A3">
        <w:rPr>
          <w:rFonts w:eastAsia="Times New Roman" w:cs="Calibri"/>
          <w:sz w:val="24"/>
          <w:szCs w:val="24"/>
          <w:lang w:val="en-GB" w:eastAsia="fr-FR"/>
        </w:rPr>
        <w:t>Instead,</w:t>
      </w:r>
      <w:r w:rsidRPr="000003A3">
        <w:rPr>
          <w:rFonts w:eastAsia="Times New Roman" w:cs="Calibri"/>
          <w:sz w:val="24"/>
          <w:szCs w:val="24"/>
          <w:lang w:val="en-GB" w:eastAsia="fr-FR"/>
        </w:rPr>
        <w:t xml:space="preserve"> the use of more than one remedy is expected to be required to address most of the identified competition concerns. In a similar way, a single remedy can address (in whole or in part) more than one of the identified competition concerns. For example, the obligation to provide bitstream and VULA access will in itself </w:t>
      </w:r>
      <w:r w:rsidR="009A6A62" w:rsidRPr="000003A3">
        <w:rPr>
          <w:rFonts w:eastAsia="Times New Roman" w:cs="Calibri"/>
          <w:sz w:val="24"/>
          <w:szCs w:val="24"/>
          <w:lang w:val="en-GB" w:eastAsia="fr-FR"/>
        </w:rPr>
        <w:t>is not</w:t>
      </w:r>
      <w:r w:rsidRPr="000003A3">
        <w:rPr>
          <w:rFonts w:eastAsia="Times New Roman" w:cs="Calibri"/>
          <w:sz w:val="24"/>
          <w:szCs w:val="24"/>
          <w:lang w:val="en-GB" w:eastAsia="fr-FR"/>
        </w:rPr>
        <w:t xml:space="preserve"> sufficient to address the competition concerns, because Magticom could use delaying tactics when negotiating access conditions. Therefore, the risk of refusal to provide access will only be addressed if Magticom is not only obliged to negotiate access, but also to publish from the outset the access conditions, avoiding the possibility that no agreement could be reached with an access seeker within a reasonable time. </w:t>
      </w:r>
    </w:p>
    <w:p w14:paraId="345B7AF1" w14:textId="77777777" w:rsidR="000003A3" w:rsidRPr="000003A3" w:rsidRDefault="000003A3" w:rsidP="000003A3">
      <w:pPr>
        <w:jc w:val="both"/>
        <w:rPr>
          <w:rFonts w:eastAsia="Times New Roman" w:cs="Calibri"/>
          <w:sz w:val="24"/>
          <w:szCs w:val="24"/>
          <w:lang w:val="en-GB" w:eastAsia="fr-FR"/>
        </w:rPr>
      </w:pPr>
      <w:r w:rsidRPr="000003A3">
        <w:rPr>
          <w:rFonts w:eastAsia="Times New Roman" w:cs="Calibri"/>
          <w:sz w:val="24"/>
          <w:szCs w:val="24"/>
          <w:lang w:val="en-GB" w:eastAsia="fr-FR"/>
        </w:rPr>
        <w:t>Figure 75 illustrates the holistic approach for selecting and applying regulatory remedies by summarising which competition concerns are addressed by which regulatory remedies. Special attention was paid to the need for remedies to be proportionate to the level of potential harm to the Georgian competitive market from the identified competition concerns.</w:t>
      </w:r>
    </w:p>
    <w:p w14:paraId="348843FF" w14:textId="77777777" w:rsidR="000003A3" w:rsidRPr="000003A3" w:rsidRDefault="000003A3" w:rsidP="000003A3">
      <w:pPr>
        <w:jc w:val="both"/>
        <w:rPr>
          <w:rFonts w:eastAsia="Times New Roman" w:cs="Calibri"/>
          <w:lang w:val="en-US" w:eastAsia="fr-FR"/>
        </w:rPr>
      </w:pPr>
      <w:r w:rsidRPr="000003A3">
        <w:rPr>
          <w:rFonts w:eastAsia="Times New Roman" w:cs="Calibri"/>
          <w:sz w:val="24"/>
          <w:szCs w:val="24"/>
          <w:lang w:val="en-GB" w:eastAsia="fr-FR"/>
        </w:rPr>
        <w:t xml:space="preserve">It should be restated that all remedies have the same objective; to reduce the market power of the SMP operator and remove its ability to act without regard to competitors and (potential) clients. All envisaged remedies contribute, singly or together, to that overall objective and are therefore inter-dependent and complementary. Removing one of these remedies could compromise the achievement of the overall objective. </w:t>
      </w:r>
    </w:p>
    <w:p w14:paraId="71B86E03" w14:textId="597B0DDF" w:rsidR="002127F5" w:rsidRPr="00050815" w:rsidRDefault="000003A3" w:rsidP="00050815">
      <w:pPr>
        <w:jc w:val="both"/>
        <w:rPr>
          <w:rFonts w:eastAsia="Times New Roman" w:cs="Calibri"/>
          <w:sz w:val="24"/>
          <w:szCs w:val="24"/>
          <w:lang w:val="en-GB" w:eastAsia="fr-FR"/>
        </w:rPr>
      </w:pPr>
      <w:r w:rsidRPr="000003A3">
        <w:rPr>
          <w:rFonts w:eastAsia="Times New Roman" w:cs="Calibri"/>
          <w:sz w:val="24"/>
          <w:szCs w:val="24"/>
          <w:lang w:val="en-GB" w:eastAsia="fr-FR"/>
        </w:rPr>
        <w:t>Moreover, the effectiveness of the regulatory remedies will also depend on effective monitoring via the methodologies described in Chapter 8.2.1 and also, in the case of any further access difficulties, prompt initiation by access-seekers of the ‘Procedure for Reviewing and Resolving Disputes between Authorised Persons’ from Chapter VI of the Law</w:t>
      </w:r>
      <w:r w:rsidR="00050815" w:rsidRPr="00050815">
        <w:rPr>
          <w:rFonts w:eastAsia="Times New Roman" w:cs="Calibri"/>
          <w:sz w:val="24"/>
          <w:szCs w:val="24"/>
          <w:lang w:val="en-GB" w:eastAsia="fr-FR"/>
        </w:rPr>
        <w:t>.</w:t>
      </w:r>
    </w:p>
    <w:p w14:paraId="51EE019E" w14:textId="77777777" w:rsidR="00F42E9D" w:rsidRDefault="00F42E9D" w:rsidP="00C34503">
      <w:pPr>
        <w:pStyle w:val="Caption"/>
        <w:jc w:val="center"/>
      </w:pPr>
    </w:p>
    <w:p w14:paraId="2B62DC75" w14:textId="77777777" w:rsidR="00F42E9D" w:rsidRDefault="00F42E9D" w:rsidP="00C34503">
      <w:pPr>
        <w:pStyle w:val="Caption"/>
        <w:jc w:val="center"/>
      </w:pPr>
    </w:p>
    <w:p w14:paraId="259B3B98" w14:textId="77777777" w:rsidR="00F42E9D" w:rsidRDefault="00F42E9D" w:rsidP="00C34503">
      <w:pPr>
        <w:pStyle w:val="Caption"/>
        <w:jc w:val="center"/>
      </w:pPr>
    </w:p>
    <w:p w14:paraId="667C6AF3" w14:textId="77777777" w:rsidR="00F42E9D" w:rsidRDefault="00F42E9D" w:rsidP="00C34503">
      <w:pPr>
        <w:pStyle w:val="Caption"/>
        <w:jc w:val="center"/>
      </w:pPr>
    </w:p>
    <w:p w14:paraId="34E0747C" w14:textId="77777777" w:rsidR="00F42E9D" w:rsidRDefault="00F42E9D" w:rsidP="00C34503">
      <w:pPr>
        <w:pStyle w:val="Caption"/>
        <w:jc w:val="center"/>
      </w:pPr>
    </w:p>
    <w:p w14:paraId="638DFA00" w14:textId="77777777" w:rsidR="00F42E9D" w:rsidRDefault="00F42E9D" w:rsidP="00C34503">
      <w:pPr>
        <w:pStyle w:val="Caption"/>
        <w:jc w:val="center"/>
      </w:pPr>
    </w:p>
    <w:p w14:paraId="5BD0C97B" w14:textId="77777777" w:rsidR="00F42E9D" w:rsidRDefault="00F42E9D" w:rsidP="00C34503">
      <w:pPr>
        <w:pStyle w:val="Caption"/>
        <w:jc w:val="center"/>
      </w:pPr>
    </w:p>
    <w:p w14:paraId="4C755FDE" w14:textId="77777777" w:rsidR="00F42E9D" w:rsidRDefault="00F42E9D" w:rsidP="00C34503">
      <w:pPr>
        <w:pStyle w:val="Caption"/>
        <w:jc w:val="center"/>
      </w:pPr>
    </w:p>
    <w:p w14:paraId="660BEE25" w14:textId="77777777" w:rsidR="00F42E9D" w:rsidRDefault="00F42E9D" w:rsidP="00C34503">
      <w:pPr>
        <w:pStyle w:val="Caption"/>
        <w:jc w:val="center"/>
      </w:pPr>
    </w:p>
    <w:p w14:paraId="7DBD3AD0" w14:textId="2843D365" w:rsidR="00050815" w:rsidRDefault="00C34503" w:rsidP="00C34503">
      <w:pPr>
        <w:pStyle w:val="Caption"/>
        <w:jc w:val="center"/>
        <w:rPr>
          <w:rFonts w:eastAsia="Times New Roman" w:cs="Calibri"/>
          <w:color w:val="44546A"/>
          <w:lang w:val="en-US" w:eastAsia="fr-FR"/>
        </w:rPr>
      </w:pPr>
      <w:bookmarkStart w:id="370" w:name="_Toc152931427"/>
      <w:r>
        <w:t xml:space="preserve">Figure </w:t>
      </w:r>
      <w:r>
        <w:fldChar w:fldCharType="begin"/>
      </w:r>
      <w:r>
        <w:instrText xml:space="preserve"> SEQ Figure \* ARABIC </w:instrText>
      </w:r>
      <w:r>
        <w:fldChar w:fldCharType="separate"/>
      </w:r>
      <w:r w:rsidR="00ED2C35">
        <w:rPr>
          <w:noProof/>
        </w:rPr>
        <w:t>76</w:t>
      </w:r>
      <w:r>
        <w:fldChar w:fldCharType="end"/>
      </w:r>
      <w:r w:rsidR="00050815" w:rsidRPr="00050815">
        <w:rPr>
          <w:rFonts w:eastAsia="Times New Roman" w:cs="Calibri"/>
          <w:color w:val="44546A"/>
          <w:lang w:val="en-US" w:eastAsia="fr-FR"/>
        </w:rPr>
        <w:t xml:space="preserve"> Competition concerns and remedies addressing them</w:t>
      </w:r>
      <w:bookmarkEnd w:id="370"/>
    </w:p>
    <w:tbl>
      <w:tblPr>
        <w:tblpPr w:leftFromText="141" w:rightFromText="141" w:vertAnchor="text" w:horzAnchor="margin" w:tblpXSpec="center" w:tblpY="-71"/>
        <w:tblW w:w="9102" w:type="dxa"/>
        <w:tblCellMar>
          <w:left w:w="0" w:type="dxa"/>
          <w:right w:w="0" w:type="dxa"/>
        </w:tblCellMar>
        <w:tblLook w:val="04A0" w:firstRow="1" w:lastRow="0" w:firstColumn="1" w:lastColumn="0" w:noHBand="0" w:noVBand="1"/>
      </w:tblPr>
      <w:tblGrid>
        <w:gridCol w:w="5163"/>
        <w:gridCol w:w="3939"/>
      </w:tblGrid>
      <w:tr w:rsidR="00F42E9D" w:rsidRPr="00355738" w14:paraId="3DD150DF" w14:textId="77777777" w:rsidTr="006C273F">
        <w:trPr>
          <w:trHeight w:val="593"/>
        </w:trPr>
        <w:tc>
          <w:tcPr>
            <w:tcW w:w="5163" w:type="dxa"/>
            <w:tcBorders>
              <w:top w:val="single" w:sz="12" w:space="0" w:color="auto"/>
              <w:left w:val="single" w:sz="12" w:space="0" w:color="auto"/>
              <w:bottom w:val="single" w:sz="12" w:space="0" w:color="auto"/>
              <w:right w:val="single" w:sz="8" w:space="0" w:color="auto"/>
            </w:tcBorders>
            <w:shd w:val="clear" w:color="auto" w:fill="9CC2E5"/>
            <w:tcMar>
              <w:top w:w="0" w:type="dxa"/>
              <w:left w:w="108" w:type="dxa"/>
              <w:bottom w:w="0" w:type="dxa"/>
              <w:right w:w="108" w:type="dxa"/>
            </w:tcMar>
            <w:hideMark/>
          </w:tcPr>
          <w:p w14:paraId="41C5E3D6" w14:textId="77777777" w:rsidR="00F42E9D" w:rsidRPr="00F42E9D" w:rsidRDefault="00F42E9D" w:rsidP="00F42E9D">
            <w:pPr>
              <w:rPr>
                <w:lang w:val="fr-FR" w:eastAsia="fr-FR"/>
              </w:rPr>
            </w:pPr>
            <w:r w:rsidRPr="00F42E9D">
              <w:rPr>
                <w:b/>
                <w:bCs/>
                <w:lang w:val="en-GB" w:eastAsia="fr-FR"/>
              </w:rPr>
              <w:t>Hypothetical competition problem</w:t>
            </w:r>
          </w:p>
        </w:tc>
        <w:tc>
          <w:tcPr>
            <w:tcW w:w="3939" w:type="dxa"/>
            <w:tcBorders>
              <w:top w:val="single" w:sz="12" w:space="0" w:color="auto"/>
              <w:left w:val="nil"/>
              <w:bottom w:val="single" w:sz="12" w:space="0" w:color="auto"/>
              <w:right w:val="single" w:sz="12" w:space="0" w:color="auto"/>
            </w:tcBorders>
            <w:shd w:val="clear" w:color="auto" w:fill="9CC2E5"/>
            <w:tcMar>
              <w:top w:w="0" w:type="dxa"/>
              <w:left w:w="108" w:type="dxa"/>
              <w:bottom w:w="0" w:type="dxa"/>
              <w:right w:w="108" w:type="dxa"/>
            </w:tcMar>
            <w:hideMark/>
          </w:tcPr>
          <w:p w14:paraId="5FC258B0" w14:textId="77777777" w:rsidR="00F42E9D" w:rsidRPr="00F42E9D" w:rsidRDefault="00F42E9D" w:rsidP="00F42E9D">
            <w:pPr>
              <w:rPr>
                <w:lang w:val="en-US" w:eastAsia="fr-FR"/>
              </w:rPr>
            </w:pPr>
            <w:r w:rsidRPr="00F42E9D">
              <w:rPr>
                <w:b/>
                <w:bCs/>
                <w:lang w:val="en-GB" w:eastAsia="fr-FR"/>
              </w:rPr>
              <w:t>Proposed ex ante regulatory obligations addressing the problems</w:t>
            </w:r>
          </w:p>
        </w:tc>
      </w:tr>
      <w:tr w:rsidR="00F42E9D" w:rsidRPr="00E47120" w14:paraId="2DE1B0A3"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2185B4C" w14:textId="77777777" w:rsidR="00F42E9D" w:rsidRPr="00F42E9D" w:rsidRDefault="00F42E9D" w:rsidP="00F42E9D">
            <w:pPr>
              <w:rPr>
                <w:lang w:val="en-US" w:eastAsia="fr-FR"/>
              </w:rPr>
            </w:pPr>
            <w:r w:rsidRPr="00F42E9D">
              <w:rPr>
                <w:lang w:val="en-GB" w:eastAsia="fr-FR"/>
              </w:rPr>
              <w:t>Refusal of supply / Denial of access</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B7335BF" w14:textId="22DE06B6" w:rsidR="00F42E9D" w:rsidRPr="00F42E9D" w:rsidRDefault="00F42E9D" w:rsidP="00F42E9D">
            <w:pPr>
              <w:rPr>
                <w:lang w:val="en-US" w:eastAsia="fr-FR"/>
              </w:rPr>
            </w:pPr>
            <w:r w:rsidRPr="00F42E9D">
              <w:rPr>
                <w:lang w:val="en-GB" w:eastAsia="fr-FR"/>
              </w:rPr>
              <w:t>Obligation to provide bitstream and VULA, including</w:t>
            </w:r>
            <w:r w:rsidR="00F908DE">
              <w:rPr>
                <w:lang w:val="en-GB" w:eastAsia="fr-FR"/>
              </w:rPr>
              <w:t xml:space="preserve"> separate virtual </w:t>
            </w:r>
            <w:r w:rsidRPr="00F42E9D">
              <w:rPr>
                <w:lang w:val="en-GB" w:eastAsia="fr-FR"/>
              </w:rPr>
              <w:t>channels</w:t>
            </w:r>
            <w:r w:rsidR="00F908DE">
              <w:rPr>
                <w:lang w:val="en-GB" w:eastAsia="fr-FR"/>
              </w:rPr>
              <w:t>/VLANs (e.g. for IPTV or VoIP provision)</w:t>
            </w:r>
            <w:r w:rsidRPr="00F42E9D">
              <w:rPr>
                <w:lang w:val="en-GB" w:eastAsia="fr-FR"/>
              </w:rPr>
              <w:t xml:space="preserve"> and CPE. Publication of detailed reference offers</w:t>
            </w:r>
          </w:p>
        </w:tc>
      </w:tr>
      <w:tr w:rsidR="00F42E9D" w:rsidRPr="00F42E9D" w14:paraId="6B5EFED1"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4642254C" w14:textId="77777777" w:rsidR="00F42E9D" w:rsidRPr="00F42E9D" w:rsidRDefault="00F42E9D" w:rsidP="00F42E9D">
            <w:pPr>
              <w:rPr>
                <w:lang w:val="en-US" w:eastAsia="fr-FR"/>
              </w:rPr>
            </w:pPr>
            <w:r w:rsidRPr="00F42E9D">
              <w:rPr>
                <w:lang w:val="en-GB" w:eastAsia="fr-FR"/>
              </w:rPr>
              <w:t>Procrastination and other delaying tactics</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729DA468" w14:textId="77777777" w:rsidR="00F42E9D" w:rsidRPr="00F42E9D" w:rsidRDefault="00F42E9D" w:rsidP="00F42E9D">
            <w:pPr>
              <w:rPr>
                <w:lang w:val="en-US" w:eastAsia="fr-FR"/>
              </w:rPr>
            </w:pPr>
            <w:r w:rsidRPr="00F42E9D">
              <w:rPr>
                <w:lang w:val="en-GB" w:eastAsia="fr-FR"/>
              </w:rPr>
              <w:t xml:space="preserve">Publication of a reference offer with detailed information within a strict deadline </w:t>
            </w:r>
          </w:p>
          <w:p w14:paraId="24B914C8" w14:textId="77777777" w:rsidR="00F42E9D" w:rsidRPr="00F42E9D" w:rsidRDefault="00F42E9D" w:rsidP="00F42E9D">
            <w:pPr>
              <w:rPr>
                <w:lang w:val="fr-FR" w:eastAsia="fr-FR"/>
              </w:rPr>
            </w:pPr>
            <w:r w:rsidRPr="00F42E9D">
              <w:rPr>
                <w:lang w:val="en-GB" w:eastAsia="fr-FR"/>
              </w:rPr>
              <w:t>Key performance indicators (KPIs)</w:t>
            </w:r>
          </w:p>
        </w:tc>
      </w:tr>
      <w:tr w:rsidR="00F42E9D" w:rsidRPr="00355738" w14:paraId="3065C0B6"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366280AD" w14:textId="77777777" w:rsidR="00F42E9D" w:rsidRPr="00F42E9D" w:rsidRDefault="00F42E9D" w:rsidP="00F42E9D">
            <w:pPr>
              <w:rPr>
                <w:lang w:val="en-US" w:eastAsia="fr-FR"/>
              </w:rPr>
            </w:pPr>
            <w:r w:rsidRPr="00F42E9D">
              <w:rPr>
                <w:lang w:val="en-GB" w:eastAsia="fr-FR"/>
              </w:rPr>
              <w:t>Discrimination by quality of service</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7BEF4449" w14:textId="22C94718" w:rsidR="00F42E9D" w:rsidRPr="00F42E9D" w:rsidRDefault="00F42E9D" w:rsidP="00F42E9D">
            <w:pPr>
              <w:rPr>
                <w:lang w:val="en-US" w:eastAsia="fr-FR"/>
              </w:rPr>
            </w:pPr>
            <w:r w:rsidRPr="00F42E9D">
              <w:rPr>
                <w:lang w:val="en-GB" w:eastAsia="fr-FR"/>
              </w:rPr>
              <w:t>Detailed reference offer</w:t>
            </w:r>
            <w:r w:rsidR="00195B2F">
              <w:rPr>
                <w:lang w:val="en-GB" w:eastAsia="fr-FR"/>
              </w:rPr>
              <w:t xml:space="preserve"> </w:t>
            </w:r>
          </w:p>
          <w:p w14:paraId="251BA3C0" w14:textId="77777777" w:rsidR="00F42E9D" w:rsidRPr="00F42E9D" w:rsidRDefault="00F42E9D" w:rsidP="00F42E9D">
            <w:pPr>
              <w:rPr>
                <w:lang w:val="en-US" w:eastAsia="fr-FR"/>
              </w:rPr>
            </w:pPr>
            <w:r w:rsidRPr="00F42E9D">
              <w:rPr>
                <w:lang w:val="en-GB" w:eastAsia="fr-FR"/>
              </w:rPr>
              <w:t>Key performance indicators (KPIs)</w:t>
            </w:r>
          </w:p>
        </w:tc>
      </w:tr>
      <w:tr w:rsidR="00F42E9D" w:rsidRPr="00355738" w14:paraId="1238321F"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4A9ED64A" w14:textId="77777777" w:rsidR="00F42E9D" w:rsidRPr="00F42E9D" w:rsidRDefault="00F42E9D" w:rsidP="00F42E9D">
            <w:pPr>
              <w:rPr>
                <w:lang w:val="fr-FR" w:eastAsia="fr-FR"/>
              </w:rPr>
            </w:pPr>
            <w:r w:rsidRPr="00F42E9D">
              <w:rPr>
                <w:lang w:val="en-GB" w:eastAsia="fr-FR"/>
              </w:rPr>
              <w:t>Unnecessary requirements</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4A8FBC5C" w14:textId="77777777" w:rsidR="00F42E9D" w:rsidRPr="00F42E9D" w:rsidRDefault="00F42E9D" w:rsidP="00F42E9D">
            <w:pPr>
              <w:rPr>
                <w:lang w:val="en-US" w:eastAsia="fr-FR"/>
              </w:rPr>
            </w:pPr>
            <w:r w:rsidRPr="00F42E9D">
              <w:rPr>
                <w:lang w:val="en-GB" w:eastAsia="fr-FR"/>
              </w:rPr>
              <w:t xml:space="preserve">Reference offer broken down to a level which allows access seeker to order only the services needed </w:t>
            </w:r>
          </w:p>
          <w:p w14:paraId="0739E958" w14:textId="77777777" w:rsidR="00F42E9D" w:rsidRPr="00F42E9D" w:rsidRDefault="00F42E9D" w:rsidP="00F42E9D">
            <w:pPr>
              <w:rPr>
                <w:lang w:val="en-US" w:eastAsia="fr-FR"/>
              </w:rPr>
            </w:pPr>
            <w:r w:rsidRPr="00F42E9D">
              <w:rPr>
                <w:lang w:val="en-GB" w:eastAsia="fr-FR"/>
              </w:rPr>
              <w:t xml:space="preserve">Reference offer approved by ComCom </w:t>
            </w:r>
          </w:p>
          <w:p w14:paraId="53B9993A" w14:textId="77777777" w:rsidR="00F42E9D" w:rsidRPr="00F42E9D" w:rsidRDefault="00F42E9D" w:rsidP="00F42E9D">
            <w:pPr>
              <w:rPr>
                <w:lang w:val="en-US" w:eastAsia="fr-FR"/>
              </w:rPr>
            </w:pPr>
            <w:r w:rsidRPr="00F42E9D">
              <w:rPr>
                <w:lang w:val="en-GB" w:eastAsia="fr-FR"/>
              </w:rPr>
              <w:t>Submitting signed contracts to ComCom</w:t>
            </w:r>
          </w:p>
        </w:tc>
      </w:tr>
      <w:tr w:rsidR="00F42E9D" w:rsidRPr="00355738" w14:paraId="64AF046C"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10E77FE5" w14:textId="77777777" w:rsidR="00F42E9D" w:rsidRPr="00F42E9D" w:rsidRDefault="00F42E9D" w:rsidP="00F42E9D">
            <w:pPr>
              <w:rPr>
                <w:lang w:val="en-US" w:eastAsia="fr-FR"/>
              </w:rPr>
            </w:pPr>
            <w:r w:rsidRPr="00F42E9D">
              <w:rPr>
                <w:lang w:val="en-GB" w:eastAsia="fr-FR"/>
              </w:rPr>
              <w:t>Undue use of information obtained from access seekers</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C222340" w14:textId="77777777" w:rsidR="00F42E9D" w:rsidRPr="00F42E9D" w:rsidRDefault="00F42E9D" w:rsidP="00F42E9D">
            <w:pPr>
              <w:rPr>
                <w:lang w:val="en-US" w:eastAsia="fr-FR"/>
              </w:rPr>
            </w:pPr>
            <w:r w:rsidRPr="00F42E9D">
              <w:rPr>
                <w:lang w:val="en-GB" w:eastAsia="fr-FR"/>
              </w:rPr>
              <w:t>Commitment of confidentiality of information and trade secrets as part of reference offers</w:t>
            </w:r>
          </w:p>
        </w:tc>
      </w:tr>
      <w:tr w:rsidR="00F42E9D" w:rsidRPr="00355738" w14:paraId="21FADB89"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9498997" w14:textId="77777777" w:rsidR="00F42E9D" w:rsidRPr="00F42E9D" w:rsidRDefault="00F42E9D" w:rsidP="00F42E9D">
            <w:pPr>
              <w:rPr>
                <w:lang w:val="fr-FR" w:eastAsia="fr-FR"/>
              </w:rPr>
            </w:pPr>
            <w:r w:rsidRPr="00F42E9D">
              <w:rPr>
                <w:lang w:val="en-GB" w:eastAsia="fr-FR"/>
              </w:rPr>
              <w:t>Withholding of information</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05301DFB" w14:textId="77777777" w:rsidR="00F42E9D" w:rsidRPr="00F42E9D" w:rsidRDefault="00F42E9D" w:rsidP="00F42E9D">
            <w:pPr>
              <w:rPr>
                <w:lang w:val="en-US" w:eastAsia="fr-FR"/>
              </w:rPr>
            </w:pPr>
            <w:r w:rsidRPr="00F42E9D">
              <w:rPr>
                <w:lang w:val="en-GB" w:eastAsia="fr-FR"/>
              </w:rPr>
              <w:t>Minimum content of detailed reference offers</w:t>
            </w:r>
          </w:p>
        </w:tc>
      </w:tr>
      <w:tr w:rsidR="00F42E9D" w:rsidRPr="00355738" w14:paraId="530808E5"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FC4D6D6" w14:textId="77777777" w:rsidR="00F42E9D" w:rsidRPr="0080516E" w:rsidRDefault="00F42E9D" w:rsidP="00F42E9D">
            <w:pPr>
              <w:rPr>
                <w:lang w:val="en-US" w:eastAsia="fr-FR"/>
              </w:rPr>
            </w:pPr>
            <w:r w:rsidRPr="00F42E9D">
              <w:rPr>
                <w:lang w:val="en-GB" w:eastAsia="fr-FR"/>
              </w:rPr>
              <w:t xml:space="preserve">Excessive prices and/ or price discrimination </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2D728ED5" w14:textId="77777777" w:rsidR="00F42E9D" w:rsidRPr="00F42E9D" w:rsidRDefault="00F42E9D" w:rsidP="00F42E9D">
            <w:pPr>
              <w:rPr>
                <w:lang w:val="en-US" w:eastAsia="fr-FR"/>
              </w:rPr>
            </w:pPr>
            <w:r w:rsidRPr="00F42E9D">
              <w:rPr>
                <w:lang w:val="en-GB" w:eastAsia="fr-FR"/>
              </w:rPr>
              <w:t>Price control and cost accounting (Cluster I and II)</w:t>
            </w:r>
          </w:p>
          <w:p w14:paraId="1EDE58F9" w14:textId="77777777" w:rsidR="00F42E9D" w:rsidRPr="00F42E9D" w:rsidRDefault="00F42E9D" w:rsidP="00F42E9D">
            <w:pPr>
              <w:rPr>
                <w:lang w:val="en-US" w:eastAsia="fr-FR"/>
              </w:rPr>
            </w:pPr>
            <w:r w:rsidRPr="00F42E9D">
              <w:rPr>
                <w:lang w:val="en-GB" w:eastAsia="fr-FR"/>
              </w:rPr>
              <w:t>Margin squeeze test (Cluster II)</w:t>
            </w:r>
          </w:p>
        </w:tc>
      </w:tr>
      <w:tr w:rsidR="00F42E9D" w:rsidRPr="00F42E9D" w14:paraId="46B7127F"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764A1B1F" w14:textId="77777777" w:rsidR="00F42E9D" w:rsidRPr="00F42E9D" w:rsidRDefault="00F42E9D" w:rsidP="00F42E9D">
            <w:pPr>
              <w:rPr>
                <w:lang w:val="fr-FR" w:eastAsia="fr-FR"/>
              </w:rPr>
            </w:pPr>
            <w:r w:rsidRPr="00F42E9D">
              <w:rPr>
                <w:lang w:val="en-GB" w:eastAsia="fr-FR"/>
              </w:rPr>
              <w:t>Cross subsidising</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3FF5D9D" w14:textId="77777777" w:rsidR="00F42E9D" w:rsidRPr="00F42E9D" w:rsidRDefault="00F42E9D" w:rsidP="00F42E9D">
            <w:pPr>
              <w:rPr>
                <w:lang w:val="fr-FR" w:eastAsia="fr-FR"/>
              </w:rPr>
            </w:pPr>
            <w:r w:rsidRPr="00F42E9D">
              <w:rPr>
                <w:lang w:val="en-GB" w:eastAsia="fr-FR"/>
              </w:rPr>
              <w:t>Accounting separation</w:t>
            </w:r>
          </w:p>
        </w:tc>
      </w:tr>
      <w:tr w:rsidR="00F42E9D" w:rsidRPr="00F42E9D" w14:paraId="4F164DC9" w14:textId="77777777" w:rsidTr="006C273F">
        <w:trPr>
          <w:trHeight w:val="593"/>
        </w:trPr>
        <w:tc>
          <w:tcPr>
            <w:tcW w:w="5163" w:type="dxa"/>
            <w:tcBorders>
              <w:top w:val="nil"/>
              <w:left w:val="single" w:sz="12" w:space="0" w:color="auto"/>
              <w:bottom w:val="single" w:sz="12" w:space="0" w:color="auto"/>
              <w:right w:val="single" w:sz="8" w:space="0" w:color="auto"/>
            </w:tcBorders>
            <w:tcMar>
              <w:top w:w="0" w:type="dxa"/>
              <w:left w:w="108" w:type="dxa"/>
              <w:bottom w:w="0" w:type="dxa"/>
              <w:right w:w="108" w:type="dxa"/>
            </w:tcMar>
            <w:hideMark/>
          </w:tcPr>
          <w:p w14:paraId="784D7065" w14:textId="77777777" w:rsidR="00F42E9D" w:rsidRPr="00F42E9D" w:rsidRDefault="00F42E9D" w:rsidP="00F42E9D">
            <w:pPr>
              <w:rPr>
                <w:lang w:val="fr-FR" w:eastAsia="fr-FR"/>
              </w:rPr>
            </w:pPr>
            <w:r w:rsidRPr="00F42E9D">
              <w:rPr>
                <w:lang w:val="en-GB" w:eastAsia="fr-FR"/>
              </w:rPr>
              <w:t>Predatory pricing</w:t>
            </w:r>
          </w:p>
        </w:tc>
        <w:tc>
          <w:tcPr>
            <w:tcW w:w="3939" w:type="dxa"/>
            <w:tcBorders>
              <w:top w:val="nil"/>
              <w:left w:val="nil"/>
              <w:bottom w:val="single" w:sz="12" w:space="0" w:color="auto"/>
              <w:right w:val="single" w:sz="12" w:space="0" w:color="auto"/>
            </w:tcBorders>
            <w:tcMar>
              <w:top w:w="0" w:type="dxa"/>
              <w:left w:w="108" w:type="dxa"/>
              <w:bottom w:w="0" w:type="dxa"/>
              <w:right w:w="108" w:type="dxa"/>
            </w:tcMar>
            <w:hideMark/>
          </w:tcPr>
          <w:p w14:paraId="4DDDBFDD" w14:textId="77777777" w:rsidR="00F42E9D" w:rsidRPr="00F42E9D" w:rsidRDefault="00F42E9D" w:rsidP="00F42E9D">
            <w:pPr>
              <w:rPr>
                <w:lang w:val="fr-FR" w:eastAsia="fr-FR"/>
              </w:rPr>
            </w:pPr>
            <w:r w:rsidRPr="00F42E9D">
              <w:rPr>
                <w:lang w:val="en-GB" w:eastAsia="fr-FR"/>
              </w:rPr>
              <w:t xml:space="preserve">Margin squeeze test </w:t>
            </w:r>
          </w:p>
        </w:tc>
      </w:tr>
    </w:tbl>
    <w:p w14:paraId="00CDE71D" w14:textId="77777777" w:rsidR="00050815" w:rsidRPr="00050815" w:rsidRDefault="00050815" w:rsidP="00F42E9D">
      <w:pPr>
        <w:spacing w:after="0" w:line="240" w:lineRule="auto"/>
        <w:rPr>
          <w:rFonts w:eastAsia="Times New Roman" w:cs="Calibri"/>
          <w:lang w:val="en-US" w:eastAsia="fr-FR"/>
        </w:rPr>
      </w:pPr>
    </w:p>
    <w:p w14:paraId="02B795E5" w14:textId="77777777" w:rsidR="006F032B" w:rsidRDefault="00050815" w:rsidP="006F032B">
      <w:pPr>
        <w:jc w:val="center"/>
        <w:rPr>
          <w:rFonts w:eastAsia="Times New Roman" w:cs="Calibri"/>
          <w:i/>
          <w:iCs/>
          <w:color w:val="44546A"/>
          <w:sz w:val="20"/>
          <w:szCs w:val="20"/>
          <w:lang w:val="en-GB" w:eastAsia="fr-FR"/>
        </w:rPr>
      </w:pPr>
      <w:r w:rsidRPr="00050815">
        <w:rPr>
          <w:rFonts w:eastAsia="Times New Roman" w:cs="Calibri"/>
          <w:i/>
          <w:iCs/>
          <w:color w:val="44546A"/>
          <w:sz w:val="20"/>
          <w:szCs w:val="20"/>
          <w:lang w:val="en-GB" w:eastAsia="fr-FR"/>
        </w:rPr>
        <w:t xml:space="preserve">Source: Expert </w:t>
      </w:r>
      <w:r w:rsidR="00C34503">
        <w:rPr>
          <w:rFonts w:eastAsia="Times New Roman" w:cs="Calibri"/>
          <w:i/>
          <w:iCs/>
          <w:color w:val="44546A"/>
          <w:sz w:val="20"/>
          <w:szCs w:val="20"/>
          <w:lang w:val="en-GB" w:eastAsia="fr-FR"/>
        </w:rPr>
        <w:t>tea</w:t>
      </w:r>
      <w:r w:rsidR="006F032B">
        <w:rPr>
          <w:rFonts w:eastAsia="Times New Roman" w:cs="Calibri"/>
          <w:i/>
          <w:iCs/>
          <w:color w:val="44546A"/>
          <w:sz w:val="20"/>
          <w:szCs w:val="20"/>
          <w:lang w:val="en-GB" w:eastAsia="fr-FR"/>
        </w:rPr>
        <w:t>m</w:t>
      </w:r>
    </w:p>
    <w:p w14:paraId="64E8CD33" w14:textId="77777777" w:rsidR="002B126E" w:rsidRDefault="002B126E" w:rsidP="006F032B">
      <w:pPr>
        <w:jc w:val="center"/>
        <w:rPr>
          <w:rFonts w:eastAsia="Times New Roman" w:cs="Calibri"/>
          <w:i/>
          <w:iCs/>
          <w:color w:val="44546A"/>
          <w:sz w:val="20"/>
          <w:szCs w:val="20"/>
          <w:lang w:val="en-GB" w:eastAsia="fr-FR"/>
        </w:rPr>
      </w:pPr>
    </w:p>
    <w:p w14:paraId="4E68B39E" w14:textId="77777777" w:rsidR="00805C03" w:rsidRDefault="00805C03" w:rsidP="002B126E">
      <w:pPr>
        <w:pStyle w:val="Heading1"/>
        <w:numPr>
          <w:ilvl w:val="0"/>
          <w:numId w:val="88"/>
        </w:numPr>
        <w:jc w:val="both"/>
        <w:rPr>
          <w:lang w:val="en-GB"/>
        </w:rPr>
        <w:sectPr w:rsidR="00805C03" w:rsidSect="0073442C">
          <w:pgSz w:w="11906" w:h="16838"/>
          <w:pgMar w:top="1134" w:right="1418" w:bottom="1418" w:left="1418" w:header="709" w:footer="709" w:gutter="0"/>
          <w:cols w:space="708"/>
          <w:docGrid w:linePitch="360"/>
        </w:sectPr>
      </w:pPr>
      <w:bookmarkStart w:id="371" w:name="_Toc154757959"/>
    </w:p>
    <w:p w14:paraId="46193A33" w14:textId="61300D81" w:rsidR="002B126E" w:rsidRPr="00F15279" w:rsidRDefault="002B126E" w:rsidP="00805C03">
      <w:pPr>
        <w:pStyle w:val="Heading2"/>
        <w:numPr>
          <w:ilvl w:val="1"/>
          <w:numId w:val="88"/>
        </w:numPr>
        <w:spacing w:after="240"/>
        <w:rPr>
          <w:rFonts w:eastAsia="Times New Roman"/>
          <w:b/>
          <w:bCs/>
          <w:kern w:val="2"/>
          <w:sz w:val="28"/>
          <w:szCs w:val="28"/>
          <w:highlight w:val="yellow"/>
          <w:lang w:val="en-GB"/>
        </w:rPr>
      </w:pPr>
      <w:bookmarkStart w:id="372" w:name="_Toc169259013"/>
      <w:r w:rsidRPr="00F15279">
        <w:rPr>
          <w:highlight w:val="yellow"/>
          <w:lang w:val="en-GB"/>
        </w:rPr>
        <w:t>Illustrative expected market impact of the regulatory measures on both Wholesale market of local and central access at a fixed location and Wholesale mobile access market</w:t>
      </w:r>
      <w:bookmarkEnd w:id="371"/>
      <w:bookmarkEnd w:id="372"/>
    </w:p>
    <w:p w14:paraId="50DA9756" w14:textId="77777777" w:rsidR="002B126E" w:rsidRPr="00DE52AD" w:rsidRDefault="002B126E" w:rsidP="002B126E">
      <w:pPr>
        <w:spacing w:after="160" w:line="259" w:lineRule="auto"/>
        <w:jc w:val="center"/>
        <w:rPr>
          <w:rFonts w:eastAsia="Times New Roman"/>
          <w:b/>
          <w:bCs/>
          <w:kern w:val="2"/>
          <w:sz w:val="28"/>
          <w:szCs w:val="28"/>
          <w:lang w:val="en-GB"/>
        </w:rPr>
      </w:pPr>
      <w:r w:rsidRPr="00DE52AD">
        <w:rPr>
          <w:rFonts w:eastAsia="Times New Roman"/>
          <w:b/>
          <w:bCs/>
          <w:kern w:val="2"/>
          <w:sz w:val="28"/>
          <w:szCs w:val="28"/>
          <w:lang w:val="en-GB"/>
        </w:rPr>
        <w:t xml:space="preserve">Possible impacts from the </w:t>
      </w:r>
      <w:r w:rsidRPr="00C54DDA">
        <w:rPr>
          <w:rFonts w:eastAsia="Times New Roman"/>
          <w:b/>
          <w:bCs/>
          <w:i/>
          <w:iCs/>
          <w:kern w:val="2"/>
          <w:sz w:val="28"/>
          <w:szCs w:val="28"/>
          <w:lang w:val="en-GB"/>
        </w:rPr>
        <w:t>ex-ante</w:t>
      </w:r>
      <w:r w:rsidRPr="00DE52AD">
        <w:rPr>
          <w:rFonts w:eastAsia="Times New Roman"/>
          <w:b/>
          <w:bCs/>
          <w:kern w:val="2"/>
          <w:sz w:val="28"/>
          <w:szCs w:val="28"/>
          <w:lang w:val="en-GB"/>
        </w:rPr>
        <w:t xml:space="preserve"> regulatory interventions proposed in the holistic review of fixed and mobile markets</w:t>
      </w:r>
    </w:p>
    <w:tbl>
      <w:tblPr>
        <w:tblStyle w:val="Reetkatablice11"/>
        <w:tblW w:w="14182" w:type="dxa"/>
        <w:tblBorders>
          <w:top w:val="none" w:sz="0" w:space="0" w:color="auto"/>
          <w:left w:val="none" w:sz="0" w:space="0" w:color="auto"/>
        </w:tblBorders>
        <w:tblLayout w:type="fixed"/>
        <w:tblLook w:val="04A0" w:firstRow="1" w:lastRow="0" w:firstColumn="1" w:lastColumn="0" w:noHBand="0" w:noVBand="1"/>
      </w:tblPr>
      <w:tblGrid>
        <w:gridCol w:w="911"/>
        <w:gridCol w:w="2055"/>
        <w:gridCol w:w="2056"/>
        <w:gridCol w:w="2055"/>
        <w:gridCol w:w="2056"/>
        <w:gridCol w:w="2056"/>
        <w:gridCol w:w="2993"/>
      </w:tblGrid>
      <w:tr w:rsidR="002B126E" w:rsidRPr="00DE52AD" w14:paraId="541B6B3F" w14:textId="77777777" w:rsidTr="00F15279">
        <w:trPr>
          <w:trHeight w:val="650"/>
        </w:trPr>
        <w:tc>
          <w:tcPr>
            <w:tcW w:w="911" w:type="dxa"/>
            <w:tcBorders>
              <w:bottom w:val="single" w:sz="12" w:space="0" w:color="auto"/>
              <w:right w:val="single" w:sz="12" w:space="0" w:color="auto"/>
            </w:tcBorders>
          </w:tcPr>
          <w:p w14:paraId="6CEC8BCA" w14:textId="77777777" w:rsidR="002B126E" w:rsidRPr="00DE52AD" w:rsidRDefault="002B126E" w:rsidP="001E73D6">
            <w:pPr>
              <w:spacing w:after="0" w:line="240" w:lineRule="auto"/>
              <w:rPr>
                <w:rFonts w:eastAsia="Times New Roman"/>
                <w:lang w:val="en-GB"/>
              </w:rPr>
            </w:pPr>
          </w:p>
        </w:tc>
        <w:tc>
          <w:tcPr>
            <w:tcW w:w="2055" w:type="dxa"/>
            <w:tcBorders>
              <w:top w:val="single" w:sz="12" w:space="0" w:color="auto"/>
              <w:left w:val="single" w:sz="12" w:space="0" w:color="auto"/>
              <w:bottom w:val="single" w:sz="12" w:space="0" w:color="auto"/>
              <w:right w:val="single" w:sz="6" w:space="0" w:color="auto"/>
            </w:tcBorders>
            <w:shd w:val="clear" w:color="auto" w:fill="D0CECE"/>
          </w:tcPr>
          <w:p w14:paraId="49BBC483"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8"/>
                <w:szCs w:val="28"/>
                <w:lang w:val="en-GB"/>
              </w:rPr>
              <w:t>Magticom</w:t>
            </w:r>
          </w:p>
        </w:tc>
        <w:tc>
          <w:tcPr>
            <w:tcW w:w="2056" w:type="dxa"/>
            <w:tcBorders>
              <w:top w:val="single" w:sz="12" w:space="0" w:color="auto"/>
              <w:left w:val="single" w:sz="6" w:space="0" w:color="auto"/>
              <w:bottom w:val="single" w:sz="12" w:space="0" w:color="auto"/>
              <w:right w:val="single" w:sz="6" w:space="0" w:color="auto"/>
            </w:tcBorders>
            <w:shd w:val="clear" w:color="auto" w:fill="D0CECE"/>
          </w:tcPr>
          <w:p w14:paraId="436EA071"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8"/>
                <w:szCs w:val="28"/>
                <w:lang w:val="en-GB"/>
              </w:rPr>
              <w:t>Silknet</w:t>
            </w:r>
          </w:p>
        </w:tc>
        <w:tc>
          <w:tcPr>
            <w:tcW w:w="2055" w:type="dxa"/>
            <w:tcBorders>
              <w:top w:val="single" w:sz="12" w:space="0" w:color="auto"/>
              <w:left w:val="single" w:sz="6" w:space="0" w:color="auto"/>
              <w:bottom w:val="single" w:sz="12" w:space="0" w:color="auto"/>
              <w:right w:val="single" w:sz="6" w:space="0" w:color="auto"/>
            </w:tcBorders>
            <w:shd w:val="clear" w:color="auto" w:fill="D0CECE"/>
          </w:tcPr>
          <w:p w14:paraId="060DFA80"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8"/>
                <w:szCs w:val="28"/>
                <w:lang w:val="en-GB"/>
              </w:rPr>
              <w:t>Cellfie</w:t>
            </w:r>
          </w:p>
        </w:tc>
        <w:tc>
          <w:tcPr>
            <w:tcW w:w="2056" w:type="dxa"/>
            <w:tcBorders>
              <w:top w:val="single" w:sz="12" w:space="0" w:color="auto"/>
              <w:left w:val="single" w:sz="6" w:space="0" w:color="auto"/>
              <w:bottom w:val="single" w:sz="12" w:space="0" w:color="auto"/>
              <w:right w:val="single" w:sz="6" w:space="0" w:color="auto"/>
            </w:tcBorders>
            <w:shd w:val="clear" w:color="auto" w:fill="D0CECE"/>
          </w:tcPr>
          <w:p w14:paraId="614FC61B"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8"/>
                <w:szCs w:val="28"/>
                <w:lang w:val="en-GB"/>
              </w:rPr>
              <w:t>MVNOs</w:t>
            </w:r>
          </w:p>
        </w:tc>
        <w:tc>
          <w:tcPr>
            <w:tcW w:w="2056" w:type="dxa"/>
            <w:tcBorders>
              <w:top w:val="single" w:sz="12" w:space="0" w:color="auto"/>
              <w:left w:val="single" w:sz="6" w:space="0" w:color="auto"/>
              <w:bottom w:val="single" w:sz="12" w:space="0" w:color="auto"/>
              <w:right w:val="single" w:sz="6" w:space="0" w:color="auto"/>
            </w:tcBorders>
            <w:shd w:val="clear" w:color="auto" w:fill="D0CECE"/>
          </w:tcPr>
          <w:p w14:paraId="4C6FF032"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8"/>
                <w:szCs w:val="28"/>
                <w:lang w:val="en-GB"/>
              </w:rPr>
              <w:t>Fixed operators</w:t>
            </w:r>
          </w:p>
          <w:p w14:paraId="7D5E87B3"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4"/>
                <w:szCs w:val="24"/>
                <w:lang w:val="en-GB"/>
              </w:rPr>
              <w:t xml:space="preserve">(note 1) </w:t>
            </w:r>
          </w:p>
        </w:tc>
        <w:tc>
          <w:tcPr>
            <w:tcW w:w="2993" w:type="dxa"/>
            <w:tcBorders>
              <w:top w:val="single" w:sz="12" w:space="0" w:color="auto"/>
              <w:left w:val="single" w:sz="6" w:space="0" w:color="auto"/>
              <w:bottom w:val="single" w:sz="12" w:space="0" w:color="auto"/>
              <w:right w:val="single" w:sz="12" w:space="0" w:color="auto"/>
            </w:tcBorders>
            <w:shd w:val="clear" w:color="auto" w:fill="F7CAAC"/>
          </w:tcPr>
          <w:p w14:paraId="2E88E08E" w14:textId="77777777" w:rsidR="002B126E" w:rsidRPr="00DE52AD" w:rsidRDefault="002B126E" w:rsidP="001E73D6">
            <w:pPr>
              <w:spacing w:after="0" w:line="240" w:lineRule="auto"/>
              <w:jc w:val="center"/>
              <w:rPr>
                <w:rFonts w:eastAsia="Times New Roman"/>
                <w:b/>
                <w:bCs/>
                <w:sz w:val="28"/>
                <w:szCs w:val="28"/>
                <w:lang w:val="en-GB"/>
              </w:rPr>
            </w:pPr>
            <w:r w:rsidRPr="00DE52AD">
              <w:rPr>
                <w:rFonts w:eastAsia="Times New Roman"/>
                <w:b/>
                <w:bCs/>
                <w:sz w:val="28"/>
                <w:szCs w:val="28"/>
                <w:lang w:val="en-GB"/>
              </w:rPr>
              <w:t>OVERALL IMPACT</w:t>
            </w:r>
          </w:p>
        </w:tc>
      </w:tr>
      <w:tr w:rsidR="002B126E" w:rsidRPr="00EC7480" w14:paraId="7A343018" w14:textId="77777777" w:rsidTr="00F15279">
        <w:trPr>
          <w:cantSplit/>
          <w:trHeight w:val="1155"/>
        </w:trPr>
        <w:tc>
          <w:tcPr>
            <w:tcW w:w="911" w:type="dxa"/>
            <w:tcBorders>
              <w:top w:val="single" w:sz="12" w:space="0" w:color="auto"/>
              <w:left w:val="single" w:sz="12" w:space="0" w:color="auto"/>
              <w:bottom w:val="single" w:sz="6" w:space="0" w:color="auto"/>
              <w:right w:val="single" w:sz="12" w:space="0" w:color="auto"/>
            </w:tcBorders>
            <w:shd w:val="clear" w:color="auto" w:fill="F7CAAC"/>
            <w:textDirection w:val="btLr"/>
          </w:tcPr>
          <w:p w14:paraId="3AEE2A8D" w14:textId="77777777" w:rsidR="002B126E" w:rsidRPr="00DE52AD" w:rsidRDefault="002B126E" w:rsidP="001E73D6">
            <w:pPr>
              <w:spacing w:after="0" w:line="240" w:lineRule="auto"/>
              <w:ind w:left="113" w:right="113"/>
              <w:jc w:val="center"/>
              <w:rPr>
                <w:rFonts w:eastAsia="Times New Roman"/>
                <w:b/>
                <w:bCs/>
                <w:lang w:val="en-GB"/>
              </w:rPr>
            </w:pPr>
            <w:r w:rsidRPr="00DE52AD">
              <w:rPr>
                <w:rFonts w:eastAsia="Times New Roman"/>
                <w:b/>
                <w:bCs/>
                <w:sz w:val="32"/>
                <w:szCs w:val="32"/>
                <w:lang w:val="en-GB"/>
              </w:rPr>
              <w:t xml:space="preserve">Opportunities </w:t>
            </w:r>
          </w:p>
        </w:tc>
        <w:tc>
          <w:tcPr>
            <w:tcW w:w="2055" w:type="dxa"/>
            <w:tcBorders>
              <w:top w:val="single" w:sz="12" w:space="0" w:color="auto"/>
              <w:left w:val="single" w:sz="12" w:space="0" w:color="auto"/>
              <w:bottom w:val="single" w:sz="6" w:space="0" w:color="auto"/>
              <w:right w:val="single" w:sz="6" w:space="0" w:color="auto"/>
            </w:tcBorders>
          </w:tcPr>
          <w:p w14:paraId="5DE334D1" w14:textId="77777777" w:rsidR="002B126E" w:rsidRPr="00DE52AD" w:rsidRDefault="002B126E" w:rsidP="001E73D6">
            <w:pPr>
              <w:spacing w:after="0" w:line="240" w:lineRule="auto"/>
              <w:rPr>
                <w:rFonts w:eastAsia="Times New Roman"/>
                <w:lang w:val="en-GB"/>
              </w:rPr>
            </w:pPr>
            <w:r w:rsidRPr="00DE52AD">
              <w:rPr>
                <w:rFonts w:eastAsia="Times New Roman"/>
                <w:lang w:val="en-GB"/>
              </w:rPr>
              <w:t xml:space="preserve">Potential to generate wholesale revenues (MVNO, national roaming, </w:t>
            </w:r>
            <w:r>
              <w:rPr>
                <w:rFonts w:eastAsia="Times New Roman"/>
                <w:lang w:val="en-GB"/>
              </w:rPr>
              <w:t>co-location</w:t>
            </w:r>
            <w:r w:rsidRPr="00DE52AD">
              <w:rPr>
                <w:rFonts w:eastAsia="Times New Roman"/>
                <w:lang w:val="en-GB"/>
              </w:rPr>
              <w:t>, bitstream) in addition to their own retail sales (See note 2)</w:t>
            </w:r>
          </w:p>
          <w:p w14:paraId="706E2EB5" w14:textId="77777777" w:rsidR="002B126E" w:rsidRPr="00DE52AD" w:rsidRDefault="002B126E" w:rsidP="001E73D6">
            <w:pPr>
              <w:spacing w:after="0" w:line="240" w:lineRule="auto"/>
              <w:rPr>
                <w:rFonts w:eastAsia="Times New Roman"/>
                <w:lang w:val="en-GB"/>
              </w:rPr>
            </w:pPr>
          </w:p>
          <w:p w14:paraId="4E02CE76" w14:textId="77777777" w:rsidR="002B126E" w:rsidRPr="00DE52AD" w:rsidRDefault="002B126E" w:rsidP="001E73D6">
            <w:pPr>
              <w:spacing w:after="0" w:line="240" w:lineRule="auto"/>
              <w:rPr>
                <w:rFonts w:eastAsia="Times New Roman"/>
                <w:lang w:val="en-GB"/>
              </w:rPr>
            </w:pPr>
          </w:p>
        </w:tc>
        <w:tc>
          <w:tcPr>
            <w:tcW w:w="2056" w:type="dxa"/>
            <w:tcBorders>
              <w:top w:val="single" w:sz="12" w:space="0" w:color="auto"/>
              <w:left w:val="single" w:sz="6" w:space="0" w:color="auto"/>
              <w:bottom w:val="single" w:sz="6" w:space="0" w:color="auto"/>
              <w:right w:val="single" w:sz="6" w:space="0" w:color="auto"/>
            </w:tcBorders>
          </w:tcPr>
          <w:p w14:paraId="5CB776AF" w14:textId="77777777" w:rsidR="002B126E" w:rsidRPr="00DE52AD" w:rsidRDefault="002B126E" w:rsidP="001E73D6">
            <w:pPr>
              <w:spacing w:after="0" w:line="240" w:lineRule="auto"/>
              <w:rPr>
                <w:rFonts w:eastAsia="Times New Roman"/>
                <w:lang w:val="en-GB"/>
              </w:rPr>
            </w:pPr>
            <w:r w:rsidRPr="00DE52AD">
              <w:rPr>
                <w:rFonts w:eastAsia="Times New Roman"/>
                <w:lang w:val="en-GB"/>
              </w:rPr>
              <w:t xml:space="preserve">Potential to compete in a developing wholesale market by offering MVNO access, national roaming, </w:t>
            </w:r>
            <w:r>
              <w:rPr>
                <w:rFonts w:eastAsia="Times New Roman"/>
                <w:lang w:val="en-GB"/>
              </w:rPr>
              <w:t>co-location</w:t>
            </w:r>
            <w:r w:rsidRPr="00DE52AD">
              <w:rPr>
                <w:rFonts w:eastAsia="Times New Roman"/>
                <w:lang w:val="en-GB"/>
              </w:rPr>
              <w:t xml:space="preserve"> and bitstream.</w:t>
            </w:r>
          </w:p>
          <w:p w14:paraId="0550EE0C" w14:textId="77777777" w:rsidR="002B126E" w:rsidRPr="00DE52AD" w:rsidRDefault="002B126E" w:rsidP="001E73D6">
            <w:pPr>
              <w:spacing w:after="0" w:line="240" w:lineRule="auto"/>
              <w:rPr>
                <w:rFonts w:eastAsia="Times New Roman"/>
                <w:lang w:val="en-GB"/>
              </w:rPr>
            </w:pPr>
            <w:r w:rsidRPr="00DE52AD">
              <w:rPr>
                <w:rFonts w:eastAsia="Times New Roman"/>
                <w:lang w:val="en-GB"/>
              </w:rPr>
              <w:t>Potential to expand fixed market coverage using bitstream access (See note 3)</w:t>
            </w:r>
          </w:p>
        </w:tc>
        <w:tc>
          <w:tcPr>
            <w:tcW w:w="2055" w:type="dxa"/>
            <w:tcBorders>
              <w:top w:val="single" w:sz="12" w:space="0" w:color="auto"/>
              <w:left w:val="single" w:sz="6" w:space="0" w:color="auto"/>
              <w:bottom w:val="single" w:sz="6" w:space="0" w:color="auto"/>
              <w:right w:val="single" w:sz="6" w:space="0" w:color="auto"/>
            </w:tcBorders>
          </w:tcPr>
          <w:p w14:paraId="0CC8E701" w14:textId="77777777" w:rsidR="002B126E" w:rsidRPr="00DE52AD" w:rsidRDefault="002B126E" w:rsidP="001E73D6">
            <w:pPr>
              <w:spacing w:after="0" w:line="240" w:lineRule="auto"/>
              <w:rPr>
                <w:rFonts w:eastAsia="Times New Roman"/>
                <w:lang w:val="en-GB"/>
              </w:rPr>
            </w:pPr>
            <w:r w:rsidRPr="00DE52AD">
              <w:rPr>
                <w:rFonts w:eastAsia="Times New Roman"/>
                <w:lang w:val="en-GB"/>
              </w:rPr>
              <w:t xml:space="preserve">Ability to improve mobile network cost efficiency and increase revenues </w:t>
            </w:r>
            <w:r>
              <w:rPr>
                <w:rFonts w:eastAsia="Times New Roman"/>
                <w:lang w:val="en-GB"/>
              </w:rPr>
              <w:t>by using</w:t>
            </w:r>
            <w:r w:rsidRPr="00DE52AD">
              <w:rPr>
                <w:rFonts w:eastAsia="Times New Roman"/>
                <w:lang w:val="en-GB"/>
              </w:rPr>
              <w:t xml:space="preserve"> national roaming and co-location.</w:t>
            </w:r>
          </w:p>
          <w:p w14:paraId="1252BE06" w14:textId="77777777" w:rsidR="002B126E" w:rsidRPr="00DE52AD" w:rsidRDefault="002B126E" w:rsidP="001E73D6">
            <w:pPr>
              <w:spacing w:after="0" w:line="240" w:lineRule="auto"/>
              <w:rPr>
                <w:rFonts w:eastAsia="Times New Roman"/>
                <w:lang w:val="en-GB"/>
              </w:rPr>
            </w:pPr>
            <w:r w:rsidRPr="00DE52AD">
              <w:rPr>
                <w:rFonts w:eastAsia="Times New Roman"/>
                <w:lang w:val="en-GB"/>
              </w:rPr>
              <w:t>Ability to enter fixed broadband market using bitstream access and thereby to offer converged fixed/ mobile bundles</w:t>
            </w:r>
          </w:p>
        </w:tc>
        <w:tc>
          <w:tcPr>
            <w:tcW w:w="2056" w:type="dxa"/>
            <w:tcBorders>
              <w:top w:val="single" w:sz="12" w:space="0" w:color="auto"/>
              <w:left w:val="single" w:sz="6" w:space="0" w:color="auto"/>
              <w:bottom w:val="single" w:sz="6" w:space="0" w:color="auto"/>
              <w:right w:val="single" w:sz="6" w:space="0" w:color="auto"/>
            </w:tcBorders>
          </w:tcPr>
          <w:p w14:paraId="0B50A98D" w14:textId="77777777" w:rsidR="002B126E" w:rsidRPr="00DE52AD" w:rsidRDefault="002B126E" w:rsidP="001E73D6">
            <w:pPr>
              <w:spacing w:after="0" w:line="240" w:lineRule="auto"/>
              <w:rPr>
                <w:rFonts w:eastAsia="Times New Roman"/>
                <w:lang w:val="en-GB"/>
              </w:rPr>
            </w:pPr>
            <w:r w:rsidRPr="00DE52AD">
              <w:rPr>
                <w:rFonts w:eastAsia="Times New Roman"/>
                <w:lang w:val="en-GB"/>
              </w:rPr>
              <w:t>Ability to bring innovative new mobile products to the market, for example to respond to specific market niches.</w:t>
            </w:r>
          </w:p>
          <w:p w14:paraId="308530A2" w14:textId="77777777" w:rsidR="002B126E" w:rsidRPr="00DE52AD" w:rsidRDefault="002B126E" w:rsidP="001E73D6">
            <w:pPr>
              <w:spacing w:after="0" w:line="240" w:lineRule="auto"/>
              <w:rPr>
                <w:rFonts w:eastAsia="Times New Roman"/>
                <w:lang w:val="en-GB"/>
              </w:rPr>
            </w:pPr>
            <w:r w:rsidRPr="00DE52AD">
              <w:rPr>
                <w:rFonts w:eastAsia="Times New Roman"/>
                <w:lang w:val="en-GB"/>
              </w:rPr>
              <w:t xml:space="preserve">Opportunities also for MVNEs and MVNAs to leverage this market (See note 4) </w:t>
            </w:r>
          </w:p>
        </w:tc>
        <w:tc>
          <w:tcPr>
            <w:tcW w:w="2056" w:type="dxa"/>
            <w:tcBorders>
              <w:top w:val="single" w:sz="12" w:space="0" w:color="auto"/>
              <w:left w:val="single" w:sz="6" w:space="0" w:color="auto"/>
              <w:bottom w:val="single" w:sz="6" w:space="0" w:color="auto"/>
              <w:right w:val="single" w:sz="6" w:space="0" w:color="auto"/>
            </w:tcBorders>
          </w:tcPr>
          <w:p w14:paraId="00A7895A" w14:textId="77777777" w:rsidR="002B126E" w:rsidRPr="00DE52AD" w:rsidRDefault="002B126E" w:rsidP="001E73D6">
            <w:pPr>
              <w:spacing w:after="0" w:line="240" w:lineRule="auto"/>
              <w:rPr>
                <w:rFonts w:eastAsia="Times New Roman"/>
                <w:lang w:val="en-GB"/>
              </w:rPr>
            </w:pPr>
            <w:r w:rsidRPr="00DE52AD">
              <w:rPr>
                <w:rFonts w:eastAsia="Times New Roman"/>
                <w:lang w:val="en-GB"/>
              </w:rPr>
              <w:t xml:space="preserve">Ability to expand geographical market coverage using </w:t>
            </w:r>
            <w:r>
              <w:rPr>
                <w:rFonts w:eastAsia="Times New Roman"/>
                <w:lang w:val="en-GB"/>
              </w:rPr>
              <w:t>fixed wholesale access services</w:t>
            </w:r>
            <w:r w:rsidRPr="00DE52AD">
              <w:rPr>
                <w:rFonts w:eastAsia="Times New Roman"/>
                <w:lang w:val="en-GB"/>
              </w:rPr>
              <w:t>.</w:t>
            </w:r>
          </w:p>
          <w:p w14:paraId="364CF4A6" w14:textId="77777777" w:rsidR="002B126E" w:rsidRPr="00DE52AD" w:rsidRDefault="002B126E" w:rsidP="001E73D6">
            <w:pPr>
              <w:spacing w:after="0" w:line="240" w:lineRule="auto"/>
              <w:rPr>
                <w:rFonts w:eastAsia="Times New Roman"/>
                <w:lang w:val="en-GB"/>
              </w:rPr>
            </w:pPr>
            <w:r w:rsidRPr="00DE52AD">
              <w:rPr>
                <w:rFonts w:eastAsia="Times New Roman"/>
                <w:lang w:val="en-GB"/>
              </w:rPr>
              <w:t>Ability to enter mobile market via MVNO access and thereby to offer fixed/ mobile bundles</w:t>
            </w:r>
          </w:p>
          <w:p w14:paraId="41524B90" w14:textId="77777777" w:rsidR="002B126E" w:rsidRPr="00DE52AD" w:rsidRDefault="002B126E" w:rsidP="001E73D6">
            <w:pPr>
              <w:spacing w:after="0" w:line="240" w:lineRule="auto"/>
              <w:rPr>
                <w:rFonts w:eastAsia="Times New Roman"/>
                <w:lang w:val="en-GB"/>
              </w:rPr>
            </w:pPr>
          </w:p>
        </w:tc>
        <w:tc>
          <w:tcPr>
            <w:tcW w:w="2993" w:type="dxa"/>
            <w:tcBorders>
              <w:top w:val="single" w:sz="12" w:space="0" w:color="auto"/>
              <w:left w:val="single" w:sz="6" w:space="0" w:color="auto"/>
              <w:bottom w:val="single" w:sz="6" w:space="0" w:color="auto"/>
              <w:right w:val="single" w:sz="12" w:space="0" w:color="auto"/>
            </w:tcBorders>
            <w:shd w:val="clear" w:color="auto" w:fill="F7CAAC"/>
          </w:tcPr>
          <w:p w14:paraId="0D29AEA7" w14:textId="77777777" w:rsidR="002B126E" w:rsidRPr="00DE52AD" w:rsidRDefault="002B126E" w:rsidP="001E73D6">
            <w:pPr>
              <w:spacing w:after="0" w:line="240" w:lineRule="auto"/>
              <w:rPr>
                <w:rFonts w:eastAsia="Times New Roman"/>
                <w:lang w:val="en-GB"/>
              </w:rPr>
            </w:pPr>
            <w:r w:rsidRPr="00DE52AD">
              <w:rPr>
                <w:rFonts w:eastAsia="Times New Roman"/>
                <w:lang w:val="en-GB"/>
              </w:rPr>
              <w:t>Existing and new market players can enter and increase their product ranges and market coverage without facing the current significant barriers (a level playing field).</w:t>
            </w:r>
          </w:p>
          <w:p w14:paraId="131E0042" w14:textId="77777777" w:rsidR="002B126E" w:rsidRPr="00DE52AD" w:rsidRDefault="002B126E" w:rsidP="001E73D6">
            <w:pPr>
              <w:spacing w:after="0" w:line="240" w:lineRule="auto"/>
              <w:rPr>
                <w:rFonts w:eastAsia="Times New Roman"/>
                <w:lang w:val="en-GB"/>
              </w:rPr>
            </w:pPr>
          </w:p>
          <w:p w14:paraId="00FC9150" w14:textId="77777777" w:rsidR="002B126E" w:rsidRDefault="002B126E" w:rsidP="001E73D6">
            <w:pPr>
              <w:spacing w:after="0" w:line="240" w:lineRule="auto"/>
              <w:rPr>
                <w:rFonts w:eastAsia="Times New Roman"/>
                <w:b/>
                <w:bCs/>
                <w:lang w:val="en-GB"/>
              </w:rPr>
            </w:pPr>
            <w:r w:rsidRPr="00DE52AD">
              <w:rPr>
                <w:rFonts w:eastAsia="Times New Roman"/>
                <w:b/>
                <w:bCs/>
                <w:lang w:val="en-GB"/>
              </w:rPr>
              <w:t>= GREATER COMPETITION</w:t>
            </w:r>
          </w:p>
          <w:p w14:paraId="745F596A" w14:textId="77777777" w:rsidR="002B126E" w:rsidRPr="00C81A0B" w:rsidRDefault="002B126E" w:rsidP="001E73D6">
            <w:pPr>
              <w:spacing w:after="0" w:line="240" w:lineRule="auto"/>
              <w:rPr>
                <w:rFonts w:eastAsia="Times New Roman"/>
                <w:lang w:val="en-GB"/>
              </w:rPr>
            </w:pPr>
            <w:r w:rsidRPr="00C81A0B">
              <w:rPr>
                <w:rFonts w:eastAsia="Times New Roman"/>
                <w:lang w:val="en-GB"/>
              </w:rPr>
              <w:t xml:space="preserve">Greater competition will improve customer </w:t>
            </w:r>
            <w:r>
              <w:rPr>
                <w:rFonts w:eastAsia="Times New Roman"/>
                <w:lang w:val="en-GB"/>
              </w:rPr>
              <w:t>choice and value</w:t>
            </w:r>
            <w:r w:rsidRPr="00C81A0B">
              <w:rPr>
                <w:rFonts w:eastAsia="Times New Roman"/>
                <w:lang w:val="en-GB"/>
              </w:rPr>
              <w:t xml:space="preserve"> with increased quality and lower prices.</w:t>
            </w:r>
          </w:p>
          <w:p w14:paraId="08F62FEC" w14:textId="77777777" w:rsidR="002B126E" w:rsidRPr="00DE52AD" w:rsidRDefault="002B126E" w:rsidP="001E73D6">
            <w:pPr>
              <w:spacing w:after="0" w:line="240" w:lineRule="auto"/>
              <w:rPr>
                <w:rFonts w:eastAsia="Times New Roman"/>
                <w:b/>
                <w:bCs/>
                <w:lang w:val="en-GB"/>
              </w:rPr>
            </w:pPr>
          </w:p>
          <w:p w14:paraId="67992BDA" w14:textId="77777777" w:rsidR="002B126E" w:rsidRPr="00DE52AD" w:rsidRDefault="002B126E" w:rsidP="001E73D6">
            <w:pPr>
              <w:spacing w:after="0" w:line="240" w:lineRule="auto"/>
              <w:rPr>
                <w:rFonts w:eastAsia="Times New Roman"/>
                <w:b/>
                <w:bCs/>
                <w:lang w:val="en-GB"/>
              </w:rPr>
            </w:pPr>
            <w:r w:rsidRPr="00DE52AD">
              <w:rPr>
                <w:rFonts w:eastAsia="Times New Roman"/>
                <w:b/>
                <w:bCs/>
                <w:lang w:val="en-GB"/>
              </w:rPr>
              <w:t>See the attached Scenarios illustrating the range of outcomes</w:t>
            </w:r>
          </w:p>
        </w:tc>
      </w:tr>
      <w:tr w:rsidR="002B126E" w:rsidRPr="00EC7480" w14:paraId="0E3A7D51" w14:textId="77777777" w:rsidTr="00F15279">
        <w:trPr>
          <w:cantSplit/>
          <w:trHeight w:val="1155"/>
        </w:trPr>
        <w:tc>
          <w:tcPr>
            <w:tcW w:w="911" w:type="dxa"/>
            <w:tcBorders>
              <w:top w:val="single" w:sz="6" w:space="0" w:color="auto"/>
              <w:left w:val="single" w:sz="12" w:space="0" w:color="auto"/>
              <w:bottom w:val="single" w:sz="12" w:space="0" w:color="auto"/>
              <w:right w:val="single" w:sz="12" w:space="0" w:color="auto"/>
            </w:tcBorders>
            <w:shd w:val="clear" w:color="auto" w:fill="F7CAAC"/>
            <w:textDirection w:val="btLr"/>
          </w:tcPr>
          <w:p w14:paraId="3F260A1F" w14:textId="77777777" w:rsidR="002B126E" w:rsidRPr="00DE52AD" w:rsidRDefault="002B126E" w:rsidP="001E73D6">
            <w:pPr>
              <w:spacing w:after="0" w:line="240" w:lineRule="auto"/>
              <w:ind w:left="113" w:right="113"/>
              <w:jc w:val="center"/>
              <w:rPr>
                <w:rFonts w:eastAsia="Times New Roman"/>
                <w:b/>
                <w:bCs/>
                <w:lang w:val="en-GB"/>
              </w:rPr>
            </w:pPr>
            <w:r w:rsidRPr="00DE52AD">
              <w:rPr>
                <w:rFonts w:eastAsia="Times New Roman"/>
                <w:b/>
                <w:bCs/>
                <w:sz w:val="32"/>
                <w:szCs w:val="32"/>
                <w:lang w:val="en-GB"/>
              </w:rPr>
              <w:t>Risks</w:t>
            </w:r>
          </w:p>
        </w:tc>
        <w:tc>
          <w:tcPr>
            <w:tcW w:w="2055" w:type="dxa"/>
            <w:tcBorders>
              <w:top w:val="single" w:sz="6" w:space="0" w:color="auto"/>
              <w:left w:val="single" w:sz="12" w:space="0" w:color="auto"/>
              <w:bottom w:val="single" w:sz="12" w:space="0" w:color="auto"/>
              <w:right w:val="single" w:sz="6" w:space="0" w:color="auto"/>
            </w:tcBorders>
          </w:tcPr>
          <w:p w14:paraId="315F156A" w14:textId="77777777" w:rsidR="002B126E" w:rsidRPr="00DE52AD" w:rsidRDefault="002B126E" w:rsidP="001E73D6">
            <w:pPr>
              <w:spacing w:after="0" w:line="240" w:lineRule="auto"/>
              <w:rPr>
                <w:rFonts w:eastAsia="Times New Roman"/>
                <w:lang w:val="en-GB"/>
              </w:rPr>
            </w:pPr>
            <w:r w:rsidRPr="00DE52AD">
              <w:rPr>
                <w:rFonts w:eastAsia="Times New Roman"/>
                <w:lang w:val="en-GB"/>
              </w:rPr>
              <w:t>Cost of implementing and complying with regulations.</w:t>
            </w:r>
          </w:p>
          <w:p w14:paraId="27C5484B" w14:textId="77777777" w:rsidR="002B126E" w:rsidRPr="00DE52AD" w:rsidRDefault="002B126E" w:rsidP="001E73D6">
            <w:pPr>
              <w:spacing w:after="0" w:line="240" w:lineRule="auto"/>
              <w:rPr>
                <w:rFonts w:eastAsia="Times New Roman"/>
                <w:lang w:val="en-GB"/>
              </w:rPr>
            </w:pPr>
            <w:r w:rsidRPr="00DE52AD">
              <w:rPr>
                <w:rFonts w:eastAsia="Times New Roman"/>
                <w:lang w:val="en-GB"/>
              </w:rPr>
              <w:t>Some ‘cannibalisation’ of market share, but mitigated by new wholesale revenues and market growth</w:t>
            </w:r>
          </w:p>
        </w:tc>
        <w:tc>
          <w:tcPr>
            <w:tcW w:w="2056" w:type="dxa"/>
            <w:tcBorders>
              <w:top w:val="single" w:sz="6" w:space="0" w:color="auto"/>
              <w:left w:val="single" w:sz="6" w:space="0" w:color="auto"/>
              <w:bottom w:val="single" w:sz="12" w:space="0" w:color="auto"/>
              <w:right w:val="single" w:sz="6" w:space="0" w:color="auto"/>
            </w:tcBorders>
          </w:tcPr>
          <w:p w14:paraId="56733558" w14:textId="77777777" w:rsidR="002B126E" w:rsidRPr="00DE52AD" w:rsidRDefault="002B126E" w:rsidP="001E73D6">
            <w:pPr>
              <w:spacing w:after="0" w:line="240" w:lineRule="auto"/>
              <w:rPr>
                <w:rFonts w:eastAsia="Times New Roman"/>
                <w:lang w:val="en-GB"/>
              </w:rPr>
            </w:pPr>
            <w:r w:rsidRPr="00DE52AD">
              <w:rPr>
                <w:rFonts w:eastAsia="Times New Roman"/>
                <w:lang w:val="en-GB"/>
              </w:rPr>
              <w:t>Loss of some retail market share, but mitigated by overall market growth stimulated by new offers</w:t>
            </w:r>
          </w:p>
          <w:p w14:paraId="1CD2517B" w14:textId="77777777" w:rsidR="002B126E" w:rsidRPr="00DE52AD" w:rsidRDefault="002B126E" w:rsidP="001E73D6">
            <w:pPr>
              <w:spacing w:after="0" w:line="240" w:lineRule="auto"/>
              <w:rPr>
                <w:rFonts w:eastAsia="Times New Roman"/>
                <w:lang w:val="en-GB"/>
              </w:rPr>
            </w:pPr>
          </w:p>
        </w:tc>
        <w:tc>
          <w:tcPr>
            <w:tcW w:w="2055" w:type="dxa"/>
            <w:tcBorders>
              <w:top w:val="single" w:sz="6" w:space="0" w:color="auto"/>
              <w:left w:val="single" w:sz="6" w:space="0" w:color="auto"/>
              <w:bottom w:val="single" w:sz="12" w:space="0" w:color="auto"/>
              <w:right w:val="single" w:sz="6" w:space="0" w:color="auto"/>
            </w:tcBorders>
          </w:tcPr>
          <w:p w14:paraId="4B8C8D5C" w14:textId="77777777" w:rsidR="002B126E" w:rsidRPr="00DE52AD" w:rsidRDefault="002B126E" w:rsidP="001E73D6">
            <w:pPr>
              <w:spacing w:after="0" w:line="240" w:lineRule="auto"/>
              <w:rPr>
                <w:rFonts w:eastAsia="Times New Roman"/>
                <w:lang w:val="en-GB"/>
              </w:rPr>
            </w:pPr>
            <w:r w:rsidRPr="00DE52AD">
              <w:rPr>
                <w:rFonts w:eastAsia="Times New Roman"/>
                <w:lang w:val="en-GB"/>
              </w:rPr>
              <w:t>Loss of some retail mobile market share to MVNO operators but mitigated by new market opportunities and mobile network cost reductions</w:t>
            </w:r>
          </w:p>
        </w:tc>
        <w:tc>
          <w:tcPr>
            <w:tcW w:w="2056" w:type="dxa"/>
            <w:tcBorders>
              <w:top w:val="single" w:sz="6" w:space="0" w:color="auto"/>
              <w:left w:val="single" w:sz="6" w:space="0" w:color="auto"/>
              <w:bottom w:val="single" w:sz="12" w:space="0" w:color="auto"/>
              <w:right w:val="single" w:sz="6" w:space="0" w:color="auto"/>
            </w:tcBorders>
          </w:tcPr>
          <w:p w14:paraId="6A17ECAB" w14:textId="77777777" w:rsidR="002B126E" w:rsidRPr="00DE52AD" w:rsidRDefault="002B126E" w:rsidP="001E73D6">
            <w:pPr>
              <w:spacing w:after="0" w:line="240" w:lineRule="auto"/>
              <w:rPr>
                <w:rFonts w:eastAsia="Times New Roman"/>
                <w:lang w:val="en-GB"/>
              </w:rPr>
            </w:pPr>
          </w:p>
        </w:tc>
        <w:tc>
          <w:tcPr>
            <w:tcW w:w="2056" w:type="dxa"/>
            <w:tcBorders>
              <w:top w:val="single" w:sz="6" w:space="0" w:color="auto"/>
              <w:left w:val="single" w:sz="6" w:space="0" w:color="auto"/>
              <w:bottom w:val="single" w:sz="12" w:space="0" w:color="auto"/>
              <w:right w:val="single" w:sz="6" w:space="0" w:color="auto"/>
            </w:tcBorders>
          </w:tcPr>
          <w:p w14:paraId="32DF4BB1" w14:textId="77777777" w:rsidR="002B126E" w:rsidRPr="00DE52AD" w:rsidRDefault="002B126E" w:rsidP="001E73D6">
            <w:pPr>
              <w:spacing w:after="0" w:line="240" w:lineRule="auto"/>
              <w:rPr>
                <w:rFonts w:eastAsia="Times New Roman"/>
                <w:lang w:val="en-GB"/>
              </w:rPr>
            </w:pPr>
          </w:p>
        </w:tc>
        <w:tc>
          <w:tcPr>
            <w:tcW w:w="2993" w:type="dxa"/>
            <w:tcBorders>
              <w:top w:val="single" w:sz="6" w:space="0" w:color="auto"/>
              <w:left w:val="single" w:sz="6" w:space="0" w:color="auto"/>
              <w:bottom w:val="single" w:sz="12" w:space="0" w:color="auto"/>
              <w:right w:val="single" w:sz="12" w:space="0" w:color="auto"/>
            </w:tcBorders>
            <w:shd w:val="clear" w:color="auto" w:fill="F7CAAC"/>
          </w:tcPr>
          <w:p w14:paraId="3B678A89" w14:textId="77777777" w:rsidR="002B126E" w:rsidRPr="00DE52AD" w:rsidRDefault="002B126E" w:rsidP="001E73D6">
            <w:pPr>
              <w:spacing w:after="0" w:line="240" w:lineRule="auto"/>
              <w:rPr>
                <w:rFonts w:eastAsia="Times New Roman"/>
                <w:lang w:val="en-GB"/>
              </w:rPr>
            </w:pPr>
            <w:r w:rsidRPr="00DE52AD">
              <w:rPr>
                <w:rFonts w:eastAsia="Times New Roman"/>
                <w:lang w:val="en-GB"/>
              </w:rPr>
              <w:t>The loss of retail market share by the two large players could be mitigated by an overall increase in revenues in the sector, stimulated by new offers</w:t>
            </w:r>
            <w:r>
              <w:rPr>
                <w:rFonts w:eastAsia="Times New Roman"/>
                <w:lang w:val="en-GB"/>
              </w:rPr>
              <w:t xml:space="preserve"> </w:t>
            </w:r>
          </w:p>
        </w:tc>
      </w:tr>
    </w:tbl>
    <w:p w14:paraId="51E11344" w14:textId="77777777" w:rsidR="00805C03" w:rsidRDefault="00805C03" w:rsidP="002B126E">
      <w:pPr>
        <w:spacing w:after="120" w:line="240" w:lineRule="auto"/>
        <w:jc w:val="both"/>
        <w:rPr>
          <w:rFonts w:eastAsia="Times New Roman"/>
          <w:kern w:val="2"/>
          <w:lang w:val="en-GB"/>
        </w:rPr>
      </w:pPr>
    </w:p>
    <w:p w14:paraId="74E65434" w14:textId="218DA434" w:rsidR="002B126E" w:rsidRPr="00DE52AD" w:rsidRDefault="002B126E" w:rsidP="002B126E">
      <w:pPr>
        <w:spacing w:after="120" w:line="240" w:lineRule="auto"/>
        <w:jc w:val="both"/>
        <w:rPr>
          <w:rFonts w:eastAsia="Times New Roman"/>
          <w:kern w:val="2"/>
          <w:lang w:val="en-GB"/>
        </w:rPr>
      </w:pPr>
      <w:r w:rsidRPr="00DE52AD">
        <w:rPr>
          <w:rFonts w:eastAsia="Times New Roman"/>
          <w:kern w:val="2"/>
          <w:lang w:val="en-GB"/>
        </w:rPr>
        <w:t>Note 1: This column includes existing and possible new entrant fixed operators</w:t>
      </w:r>
    </w:p>
    <w:p w14:paraId="43394F8B" w14:textId="77777777" w:rsidR="002B126E" w:rsidRPr="00DE52AD" w:rsidRDefault="002B126E" w:rsidP="002B126E">
      <w:pPr>
        <w:spacing w:after="120" w:line="240" w:lineRule="auto"/>
        <w:jc w:val="both"/>
        <w:rPr>
          <w:rFonts w:eastAsia="Times New Roman"/>
          <w:kern w:val="2"/>
          <w:lang w:val="en-GB"/>
        </w:rPr>
      </w:pPr>
      <w:r w:rsidRPr="00DE52AD">
        <w:rPr>
          <w:rFonts w:eastAsia="Times New Roman"/>
          <w:kern w:val="2"/>
          <w:lang w:val="en-GB"/>
        </w:rPr>
        <w:t>Note 2: Magticom’s ability to generate additional profits from wholesale business depends on the volume and margin. This additional revenue stream could be significantly higher than the possible loss of retail revenue from additional MVNO-based competition (see Illustrations in Scenarios 1, 2 and 3 attached).</w:t>
      </w:r>
    </w:p>
    <w:p w14:paraId="08AD5CB1" w14:textId="77777777" w:rsidR="002B126E" w:rsidRPr="00DE52AD" w:rsidRDefault="002B126E" w:rsidP="002B126E">
      <w:pPr>
        <w:spacing w:after="120" w:line="240" w:lineRule="auto"/>
        <w:jc w:val="both"/>
        <w:rPr>
          <w:rFonts w:eastAsia="Times New Roman"/>
          <w:kern w:val="2"/>
          <w:lang w:val="en-GB"/>
        </w:rPr>
      </w:pPr>
      <w:r w:rsidRPr="00DE52AD">
        <w:rPr>
          <w:rFonts w:eastAsia="Times New Roman"/>
          <w:kern w:val="2"/>
          <w:lang w:val="en-GB"/>
        </w:rPr>
        <w:t>Note 3: At present Magticom’s FTTx network covers 89% of Georgian premises and Silknet’s FTTx network covers 57%. With Magticom’s bitstream offer, Silknet could therefore increase its fixed broadband market coverage.</w:t>
      </w:r>
    </w:p>
    <w:p w14:paraId="7DC9B9EE" w14:textId="77777777" w:rsidR="002B126E" w:rsidRDefault="002B126E" w:rsidP="002B126E">
      <w:pPr>
        <w:spacing w:after="160" w:line="259" w:lineRule="auto"/>
        <w:jc w:val="both"/>
        <w:rPr>
          <w:rFonts w:eastAsia="Times New Roman"/>
          <w:kern w:val="2"/>
          <w:lang w:val="en-GB"/>
        </w:rPr>
      </w:pPr>
      <w:r w:rsidRPr="00DE52AD">
        <w:rPr>
          <w:rFonts w:eastAsia="Times New Roman"/>
          <w:kern w:val="2"/>
          <w:lang w:val="en-GB"/>
        </w:rPr>
        <w:t>Note 4: An MVNO is a supplier of retail mobile services using the network of an MNO (Mobile Network Operator). An MVNA is an aggregator of mobile network capacity that enables MVNOs to optimise their usage of MNO capacity. An MVNE is a supplier of a range of services (including leased network capacity) to MVNOs to perform specialist support, including for example customer support and billing systems.</w:t>
      </w:r>
    </w:p>
    <w:p w14:paraId="266666F5" w14:textId="77777777" w:rsidR="002B126E" w:rsidRDefault="002B126E" w:rsidP="006F032B">
      <w:pPr>
        <w:jc w:val="center"/>
        <w:rPr>
          <w:rFonts w:eastAsia="Times New Roman"/>
          <w:kern w:val="2"/>
          <w:lang w:val="en-GB"/>
        </w:rPr>
      </w:pPr>
    </w:p>
    <w:p w14:paraId="00E0CE09" w14:textId="77777777" w:rsidR="00F15279" w:rsidRPr="00F15279" w:rsidRDefault="00F15279" w:rsidP="00F15279">
      <w:pPr>
        <w:rPr>
          <w:rFonts w:eastAsia="Times New Roman" w:cs="Calibri"/>
          <w:sz w:val="20"/>
          <w:szCs w:val="20"/>
          <w:lang w:val="en-GB" w:eastAsia="fr-FR"/>
        </w:rPr>
      </w:pPr>
    </w:p>
    <w:p w14:paraId="5C78EF87" w14:textId="77777777" w:rsidR="00F15279" w:rsidRPr="00F15279" w:rsidRDefault="00F15279" w:rsidP="00F15279">
      <w:pPr>
        <w:rPr>
          <w:rFonts w:eastAsia="Times New Roman" w:cs="Calibri"/>
          <w:sz w:val="20"/>
          <w:szCs w:val="20"/>
          <w:lang w:val="en-GB" w:eastAsia="fr-FR"/>
        </w:rPr>
      </w:pPr>
    </w:p>
    <w:p w14:paraId="16E7545E" w14:textId="77777777" w:rsidR="00F15279" w:rsidRPr="00F15279" w:rsidRDefault="00F15279" w:rsidP="00F15279">
      <w:pPr>
        <w:rPr>
          <w:rFonts w:eastAsia="Times New Roman" w:cs="Calibri"/>
          <w:sz w:val="20"/>
          <w:szCs w:val="20"/>
          <w:lang w:val="en-GB" w:eastAsia="fr-FR"/>
        </w:rPr>
      </w:pPr>
    </w:p>
    <w:p w14:paraId="4D913872" w14:textId="45C4E383" w:rsidR="00F15279" w:rsidRDefault="00F15279" w:rsidP="00F15279">
      <w:pPr>
        <w:tabs>
          <w:tab w:val="left" w:pos="1512"/>
        </w:tabs>
        <w:rPr>
          <w:rFonts w:eastAsia="Times New Roman" w:cs="Calibri"/>
          <w:sz w:val="20"/>
          <w:szCs w:val="20"/>
          <w:lang w:val="en-GB" w:eastAsia="fr-FR"/>
        </w:rPr>
      </w:pPr>
    </w:p>
    <w:p w14:paraId="3352943F" w14:textId="77777777" w:rsidR="00F15279" w:rsidRPr="00DE52AD" w:rsidRDefault="00F15279" w:rsidP="00F15279">
      <w:pPr>
        <w:spacing w:after="160" w:line="259" w:lineRule="auto"/>
        <w:rPr>
          <w:rFonts w:eastAsia="Times New Roman"/>
          <w:b/>
          <w:bCs/>
          <w:kern w:val="2"/>
          <w:lang w:val="en-GB"/>
        </w:rPr>
      </w:pPr>
    </w:p>
    <w:p w14:paraId="020DF4BB" w14:textId="77777777" w:rsidR="00F15279" w:rsidRPr="00DE52AD" w:rsidRDefault="00F15279" w:rsidP="00F15279">
      <w:pPr>
        <w:spacing w:after="160" w:line="259" w:lineRule="auto"/>
        <w:jc w:val="center"/>
        <w:rPr>
          <w:rFonts w:eastAsia="Times New Roman"/>
          <w:b/>
          <w:bCs/>
          <w:kern w:val="2"/>
          <w:sz w:val="32"/>
          <w:szCs w:val="32"/>
          <w:lang w:val="en-GB"/>
        </w:rPr>
      </w:pPr>
      <w:r w:rsidRPr="00DE52AD">
        <w:rPr>
          <w:rFonts w:eastAsia="Times New Roman"/>
          <w:b/>
          <w:bCs/>
          <w:kern w:val="2"/>
          <w:sz w:val="32"/>
          <w:szCs w:val="32"/>
          <w:lang w:val="en-GB"/>
        </w:rPr>
        <w:t>Illustrative range of possible outcomes</w:t>
      </w:r>
    </w:p>
    <w:tbl>
      <w:tblPr>
        <w:tblStyle w:val="Reetkatablice11"/>
        <w:tblW w:w="14022" w:type="dxa"/>
        <w:tblBorders>
          <w:top w:val="none" w:sz="0" w:space="0" w:color="auto"/>
          <w:left w:val="none" w:sz="0" w:space="0" w:color="auto"/>
        </w:tblBorders>
        <w:tblLook w:val="04A0" w:firstRow="1" w:lastRow="0" w:firstColumn="1" w:lastColumn="0" w:noHBand="0" w:noVBand="1"/>
      </w:tblPr>
      <w:tblGrid>
        <w:gridCol w:w="643"/>
        <w:gridCol w:w="2084"/>
        <w:gridCol w:w="2084"/>
        <w:gridCol w:w="2084"/>
        <w:gridCol w:w="2084"/>
        <w:gridCol w:w="2085"/>
        <w:gridCol w:w="2958"/>
      </w:tblGrid>
      <w:tr w:rsidR="00F15279" w:rsidRPr="00DE52AD" w14:paraId="5DB9C4DC" w14:textId="77777777" w:rsidTr="00B62C0E">
        <w:trPr>
          <w:trHeight w:val="302"/>
        </w:trPr>
        <w:tc>
          <w:tcPr>
            <w:tcW w:w="643" w:type="dxa"/>
            <w:tcBorders>
              <w:top w:val="nil"/>
              <w:bottom w:val="nil"/>
              <w:right w:val="single" w:sz="12" w:space="0" w:color="auto"/>
            </w:tcBorders>
          </w:tcPr>
          <w:p w14:paraId="6C72541E" w14:textId="77777777" w:rsidR="00F15279" w:rsidRPr="00DE52AD" w:rsidRDefault="00F15279" w:rsidP="00B62C0E">
            <w:pPr>
              <w:spacing w:after="0" w:line="240" w:lineRule="auto"/>
              <w:rPr>
                <w:rFonts w:eastAsia="Times New Roman"/>
                <w:lang w:val="en-GB"/>
              </w:rPr>
            </w:pPr>
          </w:p>
        </w:tc>
        <w:tc>
          <w:tcPr>
            <w:tcW w:w="10421" w:type="dxa"/>
            <w:gridSpan w:val="5"/>
            <w:tcBorders>
              <w:top w:val="single" w:sz="12" w:space="0" w:color="auto"/>
              <w:left w:val="single" w:sz="12" w:space="0" w:color="auto"/>
              <w:bottom w:val="single" w:sz="12" w:space="0" w:color="auto"/>
              <w:right w:val="single" w:sz="12" w:space="0" w:color="auto"/>
            </w:tcBorders>
            <w:shd w:val="clear" w:color="auto" w:fill="D0CECE"/>
          </w:tcPr>
          <w:p w14:paraId="7911E6DA"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sz w:val="24"/>
                <w:szCs w:val="24"/>
                <w:lang w:val="en-GB"/>
              </w:rPr>
              <w:t>Scenario 1: Weak market response</w:t>
            </w:r>
          </w:p>
        </w:tc>
        <w:tc>
          <w:tcPr>
            <w:tcW w:w="2958" w:type="dxa"/>
            <w:vMerge w:val="restart"/>
            <w:tcBorders>
              <w:top w:val="single" w:sz="12" w:space="0" w:color="auto"/>
              <w:left w:val="single" w:sz="12" w:space="0" w:color="auto"/>
              <w:right w:val="single" w:sz="12" w:space="0" w:color="auto"/>
            </w:tcBorders>
            <w:shd w:val="clear" w:color="auto" w:fill="F7CAAC"/>
          </w:tcPr>
          <w:p w14:paraId="3ED235F4" w14:textId="77777777" w:rsidR="00F15279" w:rsidRPr="00DE52AD" w:rsidRDefault="00F15279" w:rsidP="00B62C0E">
            <w:pPr>
              <w:spacing w:after="0" w:line="240" w:lineRule="auto"/>
              <w:jc w:val="center"/>
              <w:rPr>
                <w:rFonts w:eastAsia="Times New Roman"/>
                <w:b/>
                <w:bCs/>
                <w:lang w:val="en-GB"/>
              </w:rPr>
            </w:pPr>
          </w:p>
          <w:p w14:paraId="216C95C1"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OVERALL IMPACT</w:t>
            </w:r>
          </w:p>
        </w:tc>
      </w:tr>
      <w:tr w:rsidR="00F15279" w:rsidRPr="00DE52AD" w14:paraId="448A75DE" w14:textId="77777777" w:rsidTr="00B62C0E">
        <w:trPr>
          <w:trHeight w:val="276"/>
        </w:trPr>
        <w:tc>
          <w:tcPr>
            <w:tcW w:w="643" w:type="dxa"/>
            <w:tcBorders>
              <w:top w:val="nil"/>
              <w:bottom w:val="single" w:sz="12" w:space="0" w:color="auto"/>
              <w:right w:val="single" w:sz="12" w:space="0" w:color="auto"/>
            </w:tcBorders>
          </w:tcPr>
          <w:p w14:paraId="3AC20B28" w14:textId="77777777" w:rsidR="00F15279" w:rsidRPr="00DE52AD" w:rsidRDefault="00F15279" w:rsidP="00B62C0E">
            <w:pPr>
              <w:spacing w:after="0" w:line="240" w:lineRule="auto"/>
              <w:rPr>
                <w:rFonts w:eastAsia="Times New Roman"/>
                <w:lang w:val="en-GB"/>
              </w:rPr>
            </w:pPr>
          </w:p>
        </w:tc>
        <w:tc>
          <w:tcPr>
            <w:tcW w:w="2084" w:type="dxa"/>
            <w:tcBorders>
              <w:top w:val="single" w:sz="12" w:space="0" w:color="auto"/>
              <w:left w:val="single" w:sz="12" w:space="0" w:color="auto"/>
              <w:bottom w:val="single" w:sz="12" w:space="0" w:color="auto"/>
              <w:right w:val="single" w:sz="6" w:space="0" w:color="auto"/>
            </w:tcBorders>
            <w:shd w:val="clear" w:color="auto" w:fill="D0CECE"/>
          </w:tcPr>
          <w:p w14:paraId="4132D233"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Magticom</w:t>
            </w:r>
          </w:p>
        </w:tc>
        <w:tc>
          <w:tcPr>
            <w:tcW w:w="2084" w:type="dxa"/>
            <w:tcBorders>
              <w:top w:val="single" w:sz="12" w:space="0" w:color="auto"/>
              <w:left w:val="single" w:sz="6" w:space="0" w:color="auto"/>
              <w:bottom w:val="single" w:sz="12" w:space="0" w:color="auto"/>
              <w:right w:val="single" w:sz="6" w:space="0" w:color="auto"/>
            </w:tcBorders>
            <w:shd w:val="clear" w:color="auto" w:fill="D0CECE"/>
          </w:tcPr>
          <w:p w14:paraId="55B6D21B"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Silknet</w:t>
            </w:r>
          </w:p>
        </w:tc>
        <w:tc>
          <w:tcPr>
            <w:tcW w:w="2084" w:type="dxa"/>
            <w:tcBorders>
              <w:top w:val="single" w:sz="12" w:space="0" w:color="auto"/>
              <w:left w:val="single" w:sz="6" w:space="0" w:color="auto"/>
              <w:bottom w:val="single" w:sz="12" w:space="0" w:color="auto"/>
              <w:right w:val="single" w:sz="6" w:space="0" w:color="auto"/>
            </w:tcBorders>
            <w:shd w:val="clear" w:color="auto" w:fill="D0CECE"/>
          </w:tcPr>
          <w:p w14:paraId="61A73F02"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Cellfie</w:t>
            </w:r>
          </w:p>
        </w:tc>
        <w:tc>
          <w:tcPr>
            <w:tcW w:w="2084" w:type="dxa"/>
            <w:tcBorders>
              <w:top w:val="single" w:sz="12" w:space="0" w:color="auto"/>
              <w:left w:val="single" w:sz="6" w:space="0" w:color="auto"/>
              <w:bottom w:val="single" w:sz="12" w:space="0" w:color="auto"/>
              <w:right w:val="single" w:sz="6" w:space="0" w:color="auto"/>
            </w:tcBorders>
            <w:shd w:val="clear" w:color="auto" w:fill="D0CECE"/>
          </w:tcPr>
          <w:p w14:paraId="68290A76"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MVNOs</w:t>
            </w:r>
          </w:p>
        </w:tc>
        <w:tc>
          <w:tcPr>
            <w:tcW w:w="2084" w:type="dxa"/>
            <w:tcBorders>
              <w:top w:val="single" w:sz="12" w:space="0" w:color="auto"/>
              <w:left w:val="single" w:sz="6" w:space="0" w:color="auto"/>
              <w:bottom w:val="single" w:sz="12" w:space="0" w:color="auto"/>
              <w:right w:val="single" w:sz="12" w:space="0" w:color="auto"/>
            </w:tcBorders>
            <w:shd w:val="clear" w:color="auto" w:fill="D0CECE"/>
          </w:tcPr>
          <w:p w14:paraId="09834FCD"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Fixed operators</w:t>
            </w:r>
          </w:p>
        </w:tc>
        <w:tc>
          <w:tcPr>
            <w:tcW w:w="2958" w:type="dxa"/>
            <w:vMerge/>
            <w:tcBorders>
              <w:left w:val="single" w:sz="12" w:space="0" w:color="auto"/>
              <w:bottom w:val="single" w:sz="12" w:space="0" w:color="auto"/>
              <w:right w:val="single" w:sz="12" w:space="0" w:color="auto"/>
            </w:tcBorders>
            <w:shd w:val="clear" w:color="auto" w:fill="F7CAAC"/>
          </w:tcPr>
          <w:p w14:paraId="0D99136A" w14:textId="77777777" w:rsidR="00F15279" w:rsidRPr="00DE52AD" w:rsidRDefault="00F15279" w:rsidP="00B62C0E">
            <w:pPr>
              <w:spacing w:after="0" w:line="240" w:lineRule="auto"/>
              <w:jc w:val="center"/>
              <w:rPr>
                <w:rFonts w:eastAsia="Times New Roman"/>
                <w:b/>
                <w:bCs/>
                <w:lang w:val="en-GB"/>
              </w:rPr>
            </w:pPr>
          </w:p>
        </w:tc>
      </w:tr>
      <w:tr w:rsidR="00F15279" w:rsidRPr="00EC7480" w14:paraId="63413AD5" w14:textId="77777777" w:rsidTr="00B62C0E">
        <w:trPr>
          <w:cantSplit/>
          <w:trHeight w:val="1138"/>
        </w:trPr>
        <w:tc>
          <w:tcPr>
            <w:tcW w:w="643" w:type="dxa"/>
            <w:tcBorders>
              <w:top w:val="single" w:sz="12" w:space="0" w:color="auto"/>
              <w:left w:val="single" w:sz="12" w:space="0" w:color="auto"/>
              <w:bottom w:val="single" w:sz="6" w:space="0" w:color="auto"/>
              <w:right w:val="single" w:sz="6" w:space="0" w:color="auto"/>
            </w:tcBorders>
            <w:shd w:val="clear" w:color="auto" w:fill="F7CAAC"/>
            <w:textDirection w:val="btLr"/>
          </w:tcPr>
          <w:p w14:paraId="0ED88D82" w14:textId="77777777" w:rsidR="00F15279" w:rsidRPr="00DE52AD" w:rsidRDefault="00F15279" w:rsidP="00B62C0E">
            <w:pPr>
              <w:spacing w:after="0" w:line="240" w:lineRule="auto"/>
              <w:ind w:left="113" w:right="113"/>
              <w:jc w:val="center"/>
              <w:rPr>
                <w:rFonts w:eastAsia="Times New Roman"/>
                <w:b/>
                <w:bCs/>
                <w:lang w:val="en-GB"/>
              </w:rPr>
            </w:pPr>
            <w:r w:rsidRPr="00DE52AD">
              <w:rPr>
                <w:rFonts w:eastAsia="Times New Roman"/>
                <w:b/>
                <w:bCs/>
                <w:lang w:val="en-GB"/>
              </w:rPr>
              <w:t>Opport-unities</w:t>
            </w:r>
          </w:p>
        </w:tc>
        <w:tc>
          <w:tcPr>
            <w:tcW w:w="2084" w:type="dxa"/>
            <w:tcBorders>
              <w:top w:val="single" w:sz="12" w:space="0" w:color="auto"/>
              <w:left w:val="single" w:sz="6" w:space="0" w:color="auto"/>
              <w:bottom w:val="single" w:sz="6" w:space="0" w:color="auto"/>
              <w:right w:val="single" w:sz="6" w:space="0" w:color="auto"/>
            </w:tcBorders>
          </w:tcPr>
          <w:p w14:paraId="24B96F1F" w14:textId="77777777" w:rsidR="00F15279" w:rsidRPr="00DE52AD" w:rsidRDefault="00F15279" w:rsidP="00B62C0E">
            <w:pPr>
              <w:spacing w:after="0" w:line="240" w:lineRule="auto"/>
              <w:rPr>
                <w:rFonts w:eastAsia="Times New Roman"/>
                <w:lang w:val="en-GB"/>
              </w:rPr>
            </w:pPr>
            <w:r w:rsidRPr="00DE52AD">
              <w:rPr>
                <w:rFonts w:eastAsia="Times New Roman"/>
                <w:lang w:val="en-GB"/>
              </w:rPr>
              <w:t>Limited wholesale revenues</w:t>
            </w:r>
          </w:p>
          <w:p w14:paraId="78E8C942" w14:textId="77777777" w:rsidR="00F15279" w:rsidRPr="00DE52AD" w:rsidRDefault="00F15279" w:rsidP="00B62C0E">
            <w:pPr>
              <w:spacing w:after="0" w:line="240" w:lineRule="auto"/>
              <w:rPr>
                <w:rFonts w:eastAsia="Times New Roman"/>
                <w:lang w:val="en-GB"/>
              </w:rPr>
            </w:pPr>
          </w:p>
        </w:tc>
        <w:tc>
          <w:tcPr>
            <w:tcW w:w="2084" w:type="dxa"/>
            <w:tcBorders>
              <w:top w:val="single" w:sz="12" w:space="0" w:color="auto"/>
              <w:left w:val="single" w:sz="6" w:space="0" w:color="auto"/>
              <w:bottom w:val="single" w:sz="6" w:space="0" w:color="auto"/>
              <w:right w:val="single" w:sz="6" w:space="0" w:color="auto"/>
            </w:tcBorders>
          </w:tcPr>
          <w:p w14:paraId="157DD061"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None </w:t>
            </w:r>
          </w:p>
        </w:tc>
        <w:tc>
          <w:tcPr>
            <w:tcW w:w="2084" w:type="dxa"/>
            <w:tcBorders>
              <w:top w:val="single" w:sz="12" w:space="0" w:color="auto"/>
              <w:left w:val="single" w:sz="6" w:space="0" w:color="auto"/>
              <w:bottom w:val="single" w:sz="6" w:space="0" w:color="auto"/>
              <w:right w:val="single" w:sz="6" w:space="0" w:color="auto"/>
            </w:tcBorders>
          </w:tcPr>
          <w:p w14:paraId="16AFE631"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None </w:t>
            </w:r>
          </w:p>
          <w:p w14:paraId="751EAE2E" w14:textId="77777777" w:rsidR="00F15279" w:rsidRPr="00DE52AD" w:rsidRDefault="00F15279" w:rsidP="00B62C0E">
            <w:pPr>
              <w:spacing w:after="0" w:line="240" w:lineRule="auto"/>
              <w:rPr>
                <w:rFonts w:eastAsia="Times New Roman"/>
                <w:lang w:val="en-GB"/>
              </w:rPr>
            </w:pPr>
          </w:p>
        </w:tc>
        <w:tc>
          <w:tcPr>
            <w:tcW w:w="2084" w:type="dxa"/>
            <w:tcBorders>
              <w:top w:val="single" w:sz="12" w:space="0" w:color="auto"/>
              <w:left w:val="single" w:sz="6" w:space="0" w:color="auto"/>
              <w:bottom w:val="single" w:sz="6" w:space="0" w:color="auto"/>
              <w:right w:val="single" w:sz="6" w:space="0" w:color="auto"/>
            </w:tcBorders>
          </w:tcPr>
          <w:p w14:paraId="350D0662"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Limited market entry to test demand for innovative new mobile products </w:t>
            </w:r>
          </w:p>
        </w:tc>
        <w:tc>
          <w:tcPr>
            <w:tcW w:w="2084" w:type="dxa"/>
            <w:tcBorders>
              <w:top w:val="single" w:sz="12" w:space="0" w:color="auto"/>
              <w:left w:val="single" w:sz="6" w:space="0" w:color="auto"/>
              <w:bottom w:val="single" w:sz="6" w:space="0" w:color="auto"/>
              <w:right w:val="single" w:sz="6" w:space="0" w:color="auto"/>
            </w:tcBorders>
          </w:tcPr>
          <w:p w14:paraId="4FBAB830" w14:textId="77777777" w:rsidR="00F15279" w:rsidRPr="00DE52AD" w:rsidRDefault="00F15279" w:rsidP="00B62C0E">
            <w:pPr>
              <w:spacing w:after="0" w:line="240" w:lineRule="auto"/>
              <w:rPr>
                <w:rFonts w:eastAsia="Times New Roman"/>
                <w:lang w:val="en-GB"/>
              </w:rPr>
            </w:pPr>
            <w:r w:rsidRPr="00DE52AD">
              <w:rPr>
                <w:rFonts w:eastAsia="Times New Roman"/>
                <w:lang w:val="en-GB"/>
              </w:rPr>
              <w:t>None</w:t>
            </w:r>
          </w:p>
          <w:p w14:paraId="4938FA6E" w14:textId="77777777" w:rsidR="00F15279" w:rsidRPr="00DE52AD" w:rsidRDefault="00F15279" w:rsidP="00B62C0E">
            <w:pPr>
              <w:spacing w:after="0" w:line="240" w:lineRule="auto"/>
              <w:rPr>
                <w:rFonts w:eastAsia="Times New Roman"/>
                <w:lang w:val="en-GB"/>
              </w:rPr>
            </w:pPr>
          </w:p>
        </w:tc>
        <w:tc>
          <w:tcPr>
            <w:tcW w:w="2958" w:type="dxa"/>
            <w:tcBorders>
              <w:top w:val="single" w:sz="12" w:space="0" w:color="auto"/>
              <w:left w:val="single" w:sz="6" w:space="0" w:color="auto"/>
              <w:bottom w:val="single" w:sz="6" w:space="0" w:color="auto"/>
              <w:right w:val="single" w:sz="12" w:space="0" w:color="auto"/>
            </w:tcBorders>
            <w:shd w:val="clear" w:color="auto" w:fill="F7CAAC"/>
          </w:tcPr>
          <w:p w14:paraId="29EC2481"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Very limited, since MVNOs will gain only marginal market share</w:t>
            </w:r>
          </w:p>
        </w:tc>
      </w:tr>
      <w:tr w:rsidR="00F15279" w:rsidRPr="00EC7480" w14:paraId="329DC153" w14:textId="77777777" w:rsidTr="00B62C0E">
        <w:trPr>
          <w:cantSplit/>
          <w:trHeight w:val="1138"/>
        </w:trPr>
        <w:tc>
          <w:tcPr>
            <w:tcW w:w="643" w:type="dxa"/>
            <w:tcBorders>
              <w:top w:val="single" w:sz="6" w:space="0" w:color="auto"/>
              <w:left w:val="single" w:sz="12" w:space="0" w:color="auto"/>
              <w:bottom w:val="single" w:sz="12" w:space="0" w:color="auto"/>
              <w:right w:val="single" w:sz="6" w:space="0" w:color="auto"/>
            </w:tcBorders>
            <w:shd w:val="clear" w:color="auto" w:fill="F7CAAC"/>
            <w:textDirection w:val="btLr"/>
          </w:tcPr>
          <w:p w14:paraId="587AF2A4" w14:textId="77777777" w:rsidR="00F15279" w:rsidRPr="00DE52AD" w:rsidRDefault="00F15279" w:rsidP="00B62C0E">
            <w:pPr>
              <w:spacing w:after="0" w:line="240" w:lineRule="auto"/>
              <w:ind w:left="113" w:right="113"/>
              <w:jc w:val="center"/>
              <w:rPr>
                <w:rFonts w:eastAsia="Times New Roman"/>
                <w:b/>
                <w:bCs/>
                <w:lang w:val="en-GB"/>
              </w:rPr>
            </w:pPr>
            <w:r w:rsidRPr="00DE52AD">
              <w:rPr>
                <w:rFonts w:eastAsia="Times New Roman"/>
                <w:b/>
                <w:bCs/>
                <w:lang w:val="en-GB"/>
              </w:rPr>
              <w:t>Risks</w:t>
            </w:r>
          </w:p>
        </w:tc>
        <w:tc>
          <w:tcPr>
            <w:tcW w:w="2084" w:type="dxa"/>
            <w:tcBorders>
              <w:top w:val="single" w:sz="6" w:space="0" w:color="auto"/>
              <w:left w:val="single" w:sz="6" w:space="0" w:color="auto"/>
              <w:bottom w:val="single" w:sz="12" w:space="0" w:color="auto"/>
              <w:right w:val="single" w:sz="6" w:space="0" w:color="auto"/>
            </w:tcBorders>
          </w:tcPr>
          <w:p w14:paraId="7FBB61AE" w14:textId="77777777" w:rsidR="00F15279" w:rsidRPr="00DE52AD" w:rsidRDefault="00F15279" w:rsidP="00B62C0E">
            <w:pPr>
              <w:spacing w:after="0" w:line="240" w:lineRule="auto"/>
              <w:rPr>
                <w:rFonts w:eastAsia="Times New Roman"/>
                <w:lang w:val="en-GB"/>
              </w:rPr>
            </w:pPr>
            <w:r w:rsidRPr="00DE52AD">
              <w:rPr>
                <w:rFonts w:eastAsia="Times New Roman"/>
                <w:lang w:val="en-GB"/>
              </w:rPr>
              <w:t>Implementation costs</w:t>
            </w:r>
          </w:p>
          <w:p w14:paraId="529F43D3" w14:textId="77777777" w:rsidR="00F15279" w:rsidRPr="00DE52AD" w:rsidRDefault="00F15279" w:rsidP="00B62C0E">
            <w:pPr>
              <w:spacing w:after="0" w:line="240" w:lineRule="auto"/>
              <w:rPr>
                <w:rFonts w:eastAsia="Times New Roman"/>
                <w:lang w:val="en-GB"/>
              </w:rPr>
            </w:pPr>
            <w:r w:rsidRPr="00DE52AD">
              <w:rPr>
                <w:rFonts w:eastAsia="Times New Roman"/>
                <w:lang w:val="en-GB"/>
              </w:rPr>
              <w:t>Pressure on ARPU</w:t>
            </w:r>
          </w:p>
        </w:tc>
        <w:tc>
          <w:tcPr>
            <w:tcW w:w="2084" w:type="dxa"/>
            <w:tcBorders>
              <w:top w:val="single" w:sz="6" w:space="0" w:color="auto"/>
              <w:left w:val="single" w:sz="6" w:space="0" w:color="auto"/>
              <w:bottom w:val="single" w:sz="12" w:space="0" w:color="auto"/>
              <w:right w:val="single" w:sz="6" w:space="0" w:color="auto"/>
            </w:tcBorders>
          </w:tcPr>
          <w:p w14:paraId="42F9D9FB" w14:textId="77777777" w:rsidR="00F15279" w:rsidRPr="00DE52AD" w:rsidRDefault="00F15279" w:rsidP="00B62C0E">
            <w:pPr>
              <w:spacing w:after="0" w:line="240" w:lineRule="auto"/>
              <w:rPr>
                <w:rFonts w:eastAsia="Times New Roman"/>
                <w:lang w:val="en-GB"/>
              </w:rPr>
            </w:pPr>
            <w:r w:rsidRPr="00DE52AD">
              <w:rPr>
                <w:rFonts w:eastAsia="Times New Roman"/>
                <w:lang w:val="en-GB"/>
              </w:rPr>
              <w:t>Pressure on ARPU</w:t>
            </w:r>
          </w:p>
        </w:tc>
        <w:tc>
          <w:tcPr>
            <w:tcW w:w="2084" w:type="dxa"/>
            <w:tcBorders>
              <w:top w:val="single" w:sz="6" w:space="0" w:color="auto"/>
              <w:left w:val="single" w:sz="6" w:space="0" w:color="auto"/>
              <w:bottom w:val="single" w:sz="12" w:space="0" w:color="auto"/>
              <w:right w:val="single" w:sz="6" w:space="0" w:color="auto"/>
            </w:tcBorders>
          </w:tcPr>
          <w:p w14:paraId="062C5458" w14:textId="77777777" w:rsidR="00F15279" w:rsidRPr="00DE52AD" w:rsidRDefault="00F15279" w:rsidP="00B62C0E">
            <w:pPr>
              <w:spacing w:after="0" w:line="240" w:lineRule="auto"/>
              <w:rPr>
                <w:rFonts w:eastAsia="Times New Roman"/>
                <w:lang w:val="en-GB"/>
              </w:rPr>
            </w:pPr>
            <w:r w:rsidRPr="00DE52AD">
              <w:rPr>
                <w:rFonts w:eastAsia="Times New Roman"/>
                <w:lang w:val="en-GB"/>
              </w:rPr>
              <w:t>None</w:t>
            </w:r>
          </w:p>
        </w:tc>
        <w:tc>
          <w:tcPr>
            <w:tcW w:w="2084" w:type="dxa"/>
            <w:tcBorders>
              <w:top w:val="single" w:sz="6" w:space="0" w:color="auto"/>
              <w:left w:val="single" w:sz="6" w:space="0" w:color="auto"/>
              <w:bottom w:val="single" w:sz="12" w:space="0" w:color="auto"/>
              <w:right w:val="single" w:sz="6" w:space="0" w:color="auto"/>
            </w:tcBorders>
          </w:tcPr>
          <w:p w14:paraId="6DAC657E" w14:textId="77777777" w:rsidR="00F15279" w:rsidRPr="00DE52AD" w:rsidRDefault="00F15279" w:rsidP="00B62C0E">
            <w:pPr>
              <w:spacing w:after="0" w:line="240" w:lineRule="auto"/>
              <w:rPr>
                <w:rFonts w:eastAsia="Times New Roman"/>
                <w:lang w:val="en-GB"/>
              </w:rPr>
            </w:pPr>
            <w:r w:rsidRPr="00DE52AD">
              <w:rPr>
                <w:rFonts w:eastAsia="Times New Roman"/>
                <w:lang w:val="en-GB"/>
              </w:rPr>
              <w:t>Cost of marketing new services</w:t>
            </w:r>
          </w:p>
        </w:tc>
        <w:tc>
          <w:tcPr>
            <w:tcW w:w="2084" w:type="dxa"/>
            <w:tcBorders>
              <w:top w:val="single" w:sz="6" w:space="0" w:color="auto"/>
              <w:left w:val="single" w:sz="6" w:space="0" w:color="auto"/>
              <w:bottom w:val="single" w:sz="12" w:space="0" w:color="auto"/>
              <w:right w:val="single" w:sz="6" w:space="0" w:color="auto"/>
            </w:tcBorders>
          </w:tcPr>
          <w:p w14:paraId="09BE9574" w14:textId="77777777" w:rsidR="00F15279" w:rsidRPr="00DE52AD" w:rsidRDefault="00F15279" w:rsidP="00B62C0E">
            <w:pPr>
              <w:spacing w:after="0" w:line="240" w:lineRule="auto"/>
              <w:rPr>
                <w:rFonts w:eastAsia="Times New Roman"/>
                <w:lang w:val="en-GB"/>
              </w:rPr>
            </w:pPr>
            <w:r w:rsidRPr="00DE52AD">
              <w:rPr>
                <w:rFonts w:eastAsia="Times New Roman"/>
                <w:lang w:val="en-GB"/>
              </w:rPr>
              <w:t>None</w:t>
            </w:r>
          </w:p>
        </w:tc>
        <w:tc>
          <w:tcPr>
            <w:tcW w:w="2958" w:type="dxa"/>
            <w:tcBorders>
              <w:top w:val="single" w:sz="6" w:space="0" w:color="auto"/>
              <w:left w:val="single" w:sz="6" w:space="0" w:color="auto"/>
              <w:bottom w:val="single" w:sz="12" w:space="0" w:color="auto"/>
              <w:right w:val="single" w:sz="12" w:space="0" w:color="auto"/>
            </w:tcBorders>
            <w:shd w:val="clear" w:color="auto" w:fill="F7CAAC"/>
          </w:tcPr>
          <w:p w14:paraId="6F782E39"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MVNOs cease operation after failing to reach critical mass.</w:t>
            </w:r>
          </w:p>
          <w:p w14:paraId="70922B8D"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Possible negative impact from lower overall market ARPUs</w:t>
            </w:r>
          </w:p>
        </w:tc>
      </w:tr>
    </w:tbl>
    <w:p w14:paraId="690E65CA" w14:textId="77777777" w:rsidR="00F15279" w:rsidRPr="00DE52AD" w:rsidRDefault="00F15279" w:rsidP="00F15279">
      <w:pPr>
        <w:spacing w:after="160" w:line="259" w:lineRule="auto"/>
        <w:jc w:val="center"/>
        <w:rPr>
          <w:rFonts w:eastAsia="Times New Roman"/>
          <w:b/>
          <w:bCs/>
          <w:kern w:val="2"/>
          <w:lang w:val="en-GB"/>
        </w:rPr>
      </w:pPr>
    </w:p>
    <w:p w14:paraId="6863F203" w14:textId="77777777" w:rsidR="00F15279" w:rsidRPr="00DE52AD" w:rsidRDefault="00F15279" w:rsidP="00F15279">
      <w:pPr>
        <w:spacing w:after="160" w:line="259" w:lineRule="auto"/>
        <w:jc w:val="center"/>
        <w:rPr>
          <w:rFonts w:eastAsia="Times New Roman"/>
          <w:b/>
          <w:bCs/>
          <w:kern w:val="2"/>
          <w:lang w:val="en-GB"/>
        </w:rPr>
      </w:pPr>
    </w:p>
    <w:p w14:paraId="5D48520D" w14:textId="77777777" w:rsidR="00F15279" w:rsidRPr="00DE52AD" w:rsidRDefault="00F15279" w:rsidP="00F15279">
      <w:pPr>
        <w:spacing w:after="160" w:line="259" w:lineRule="auto"/>
        <w:jc w:val="center"/>
        <w:rPr>
          <w:rFonts w:eastAsia="Times New Roman"/>
          <w:b/>
          <w:bCs/>
          <w:kern w:val="2"/>
          <w:lang w:val="en-GB"/>
        </w:rPr>
      </w:pPr>
    </w:p>
    <w:p w14:paraId="3A80AB51" w14:textId="77777777" w:rsidR="00F15279" w:rsidRDefault="00F15279" w:rsidP="00F15279">
      <w:pPr>
        <w:spacing w:after="160" w:line="259" w:lineRule="auto"/>
        <w:jc w:val="center"/>
        <w:rPr>
          <w:rFonts w:eastAsia="Times New Roman"/>
          <w:b/>
          <w:bCs/>
          <w:kern w:val="2"/>
          <w:lang w:val="en-GB"/>
        </w:rPr>
      </w:pPr>
    </w:p>
    <w:p w14:paraId="75392028" w14:textId="77777777" w:rsidR="00F15279" w:rsidRDefault="00F15279" w:rsidP="00F15279">
      <w:pPr>
        <w:spacing w:after="160" w:line="259" w:lineRule="auto"/>
        <w:jc w:val="center"/>
        <w:rPr>
          <w:rFonts w:eastAsia="Times New Roman"/>
          <w:b/>
          <w:bCs/>
          <w:kern w:val="2"/>
          <w:lang w:val="en-GB"/>
        </w:rPr>
      </w:pPr>
    </w:p>
    <w:p w14:paraId="2B93A7A7" w14:textId="77777777" w:rsidR="00F15279" w:rsidRDefault="00F15279" w:rsidP="00F15279">
      <w:pPr>
        <w:spacing w:after="160" w:line="259" w:lineRule="auto"/>
        <w:jc w:val="center"/>
        <w:rPr>
          <w:rFonts w:eastAsia="Times New Roman"/>
          <w:b/>
          <w:bCs/>
          <w:kern w:val="2"/>
          <w:lang w:val="en-GB"/>
        </w:rPr>
      </w:pPr>
    </w:p>
    <w:p w14:paraId="5A9374BA" w14:textId="77777777" w:rsidR="00F15279" w:rsidRDefault="00F15279" w:rsidP="00F15279">
      <w:pPr>
        <w:spacing w:after="160" w:line="259" w:lineRule="auto"/>
        <w:jc w:val="center"/>
        <w:rPr>
          <w:rFonts w:eastAsia="Times New Roman"/>
          <w:b/>
          <w:bCs/>
          <w:kern w:val="2"/>
          <w:lang w:val="en-GB"/>
        </w:rPr>
      </w:pPr>
    </w:p>
    <w:p w14:paraId="65F1F336" w14:textId="77777777" w:rsidR="00F15279" w:rsidRDefault="00F15279" w:rsidP="00F15279">
      <w:pPr>
        <w:spacing w:after="160" w:line="259" w:lineRule="auto"/>
        <w:jc w:val="center"/>
        <w:rPr>
          <w:rFonts w:eastAsia="Times New Roman"/>
          <w:b/>
          <w:bCs/>
          <w:kern w:val="2"/>
          <w:lang w:val="en-GB"/>
        </w:rPr>
      </w:pPr>
    </w:p>
    <w:p w14:paraId="0E0C5130" w14:textId="77777777" w:rsidR="00F15279" w:rsidRDefault="00F15279" w:rsidP="00F15279">
      <w:pPr>
        <w:spacing w:after="160" w:line="259" w:lineRule="auto"/>
        <w:jc w:val="center"/>
        <w:rPr>
          <w:rFonts w:eastAsia="Times New Roman"/>
          <w:b/>
          <w:bCs/>
          <w:kern w:val="2"/>
          <w:lang w:val="en-GB"/>
        </w:rPr>
      </w:pPr>
    </w:p>
    <w:p w14:paraId="09934780" w14:textId="77777777" w:rsidR="00F15279" w:rsidRDefault="00F15279" w:rsidP="00F15279">
      <w:pPr>
        <w:spacing w:after="160" w:line="259" w:lineRule="auto"/>
        <w:jc w:val="center"/>
        <w:rPr>
          <w:rFonts w:eastAsia="Times New Roman"/>
          <w:b/>
          <w:bCs/>
          <w:kern w:val="2"/>
          <w:lang w:val="en-GB"/>
        </w:rPr>
      </w:pPr>
    </w:p>
    <w:p w14:paraId="722AC1A7" w14:textId="77777777" w:rsidR="00F15279" w:rsidRDefault="00F15279" w:rsidP="00F15279">
      <w:pPr>
        <w:spacing w:after="160" w:line="259" w:lineRule="auto"/>
        <w:jc w:val="center"/>
        <w:rPr>
          <w:rFonts w:eastAsia="Times New Roman"/>
          <w:b/>
          <w:bCs/>
          <w:kern w:val="2"/>
          <w:lang w:val="en-GB"/>
        </w:rPr>
      </w:pPr>
    </w:p>
    <w:p w14:paraId="6D5420CC" w14:textId="77777777" w:rsidR="00F15279" w:rsidRPr="00DE52AD" w:rsidRDefault="00F15279" w:rsidP="00F15279">
      <w:pPr>
        <w:spacing w:after="160" w:line="259" w:lineRule="auto"/>
        <w:jc w:val="center"/>
        <w:rPr>
          <w:rFonts w:eastAsia="Times New Roman"/>
          <w:b/>
          <w:bCs/>
          <w:kern w:val="2"/>
          <w:lang w:val="en-GB"/>
        </w:rPr>
      </w:pPr>
    </w:p>
    <w:p w14:paraId="4F7B1923" w14:textId="77777777" w:rsidR="00F15279" w:rsidRPr="00DE52AD" w:rsidRDefault="00F15279" w:rsidP="00F15279">
      <w:pPr>
        <w:spacing w:after="160" w:line="259" w:lineRule="auto"/>
        <w:jc w:val="center"/>
        <w:rPr>
          <w:rFonts w:eastAsia="Times New Roman"/>
          <w:b/>
          <w:bCs/>
          <w:kern w:val="2"/>
          <w:lang w:val="en-GB"/>
        </w:rPr>
      </w:pPr>
    </w:p>
    <w:p w14:paraId="40802443" w14:textId="77777777" w:rsidR="00F15279" w:rsidRPr="00DE52AD" w:rsidRDefault="00F15279" w:rsidP="00F15279">
      <w:pPr>
        <w:spacing w:after="160" w:line="259" w:lineRule="auto"/>
        <w:jc w:val="center"/>
        <w:rPr>
          <w:rFonts w:eastAsia="Times New Roman"/>
          <w:b/>
          <w:bCs/>
          <w:kern w:val="2"/>
          <w:lang w:val="en-GB"/>
        </w:rPr>
      </w:pPr>
    </w:p>
    <w:tbl>
      <w:tblPr>
        <w:tblStyle w:val="Reetkatablice11"/>
        <w:tblW w:w="13998" w:type="dxa"/>
        <w:tblBorders>
          <w:top w:val="none" w:sz="0" w:space="0" w:color="auto"/>
          <w:left w:val="none" w:sz="0" w:space="0" w:color="auto"/>
        </w:tblBorders>
        <w:tblLook w:val="04A0" w:firstRow="1" w:lastRow="0" w:firstColumn="1" w:lastColumn="0" w:noHBand="0" w:noVBand="1"/>
      </w:tblPr>
      <w:tblGrid>
        <w:gridCol w:w="642"/>
        <w:gridCol w:w="2080"/>
        <w:gridCol w:w="2080"/>
        <w:gridCol w:w="2081"/>
        <w:gridCol w:w="2080"/>
        <w:gridCol w:w="2082"/>
        <w:gridCol w:w="2953"/>
      </w:tblGrid>
      <w:tr w:rsidR="00F15279" w:rsidRPr="00DE52AD" w14:paraId="6E254FDF" w14:textId="77777777" w:rsidTr="00B62C0E">
        <w:trPr>
          <w:trHeight w:val="303"/>
        </w:trPr>
        <w:tc>
          <w:tcPr>
            <w:tcW w:w="642" w:type="dxa"/>
            <w:tcBorders>
              <w:top w:val="nil"/>
              <w:bottom w:val="nil"/>
              <w:right w:val="single" w:sz="12" w:space="0" w:color="auto"/>
            </w:tcBorders>
          </w:tcPr>
          <w:p w14:paraId="0EFC024C" w14:textId="77777777" w:rsidR="00F15279" w:rsidRPr="00DE52AD" w:rsidRDefault="00F15279" w:rsidP="00B62C0E">
            <w:pPr>
              <w:spacing w:after="0" w:line="240" w:lineRule="auto"/>
              <w:rPr>
                <w:rFonts w:eastAsia="Times New Roman"/>
                <w:lang w:val="en-GB"/>
              </w:rPr>
            </w:pPr>
          </w:p>
        </w:tc>
        <w:tc>
          <w:tcPr>
            <w:tcW w:w="10403" w:type="dxa"/>
            <w:gridSpan w:val="5"/>
            <w:tcBorders>
              <w:top w:val="single" w:sz="12" w:space="0" w:color="auto"/>
              <w:left w:val="single" w:sz="12" w:space="0" w:color="auto"/>
              <w:bottom w:val="single" w:sz="12" w:space="0" w:color="auto"/>
              <w:right w:val="single" w:sz="12" w:space="0" w:color="auto"/>
            </w:tcBorders>
            <w:shd w:val="clear" w:color="auto" w:fill="D0CECE"/>
          </w:tcPr>
          <w:p w14:paraId="74F0DCEC" w14:textId="77777777" w:rsidR="00F15279" w:rsidRPr="00DE52AD" w:rsidRDefault="00F15279" w:rsidP="00B62C0E">
            <w:pPr>
              <w:spacing w:after="0" w:line="240" w:lineRule="auto"/>
              <w:jc w:val="center"/>
              <w:rPr>
                <w:rFonts w:eastAsia="Times New Roman"/>
                <w:b/>
                <w:bCs/>
                <w:sz w:val="24"/>
                <w:szCs w:val="24"/>
                <w:lang w:val="en-GB"/>
              </w:rPr>
            </w:pPr>
            <w:r w:rsidRPr="00DE52AD">
              <w:rPr>
                <w:rFonts w:eastAsia="Times New Roman"/>
                <w:b/>
                <w:bCs/>
                <w:sz w:val="24"/>
                <w:szCs w:val="24"/>
                <w:lang w:val="en-GB"/>
              </w:rPr>
              <w:t>Scenario 2: Medium market response</w:t>
            </w:r>
          </w:p>
        </w:tc>
        <w:tc>
          <w:tcPr>
            <w:tcW w:w="2953" w:type="dxa"/>
            <w:vMerge w:val="restart"/>
            <w:tcBorders>
              <w:top w:val="single" w:sz="12" w:space="0" w:color="auto"/>
              <w:left w:val="single" w:sz="12" w:space="0" w:color="auto"/>
              <w:right w:val="single" w:sz="12" w:space="0" w:color="auto"/>
            </w:tcBorders>
            <w:shd w:val="clear" w:color="auto" w:fill="F7CAAC"/>
          </w:tcPr>
          <w:p w14:paraId="5758363B" w14:textId="77777777" w:rsidR="00F15279" w:rsidRPr="00DE52AD" w:rsidRDefault="00F15279" w:rsidP="00B62C0E">
            <w:pPr>
              <w:spacing w:after="0" w:line="240" w:lineRule="auto"/>
              <w:jc w:val="center"/>
              <w:rPr>
                <w:rFonts w:eastAsia="Times New Roman"/>
                <w:b/>
                <w:bCs/>
                <w:sz w:val="24"/>
                <w:szCs w:val="24"/>
                <w:lang w:val="en-GB"/>
              </w:rPr>
            </w:pPr>
            <w:r w:rsidRPr="00DE52AD">
              <w:rPr>
                <w:rFonts w:eastAsia="Times New Roman"/>
                <w:b/>
                <w:bCs/>
                <w:lang w:val="en-GB"/>
              </w:rPr>
              <w:t>OVERALL IMPACT</w:t>
            </w:r>
          </w:p>
        </w:tc>
      </w:tr>
      <w:tr w:rsidR="00F15279" w:rsidRPr="00DE52AD" w14:paraId="70CB5E23" w14:textId="77777777" w:rsidTr="00B62C0E">
        <w:trPr>
          <w:trHeight w:val="276"/>
        </w:trPr>
        <w:tc>
          <w:tcPr>
            <w:tcW w:w="642" w:type="dxa"/>
            <w:tcBorders>
              <w:top w:val="nil"/>
              <w:bottom w:val="single" w:sz="12" w:space="0" w:color="auto"/>
              <w:right w:val="single" w:sz="12" w:space="0" w:color="auto"/>
            </w:tcBorders>
          </w:tcPr>
          <w:p w14:paraId="28760112" w14:textId="77777777" w:rsidR="00F15279" w:rsidRPr="00DE52AD" w:rsidRDefault="00F15279" w:rsidP="00B62C0E">
            <w:pPr>
              <w:spacing w:after="0" w:line="240" w:lineRule="auto"/>
              <w:rPr>
                <w:rFonts w:eastAsia="Times New Roman"/>
                <w:lang w:val="en-GB"/>
              </w:rPr>
            </w:pPr>
          </w:p>
        </w:tc>
        <w:tc>
          <w:tcPr>
            <w:tcW w:w="2080" w:type="dxa"/>
            <w:tcBorders>
              <w:top w:val="single" w:sz="12" w:space="0" w:color="auto"/>
              <w:left w:val="single" w:sz="12" w:space="0" w:color="auto"/>
              <w:bottom w:val="single" w:sz="12" w:space="0" w:color="auto"/>
              <w:right w:val="single" w:sz="6" w:space="0" w:color="auto"/>
            </w:tcBorders>
            <w:shd w:val="clear" w:color="auto" w:fill="D0CECE"/>
          </w:tcPr>
          <w:p w14:paraId="5213C81C"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Magticom</w:t>
            </w:r>
          </w:p>
        </w:tc>
        <w:tc>
          <w:tcPr>
            <w:tcW w:w="2080" w:type="dxa"/>
            <w:tcBorders>
              <w:top w:val="single" w:sz="12" w:space="0" w:color="auto"/>
              <w:left w:val="single" w:sz="6" w:space="0" w:color="auto"/>
              <w:bottom w:val="single" w:sz="12" w:space="0" w:color="auto"/>
              <w:right w:val="single" w:sz="6" w:space="0" w:color="auto"/>
            </w:tcBorders>
            <w:shd w:val="clear" w:color="auto" w:fill="D0CECE"/>
          </w:tcPr>
          <w:p w14:paraId="5BF0B954"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Silknet</w:t>
            </w:r>
          </w:p>
        </w:tc>
        <w:tc>
          <w:tcPr>
            <w:tcW w:w="2081" w:type="dxa"/>
            <w:tcBorders>
              <w:top w:val="single" w:sz="12" w:space="0" w:color="auto"/>
              <w:left w:val="single" w:sz="6" w:space="0" w:color="auto"/>
              <w:bottom w:val="single" w:sz="12" w:space="0" w:color="auto"/>
              <w:right w:val="single" w:sz="6" w:space="0" w:color="auto"/>
            </w:tcBorders>
            <w:shd w:val="clear" w:color="auto" w:fill="D0CECE"/>
          </w:tcPr>
          <w:p w14:paraId="3D02BF94"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Cellfie</w:t>
            </w:r>
          </w:p>
        </w:tc>
        <w:tc>
          <w:tcPr>
            <w:tcW w:w="2080" w:type="dxa"/>
            <w:tcBorders>
              <w:top w:val="single" w:sz="12" w:space="0" w:color="auto"/>
              <w:left w:val="single" w:sz="6" w:space="0" w:color="auto"/>
              <w:bottom w:val="single" w:sz="12" w:space="0" w:color="auto"/>
              <w:right w:val="single" w:sz="6" w:space="0" w:color="auto"/>
            </w:tcBorders>
            <w:shd w:val="clear" w:color="auto" w:fill="D0CECE"/>
          </w:tcPr>
          <w:p w14:paraId="2D7C7878"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MVNOs</w:t>
            </w:r>
          </w:p>
        </w:tc>
        <w:tc>
          <w:tcPr>
            <w:tcW w:w="2081" w:type="dxa"/>
            <w:tcBorders>
              <w:top w:val="single" w:sz="12" w:space="0" w:color="auto"/>
              <w:left w:val="single" w:sz="6" w:space="0" w:color="auto"/>
              <w:bottom w:val="single" w:sz="12" w:space="0" w:color="auto"/>
              <w:right w:val="single" w:sz="12" w:space="0" w:color="auto"/>
            </w:tcBorders>
            <w:shd w:val="clear" w:color="auto" w:fill="D0CECE"/>
          </w:tcPr>
          <w:p w14:paraId="1B26560F"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Fixed operators</w:t>
            </w:r>
          </w:p>
        </w:tc>
        <w:tc>
          <w:tcPr>
            <w:tcW w:w="2953" w:type="dxa"/>
            <w:vMerge/>
            <w:tcBorders>
              <w:left w:val="single" w:sz="12" w:space="0" w:color="auto"/>
              <w:bottom w:val="single" w:sz="12" w:space="0" w:color="auto"/>
              <w:right w:val="single" w:sz="12" w:space="0" w:color="auto"/>
            </w:tcBorders>
            <w:shd w:val="clear" w:color="auto" w:fill="F7CAAC"/>
          </w:tcPr>
          <w:p w14:paraId="28C03559" w14:textId="77777777" w:rsidR="00F15279" w:rsidRPr="00DE52AD" w:rsidRDefault="00F15279" w:rsidP="00B62C0E">
            <w:pPr>
              <w:spacing w:after="0" w:line="240" w:lineRule="auto"/>
              <w:jc w:val="center"/>
              <w:rPr>
                <w:rFonts w:eastAsia="Times New Roman"/>
                <w:b/>
                <w:bCs/>
                <w:lang w:val="en-GB"/>
              </w:rPr>
            </w:pPr>
          </w:p>
        </w:tc>
      </w:tr>
      <w:tr w:rsidR="00F15279" w:rsidRPr="00EC7480" w14:paraId="67B673D7" w14:textId="77777777" w:rsidTr="00B62C0E">
        <w:trPr>
          <w:trHeight w:val="1890"/>
        </w:trPr>
        <w:tc>
          <w:tcPr>
            <w:tcW w:w="642" w:type="dxa"/>
            <w:tcBorders>
              <w:top w:val="single" w:sz="12" w:space="0" w:color="auto"/>
              <w:left w:val="single" w:sz="12" w:space="0" w:color="auto"/>
              <w:bottom w:val="single" w:sz="6" w:space="0" w:color="auto"/>
              <w:right w:val="single" w:sz="12" w:space="0" w:color="auto"/>
            </w:tcBorders>
            <w:shd w:val="clear" w:color="auto" w:fill="F7CAAC"/>
            <w:textDirection w:val="btLr"/>
          </w:tcPr>
          <w:p w14:paraId="44E75781"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Opportunities</w:t>
            </w:r>
          </w:p>
        </w:tc>
        <w:tc>
          <w:tcPr>
            <w:tcW w:w="2080" w:type="dxa"/>
            <w:tcBorders>
              <w:top w:val="single" w:sz="12" w:space="0" w:color="auto"/>
              <w:left w:val="single" w:sz="12" w:space="0" w:color="auto"/>
              <w:bottom w:val="single" w:sz="6" w:space="0" w:color="auto"/>
              <w:right w:val="single" w:sz="6" w:space="0" w:color="auto"/>
            </w:tcBorders>
          </w:tcPr>
          <w:p w14:paraId="7A14D430"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Wholesale revenues from bitstream revenues national roaming and </w:t>
            </w:r>
            <w:r>
              <w:rPr>
                <w:rFonts w:eastAsia="Times New Roman"/>
                <w:lang w:val="en-GB"/>
              </w:rPr>
              <w:t>co-location</w:t>
            </w:r>
            <w:r w:rsidRPr="00DE52AD">
              <w:rPr>
                <w:rFonts w:eastAsia="Times New Roman"/>
                <w:lang w:val="en-GB"/>
              </w:rPr>
              <w:t>.</w:t>
            </w:r>
          </w:p>
          <w:p w14:paraId="0C1D3DF6" w14:textId="77777777" w:rsidR="00F15279" w:rsidRPr="00DE52AD" w:rsidRDefault="00F15279" w:rsidP="00B62C0E">
            <w:pPr>
              <w:spacing w:after="0" w:line="240" w:lineRule="auto"/>
              <w:rPr>
                <w:rFonts w:eastAsia="Times New Roman"/>
                <w:lang w:val="en-GB"/>
              </w:rPr>
            </w:pPr>
            <w:r w:rsidRPr="00DE52AD">
              <w:rPr>
                <w:rFonts w:eastAsia="Times New Roman"/>
                <w:lang w:val="en-GB"/>
              </w:rPr>
              <w:t>Limited wholesale revenues from MVNOs</w:t>
            </w:r>
          </w:p>
        </w:tc>
        <w:tc>
          <w:tcPr>
            <w:tcW w:w="2080" w:type="dxa"/>
            <w:tcBorders>
              <w:top w:val="single" w:sz="12" w:space="0" w:color="auto"/>
              <w:left w:val="single" w:sz="6" w:space="0" w:color="auto"/>
              <w:bottom w:val="single" w:sz="6" w:space="0" w:color="auto"/>
              <w:right w:val="single" w:sz="6" w:space="0" w:color="auto"/>
            </w:tcBorders>
          </w:tcPr>
          <w:p w14:paraId="58DEB80B" w14:textId="77777777" w:rsidR="00F15279" w:rsidRPr="00DE52AD" w:rsidRDefault="00F15279" w:rsidP="00B62C0E">
            <w:pPr>
              <w:spacing w:after="0" w:line="240" w:lineRule="auto"/>
              <w:rPr>
                <w:rFonts w:eastAsia="Times New Roman"/>
                <w:lang w:val="en-GB"/>
              </w:rPr>
            </w:pPr>
            <w:r w:rsidRPr="00DE52AD">
              <w:rPr>
                <w:rFonts w:eastAsia="Times New Roman"/>
                <w:lang w:val="en-GB"/>
              </w:rPr>
              <w:t>None</w:t>
            </w:r>
          </w:p>
        </w:tc>
        <w:tc>
          <w:tcPr>
            <w:tcW w:w="2081" w:type="dxa"/>
            <w:tcBorders>
              <w:top w:val="single" w:sz="12" w:space="0" w:color="auto"/>
              <w:left w:val="single" w:sz="6" w:space="0" w:color="auto"/>
              <w:bottom w:val="single" w:sz="6" w:space="0" w:color="auto"/>
              <w:right w:val="single" w:sz="6" w:space="0" w:color="auto"/>
            </w:tcBorders>
          </w:tcPr>
          <w:p w14:paraId="7347683E" w14:textId="77777777" w:rsidR="00F15279" w:rsidRPr="00DE52AD" w:rsidRDefault="00F15279" w:rsidP="00B62C0E">
            <w:pPr>
              <w:spacing w:after="0" w:line="240" w:lineRule="auto"/>
              <w:rPr>
                <w:rFonts w:eastAsia="Times New Roman"/>
                <w:lang w:val="en-GB"/>
              </w:rPr>
            </w:pPr>
            <w:r w:rsidRPr="00DE52AD">
              <w:rPr>
                <w:rFonts w:eastAsia="Times New Roman"/>
                <w:lang w:val="en-GB"/>
              </w:rPr>
              <w:t>Reduced cost of extending mobile network coverage.</w:t>
            </w:r>
          </w:p>
          <w:p w14:paraId="15770218" w14:textId="77777777" w:rsidR="00F15279" w:rsidRPr="00DE52AD" w:rsidRDefault="00F15279" w:rsidP="00B62C0E">
            <w:pPr>
              <w:spacing w:after="0" w:line="240" w:lineRule="auto"/>
              <w:rPr>
                <w:rFonts w:eastAsia="Times New Roman"/>
                <w:lang w:val="en-GB"/>
              </w:rPr>
            </w:pPr>
            <w:r w:rsidRPr="00DE52AD">
              <w:rPr>
                <w:rFonts w:eastAsia="Times New Roman"/>
                <w:lang w:val="en-GB"/>
              </w:rPr>
              <w:t>Revenues generated by converged fixed/ mobile bundles.</w:t>
            </w:r>
          </w:p>
        </w:tc>
        <w:tc>
          <w:tcPr>
            <w:tcW w:w="2080" w:type="dxa"/>
            <w:tcBorders>
              <w:top w:val="single" w:sz="12" w:space="0" w:color="auto"/>
              <w:left w:val="single" w:sz="6" w:space="0" w:color="auto"/>
              <w:bottom w:val="single" w:sz="6" w:space="0" w:color="auto"/>
              <w:right w:val="single" w:sz="6" w:space="0" w:color="auto"/>
            </w:tcBorders>
          </w:tcPr>
          <w:p w14:paraId="11981808" w14:textId="77777777" w:rsidR="00F15279" w:rsidRPr="00DE52AD" w:rsidRDefault="00F15279" w:rsidP="00B62C0E">
            <w:pPr>
              <w:spacing w:after="0" w:line="240" w:lineRule="auto"/>
              <w:rPr>
                <w:rFonts w:eastAsia="Times New Roman"/>
                <w:lang w:val="en-GB"/>
              </w:rPr>
            </w:pPr>
            <w:r w:rsidRPr="00DE52AD">
              <w:rPr>
                <w:rFonts w:eastAsia="Times New Roman"/>
                <w:lang w:val="en-GB"/>
              </w:rPr>
              <w:t>Several MVNOs enter the market and test market demand for innovative new mobile products.</w:t>
            </w:r>
          </w:p>
        </w:tc>
        <w:tc>
          <w:tcPr>
            <w:tcW w:w="2081" w:type="dxa"/>
            <w:tcBorders>
              <w:top w:val="single" w:sz="12" w:space="0" w:color="auto"/>
              <w:left w:val="single" w:sz="6" w:space="0" w:color="auto"/>
              <w:bottom w:val="single" w:sz="6" w:space="0" w:color="auto"/>
              <w:right w:val="single" w:sz="6" w:space="0" w:color="auto"/>
            </w:tcBorders>
          </w:tcPr>
          <w:p w14:paraId="12DE9F0F" w14:textId="77777777" w:rsidR="00F15279" w:rsidRPr="00DE52AD" w:rsidRDefault="00F15279" w:rsidP="00B62C0E">
            <w:pPr>
              <w:spacing w:after="0" w:line="240" w:lineRule="auto"/>
              <w:rPr>
                <w:rFonts w:eastAsia="Times New Roman"/>
                <w:lang w:val="en-GB"/>
              </w:rPr>
            </w:pPr>
            <w:r w:rsidRPr="00DE52AD">
              <w:rPr>
                <w:rFonts w:eastAsia="Times New Roman"/>
                <w:lang w:val="en-GB"/>
              </w:rPr>
              <w:t>Additional fixed revenues from new areas reached via bitstream.</w:t>
            </w:r>
          </w:p>
          <w:p w14:paraId="0188C61D" w14:textId="77777777" w:rsidR="00F15279" w:rsidRPr="00DE52AD" w:rsidRDefault="00F15279" w:rsidP="00B62C0E">
            <w:pPr>
              <w:spacing w:after="0" w:line="240" w:lineRule="auto"/>
              <w:rPr>
                <w:rFonts w:eastAsia="Times New Roman"/>
                <w:lang w:val="en-GB"/>
              </w:rPr>
            </w:pPr>
            <w:r w:rsidRPr="00DE52AD">
              <w:rPr>
                <w:rFonts w:eastAsia="Times New Roman"/>
                <w:lang w:val="en-GB"/>
              </w:rPr>
              <w:t>Revenues from converged fixed-mobile offers</w:t>
            </w:r>
          </w:p>
        </w:tc>
        <w:tc>
          <w:tcPr>
            <w:tcW w:w="2953" w:type="dxa"/>
            <w:tcBorders>
              <w:top w:val="single" w:sz="12" w:space="0" w:color="auto"/>
              <w:left w:val="single" w:sz="6" w:space="0" w:color="auto"/>
              <w:right w:val="single" w:sz="12" w:space="0" w:color="auto"/>
            </w:tcBorders>
            <w:shd w:val="clear" w:color="auto" w:fill="F7CAAC"/>
          </w:tcPr>
          <w:p w14:paraId="7724FAD5"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Stimulation of competition.</w:t>
            </w:r>
          </w:p>
          <w:p w14:paraId="60B7B557" w14:textId="77777777" w:rsidR="00F15279" w:rsidRPr="00DE52AD" w:rsidRDefault="00F15279" w:rsidP="00B62C0E">
            <w:pPr>
              <w:spacing w:after="0" w:line="240" w:lineRule="auto"/>
              <w:rPr>
                <w:rFonts w:eastAsia="Times New Roman"/>
                <w:b/>
                <w:bCs/>
                <w:lang w:val="en-GB"/>
              </w:rPr>
            </w:pPr>
          </w:p>
          <w:p w14:paraId="02B4A8A5"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[See attached illustrative market simulation showing EBITDA impact for both Magticom and MVNOs]</w:t>
            </w:r>
          </w:p>
        </w:tc>
      </w:tr>
      <w:tr w:rsidR="00F15279" w:rsidRPr="00EC7480" w14:paraId="3FB58807" w14:textId="77777777" w:rsidTr="00B62C0E">
        <w:trPr>
          <w:trHeight w:val="1096"/>
        </w:trPr>
        <w:tc>
          <w:tcPr>
            <w:tcW w:w="642" w:type="dxa"/>
            <w:tcBorders>
              <w:top w:val="single" w:sz="6" w:space="0" w:color="auto"/>
              <w:left w:val="single" w:sz="12" w:space="0" w:color="auto"/>
              <w:bottom w:val="single" w:sz="12" w:space="0" w:color="auto"/>
              <w:right w:val="single" w:sz="12" w:space="0" w:color="auto"/>
            </w:tcBorders>
            <w:shd w:val="clear" w:color="auto" w:fill="F7CAAC"/>
            <w:textDirection w:val="btLr"/>
          </w:tcPr>
          <w:p w14:paraId="5D86FE42"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Risks</w:t>
            </w:r>
          </w:p>
        </w:tc>
        <w:tc>
          <w:tcPr>
            <w:tcW w:w="2080" w:type="dxa"/>
            <w:tcBorders>
              <w:top w:val="single" w:sz="6" w:space="0" w:color="auto"/>
              <w:left w:val="single" w:sz="12" w:space="0" w:color="auto"/>
              <w:bottom w:val="single" w:sz="12" w:space="0" w:color="auto"/>
              <w:right w:val="single" w:sz="6" w:space="0" w:color="auto"/>
            </w:tcBorders>
          </w:tcPr>
          <w:p w14:paraId="1ED52430" w14:textId="77777777" w:rsidR="00F15279" w:rsidRPr="00DE52AD" w:rsidRDefault="00F15279" w:rsidP="00B62C0E">
            <w:pPr>
              <w:spacing w:after="0" w:line="240" w:lineRule="auto"/>
              <w:rPr>
                <w:rFonts w:eastAsia="Times New Roman"/>
                <w:lang w:val="en-GB"/>
              </w:rPr>
            </w:pPr>
            <w:r w:rsidRPr="00DE52AD">
              <w:rPr>
                <w:rFonts w:eastAsia="Times New Roman"/>
                <w:lang w:val="en-GB"/>
              </w:rPr>
              <w:t>Loss of retail market shares in both fixed and mobile markets.</w:t>
            </w:r>
          </w:p>
          <w:p w14:paraId="71DA02BA"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Decrease of ARPU </w:t>
            </w:r>
          </w:p>
        </w:tc>
        <w:tc>
          <w:tcPr>
            <w:tcW w:w="2080" w:type="dxa"/>
            <w:tcBorders>
              <w:top w:val="single" w:sz="6" w:space="0" w:color="auto"/>
              <w:left w:val="single" w:sz="6" w:space="0" w:color="auto"/>
              <w:bottom w:val="single" w:sz="12" w:space="0" w:color="auto"/>
              <w:right w:val="single" w:sz="6" w:space="0" w:color="auto"/>
            </w:tcBorders>
          </w:tcPr>
          <w:p w14:paraId="53A789BD" w14:textId="77777777" w:rsidR="00F15279" w:rsidRPr="00DE52AD" w:rsidRDefault="00F15279" w:rsidP="00B62C0E">
            <w:pPr>
              <w:spacing w:after="0" w:line="240" w:lineRule="auto"/>
              <w:rPr>
                <w:rFonts w:eastAsia="Times New Roman"/>
                <w:lang w:val="en-GB"/>
              </w:rPr>
            </w:pPr>
            <w:r w:rsidRPr="00DE52AD">
              <w:rPr>
                <w:rFonts w:eastAsia="Times New Roman"/>
                <w:lang w:val="en-GB"/>
              </w:rPr>
              <w:t>Loss of retail market shares in both fixed and mobile markets.</w:t>
            </w:r>
          </w:p>
          <w:p w14:paraId="5D5BEE5A" w14:textId="77777777" w:rsidR="00F15279" w:rsidRPr="00DE52AD" w:rsidRDefault="00F15279" w:rsidP="00B62C0E">
            <w:pPr>
              <w:spacing w:after="0" w:line="240" w:lineRule="auto"/>
              <w:rPr>
                <w:rFonts w:eastAsia="Times New Roman"/>
                <w:lang w:val="en-GB"/>
              </w:rPr>
            </w:pPr>
            <w:r w:rsidRPr="00DE52AD">
              <w:rPr>
                <w:rFonts w:eastAsia="Times New Roman"/>
                <w:lang w:val="en-GB"/>
              </w:rPr>
              <w:t>Decrease of ARPU</w:t>
            </w:r>
          </w:p>
        </w:tc>
        <w:tc>
          <w:tcPr>
            <w:tcW w:w="2081" w:type="dxa"/>
            <w:tcBorders>
              <w:top w:val="single" w:sz="6" w:space="0" w:color="auto"/>
              <w:left w:val="single" w:sz="6" w:space="0" w:color="auto"/>
              <w:bottom w:val="single" w:sz="12" w:space="0" w:color="auto"/>
              <w:right w:val="single" w:sz="6" w:space="0" w:color="auto"/>
            </w:tcBorders>
          </w:tcPr>
          <w:p w14:paraId="2AD3D29B" w14:textId="77777777" w:rsidR="00F15279" w:rsidRPr="00DE52AD" w:rsidRDefault="00F15279" w:rsidP="00B62C0E">
            <w:pPr>
              <w:spacing w:after="0" w:line="240" w:lineRule="auto"/>
              <w:rPr>
                <w:rFonts w:eastAsia="Times New Roman"/>
                <w:lang w:val="en-GB"/>
              </w:rPr>
            </w:pPr>
            <w:r w:rsidRPr="00DE52AD">
              <w:rPr>
                <w:rFonts w:eastAsia="Times New Roman"/>
                <w:lang w:val="en-GB"/>
              </w:rPr>
              <w:t>Some loss of retail market share in the mobile market</w:t>
            </w:r>
          </w:p>
        </w:tc>
        <w:tc>
          <w:tcPr>
            <w:tcW w:w="2080" w:type="dxa"/>
            <w:tcBorders>
              <w:top w:val="single" w:sz="6" w:space="0" w:color="auto"/>
              <w:left w:val="single" w:sz="6" w:space="0" w:color="auto"/>
              <w:bottom w:val="single" w:sz="12" w:space="0" w:color="auto"/>
              <w:right w:val="single" w:sz="6" w:space="0" w:color="auto"/>
            </w:tcBorders>
          </w:tcPr>
          <w:p w14:paraId="1B434AF8"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Cost of marketing new services </w:t>
            </w:r>
          </w:p>
          <w:p w14:paraId="7F9FCA95" w14:textId="77777777" w:rsidR="00F15279" w:rsidRPr="00DE52AD" w:rsidRDefault="00F15279" w:rsidP="00B62C0E">
            <w:pPr>
              <w:spacing w:after="0" w:line="240" w:lineRule="auto"/>
              <w:rPr>
                <w:rFonts w:eastAsia="Times New Roman"/>
                <w:lang w:val="en-GB"/>
              </w:rPr>
            </w:pPr>
          </w:p>
        </w:tc>
        <w:tc>
          <w:tcPr>
            <w:tcW w:w="2081" w:type="dxa"/>
            <w:tcBorders>
              <w:top w:val="single" w:sz="6" w:space="0" w:color="auto"/>
              <w:left w:val="single" w:sz="6" w:space="0" w:color="auto"/>
              <w:bottom w:val="single" w:sz="12" w:space="0" w:color="auto"/>
              <w:right w:val="single" w:sz="6" w:space="0" w:color="auto"/>
            </w:tcBorders>
          </w:tcPr>
          <w:p w14:paraId="302BA2B4" w14:textId="77777777" w:rsidR="00F15279" w:rsidRPr="00DE52AD" w:rsidRDefault="00F15279" w:rsidP="00B62C0E">
            <w:pPr>
              <w:spacing w:after="0" w:line="240" w:lineRule="auto"/>
              <w:rPr>
                <w:rFonts w:eastAsia="Times New Roman"/>
                <w:lang w:val="en-GB"/>
              </w:rPr>
            </w:pPr>
            <w:r w:rsidRPr="00DE52AD">
              <w:rPr>
                <w:rFonts w:eastAsia="Times New Roman"/>
                <w:lang w:val="en-GB"/>
              </w:rPr>
              <w:t>Cost of launching MVNOs</w:t>
            </w:r>
          </w:p>
        </w:tc>
        <w:tc>
          <w:tcPr>
            <w:tcW w:w="2953" w:type="dxa"/>
            <w:tcBorders>
              <w:left w:val="single" w:sz="6" w:space="0" w:color="auto"/>
              <w:bottom w:val="single" w:sz="12" w:space="0" w:color="auto"/>
              <w:right w:val="single" w:sz="12" w:space="0" w:color="auto"/>
            </w:tcBorders>
            <w:shd w:val="clear" w:color="auto" w:fill="F7CAAC"/>
          </w:tcPr>
          <w:p w14:paraId="150D8E83"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Loss of retail market shares mainly by Magticom and Silknet</w:t>
            </w:r>
          </w:p>
          <w:p w14:paraId="4420F721"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Possible decrease in market ARPUs</w:t>
            </w:r>
          </w:p>
        </w:tc>
      </w:tr>
    </w:tbl>
    <w:p w14:paraId="3230429F" w14:textId="77777777" w:rsidR="00F15279" w:rsidRDefault="00F15279" w:rsidP="00F15279">
      <w:pPr>
        <w:spacing w:after="160" w:line="259" w:lineRule="auto"/>
        <w:rPr>
          <w:rFonts w:eastAsia="Times New Roman"/>
          <w:b/>
          <w:bCs/>
          <w:kern w:val="2"/>
          <w:lang w:val="en-GB"/>
        </w:rPr>
      </w:pPr>
      <w:r w:rsidRPr="00DE52AD">
        <w:rPr>
          <w:rFonts w:eastAsia="Times New Roman"/>
          <w:b/>
          <w:bCs/>
          <w:kern w:val="2"/>
          <w:lang w:val="en-GB"/>
        </w:rPr>
        <w:br w:type="page"/>
      </w:r>
    </w:p>
    <w:p w14:paraId="00788B95" w14:textId="77777777" w:rsidR="00F15279" w:rsidRDefault="00F15279" w:rsidP="00F15279">
      <w:pPr>
        <w:spacing w:after="160" w:line="259" w:lineRule="auto"/>
        <w:rPr>
          <w:rFonts w:eastAsia="Times New Roman"/>
          <w:b/>
          <w:bCs/>
          <w:kern w:val="2"/>
          <w:lang w:val="en-GB"/>
        </w:rPr>
      </w:pPr>
    </w:p>
    <w:p w14:paraId="2B8F80FD" w14:textId="77777777" w:rsidR="00F15279" w:rsidRPr="00DE52AD" w:rsidRDefault="00F15279" w:rsidP="00F15279">
      <w:pPr>
        <w:spacing w:after="160" w:line="259" w:lineRule="auto"/>
        <w:rPr>
          <w:rFonts w:eastAsia="Times New Roman"/>
          <w:b/>
          <w:bCs/>
          <w:kern w:val="2"/>
          <w:lang w:val="en-GB"/>
        </w:rPr>
      </w:pPr>
    </w:p>
    <w:tbl>
      <w:tblPr>
        <w:tblStyle w:val="Reetkatablice11"/>
        <w:tblW w:w="13785" w:type="dxa"/>
        <w:tblBorders>
          <w:top w:val="none" w:sz="0" w:space="0" w:color="auto"/>
          <w:left w:val="none" w:sz="0" w:space="0" w:color="auto"/>
        </w:tblBorders>
        <w:tblLook w:val="04A0" w:firstRow="1" w:lastRow="0" w:firstColumn="1" w:lastColumn="0" w:noHBand="0" w:noVBand="1"/>
      </w:tblPr>
      <w:tblGrid>
        <w:gridCol w:w="632"/>
        <w:gridCol w:w="2048"/>
        <w:gridCol w:w="2048"/>
        <w:gridCol w:w="2049"/>
        <w:gridCol w:w="2048"/>
        <w:gridCol w:w="2052"/>
        <w:gridCol w:w="2908"/>
      </w:tblGrid>
      <w:tr w:rsidR="00F15279" w:rsidRPr="00DE52AD" w14:paraId="46A185D9" w14:textId="77777777" w:rsidTr="00B62C0E">
        <w:trPr>
          <w:trHeight w:val="266"/>
        </w:trPr>
        <w:tc>
          <w:tcPr>
            <w:tcW w:w="632" w:type="dxa"/>
            <w:tcBorders>
              <w:top w:val="nil"/>
              <w:bottom w:val="nil"/>
              <w:right w:val="single" w:sz="12" w:space="0" w:color="auto"/>
            </w:tcBorders>
          </w:tcPr>
          <w:p w14:paraId="3B5423AF" w14:textId="77777777" w:rsidR="00F15279" w:rsidRPr="00DE52AD" w:rsidRDefault="00F15279" w:rsidP="00B62C0E">
            <w:pPr>
              <w:spacing w:after="0" w:line="240" w:lineRule="auto"/>
              <w:rPr>
                <w:rFonts w:eastAsia="Times New Roman"/>
                <w:lang w:val="en-GB"/>
              </w:rPr>
            </w:pPr>
          </w:p>
        </w:tc>
        <w:tc>
          <w:tcPr>
            <w:tcW w:w="10245" w:type="dxa"/>
            <w:gridSpan w:val="5"/>
            <w:tcBorders>
              <w:top w:val="single" w:sz="12" w:space="0" w:color="auto"/>
              <w:left w:val="single" w:sz="12" w:space="0" w:color="auto"/>
              <w:bottom w:val="single" w:sz="12" w:space="0" w:color="auto"/>
              <w:right w:val="single" w:sz="12" w:space="0" w:color="auto"/>
            </w:tcBorders>
            <w:shd w:val="clear" w:color="auto" w:fill="D0CECE"/>
          </w:tcPr>
          <w:p w14:paraId="25E9B147"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 xml:space="preserve">Scenario 3: Full market response </w:t>
            </w:r>
          </w:p>
        </w:tc>
        <w:tc>
          <w:tcPr>
            <w:tcW w:w="2908" w:type="dxa"/>
            <w:vMerge w:val="restart"/>
            <w:tcBorders>
              <w:top w:val="single" w:sz="12" w:space="0" w:color="auto"/>
              <w:left w:val="single" w:sz="12" w:space="0" w:color="auto"/>
              <w:right w:val="single" w:sz="12" w:space="0" w:color="auto"/>
            </w:tcBorders>
            <w:shd w:val="clear" w:color="auto" w:fill="F7CAAC"/>
          </w:tcPr>
          <w:p w14:paraId="1142B189"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OVERALL IMPACT</w:t>
            </w:r>
          </w:p>
        </w:tc>
      </w:tr>
      <w:tr w:rsidR="00F15279" w:rsidRPr="00DE52AD" w14:paraId="1B535AD0" w14:textId="77777777" w:rsidTr="00B62C0E">
        <w:trPr>
          <w:trHeight w:val="266"/>
        </w:trPr>
        <w:tc>
          <w:tcPr>
            <w:tcW w:w="632" w:type="dxa"/>
            <w:tcBorders>
              <w:top w:val="nil"/>
              <w:bottom w:val="single" w:sz="12" w:space="0" w:color="auto"/>
              <w:right w:val="single" w:sz="12" w:space="0" w:color="auto"/>
            </w:tcBorders>
          </w:tcPr>
          <w:p w14:paraId="3D98AEB3" w14:textId="77777777" w:rsidR="00F15279" w:rsidRPr="00DE52AD" w:rsidRDefault="00F15279" w:rsidP="00B62C0E">
            <w:pPr>
              <w:spacing w:after="0" w:line="240" w:lineRule="auto"/>
              <w:rPr>
                <w:rFonts w:eastAsia="Times New Roman"/>
                <w:lang w:val="en-GB"/>
              </w:rPr>
            </w:pPr>
          </w:p>
        </w:tc>
        <w:tc>
          <w:tcPr>
            <w:tcW w:w="2048" w:type="dxa"/>
            <w:tcBorders>
              <w:top w:val="single" w:sz="12" w:space="0" w:color="auto"/>
              <w:left w:val="single" w:sz="12" w:space="0" w:color="auto"/>
              <w:bottom w:val="single" w:sz="12" w:space="0" w:color="auto"/>
              <w:right w:val="single" w:sz="6" w:space="0" w:color="auto"/>
            </w:tcBorders>
            <w:shd w:val="clear" w:color="auto" w:fill="D0CECE"/>
          </w:tcPr>
          <w:p w14:paraId="2572CCD7"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Magticom</w:t>
            </w:r>
          </w:p>
        </w:tc>
        <w:tc>
          <w:tcPr>
            <w:tcW w:w="2048" w:type="dxa"/>
            <w:tcBorders>
              <w:top w:val="single" w:sz="12" w:space="0" w:color="auto"/>
              <w:left w:val="single" w:sz="6" w:space="0" w:color="auto"/>
              <w:bottom w:val="single" w:sz="12" w:space="0" w:color="auto"/>
              <w:right w:val="single" w:sz="6" w:space="0" w:color="auto"/>
            </w:tcBorders>
            <w:shd w:val="clear" w:color="auto" w:fill="D0CECE"/>
          </w:tcPr>
          <w:p w14:paraId="40291658"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Silknet</w:t>
            </w:r>
          </w:p>
        </w:tc>
        <w:tc>
          <w:tcPr>
            <w:tcW w:w="2049" w:type="dxa"/>
            <w:tcBorders>
              <w:top w:val="single" w:sz="12" w:space="0" w:color="auto"/>
              <w:left w:val="single" w:sz="6" w:space="0" w:color="auto"/>
              <w:bottom w:val="single" w:sz="12" w:space="0" w:color="auto"/>
              <w:right w:val="single" w:sz="6" w:space="0" w:color="auto"/>
            </w:tcBorders>
            <w:shd w:val="clear" w:color="auto" w:fill="D0CECE"/>
          </w:tcPr>
          <w:p w14:paraId="034AF754"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Cellfie</w:t>
            </w:r>
          </w:p>
        </w:tc>
        <w:tc>
          <w:tcPr>
            <w:tcW w:w="2048" w:type="dxa"/>
            <w:tcBorders>
              <w:top w:val="single" w:sz="12" w:space="0" w:color="auto"/>
              <w:left w:val="single" w:sz="6" w:space="0" w:color="auto"/>
              <w:bottom w:val="single" w:sz="12" w:space="0" w:color="auto"/>
              <w:right w:val="single" w:sz="6" w:space="0" w:color="auto"/>
            </w:tcBorders>
            <w:shd w:val="clear" w:color="auto" w:fill="D0CECE"/>
          </w:tcPr>
          <w:p w14:paraId="6DFEFE52"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MVNOs</w:t>
            </w:r>
          </w:p>
        </w:tc>
        <w:tc>
          <w:tcPr>
            <w:tcW w:w="2049" w:type="dxa"/>
            <w:tcBorders>
              <w:top w:val="single" w:sz="12" w:space="0" w:color="auto"/>
              <w:left w:val="single" w:sz="6" w:space="0" w:color="auto"/>
              <w:bottom w:val="single" w:sz="12" w:space="0" w:color="auto"/>
              <w:right w:val="single" w:sz="12" w:space="0" w:color="auto"/>
            </w:tcBorders>
            <w:shd w:val="clear" w:color="auto" w:fill="D0CECE"/>
          </w:tcPr>
          <w:p w14:paraId="6A6F8175" w14:textId="77777777" w:rsidR="00F15279" w:rsidRPr="00DE52AD" w:rsidRDefault="00F15279" w:rsidP="00B62C0E">
            <w:pPr>
              <w:spacing w:after="0" w:line="240" w:lineRule="auto"/>
              <w:jc w:val="center"/>
              <w:rPr>
                <w:rFonts w:eastAsia="Times New Roman"/>
                <w:b/>
                <w:bCs/>
                <w:lang w:val="en-GB"/>
              </w:rPr>
            </w:pPr>
            <w:r w:rsidRPr="00DE52AD">
              <w:rPr>
                <w:rFonts w:eastAsia="Times New Roman"/>
                <w:b/>
                <w:bCs/>
                <w:lang w:val="en-GB"/>
              </w:rPr>
              <w:t>Fixed operators</w:t>
            </w:r>
          </w:p>
        </w:tc>
        <w:tc>
          <w:tcPr>
            <w:tcW w:w="2908" w:type="dxa"/>
            <w:vMerge/>
            <w:tcBorders>
              <w:left w:val="single" w:sz="12" w:space="0" w:color="auto"/>
              <w:bottom w:val="single" w:sz="12" w:space="0" w:color="auto"/>
              <w:right w:val="single" w:sz="12" w:space="0" w:color="auto"/>
            </w:tcBorders>
            <w:shd w:val="clear" w:color="auto" w:fill="F7CAAC"/>
          </w:tcPr>
          <w:p w14:paraId="52C64509" w14:textId="77777777" w:rsidR="00F15279" w:rsidRPr="00DE52AD" w:rsidRDefault="00F15279" w:rsidP="00B62C0E">
            <w:pPr>
              <w:spacing w:after="0" w:line="240" w:lineRule="auto"/>
              <w:jc w:val="center"/>
              <w:rPr>
                <w:rFonts w:eastAsia="Times New Roman"/>
                <w:b/>
                <w:bCs/>
                <w:lang w:val="en-GB"/>
              </w:rPr>
            </w:pPr>
          </w:p>
        </w:tc>
      </w:tr>
      <w:tr w:rsidR="00F15279" w:rsidRPr="00EC7480" w14:paraId="2B283F5A" w14:textId="77777777" w:rsidTr="00B62C0E">
        <w:trPr>
          <w:cantSplit/>
          <w:trHeight w:val="1097"/>
        </w:trPr>
        <w:tc>
          <w:tcPr>
            <w:tcW w:w="632" w:type="dxa"/>
            <w:tcBorders>
              <w:top w:val="single" w:sz="12" w:space="0" w:color="auto"/>
              <w:left w:val="single" w:sz="12" w:space="0" w:color="auto"/>
              <w:bottom w:val="single" w:sz="6" w:space="0" w:color="auto"/>
              <w:right w:val="single" w:sz="12" w:space="0" w:color="auto"/>
            </w:tcBorders>
            <w:shd w:val="clear" w:color="auto" w:fill="F7CAAC"/>
            <w:textDirection w:val="btLr"/>
          </w:tcPr>
          <w:p w14:paraId="67CFB0A8" w14:textId="77777777" w:rsidR="00F15279" w:rsidRPr="00DE52AD" w:rsidRDefault="00F15279" w:rsidP="00B62C0E">
            <w:pPr>
              <w:spacing w:after="0" w:line="240" w:lineRule="auto"/>
              <w:ind w:left="113" w:right="113"/>
              <w:jc w:val="center"/>
              <w:rPr>
                <w:rFonts w:eastAsia="Times New Roman"/>
                <w:b/>
                <w:bCs/>
                <w:lang w:val="en-GB"/>
              </w:rPr>
            </w:pPr>
            <w:r w:rsidRPr="00DE52AD">
              <w:rPr>
                <w:rFonts w:eastAsia="Times New Roman"/>
                <w:b/>
                <w:bCs/>
                <w:lang w:val="en-GB"/>
              </w:rPr>
              <w:t>Opportunities</w:t>
            </w:r>
          </w:p>
        </w:tc>
        <w:tc>
          <w:tcPr>
            <w:tcW w:w="2048" w:type="dxa"/>
            <w:tcBorders>
              <w:top w:val="single" w:sz="12" w:space="0" w:color="auto"/>
              <w:left w:val="single" w:sz="12" w:space="0" w:color="auto"/>
              <w:bottom w:val="single" w:sz="6" w:space="0" w:color="auto"/>
              <w:right w:val="single" w:sz="6" w:space="0" w:color="auto"/>
            </w:tcBorders>
          </w:tcPr>
          <w:p w14:paraId="25B907BB" w14:textId="77777777" w:rsidR="00F15279" w:rsidRPr="00DE52AD" w:rsidRDefault="00F15279" w:rsidP="00B62C0E">
            <w:pPr>
              <w:spacing w:after="0" w:line="240" w:lineRule="auto"/>
              <w:rPr>
                <w:rFonts w:eastAsia="Times New Roman"/>
                <w:lang w:val="en-GB"/>
              </w:rPr>
            </w:pPr>
            <w:r w:rsidRPr="00DE52AD">
              <w:rPr>
                <w:rFonts w:eastAsia="Times New Roman"/>
                <w:lang w:val="en-GB"/>
              </w:rPr>
              <w:t>Increased retail revenues from overall market stimulation.</w:t>
            </w:r>
          </w:p>
          <w:p w14:paraId="466A5D96" w14:textId="77777777" w:rsidR="00F15279" w:rsidRPr="00DE52AD" w:rsidRDefault="00F15279" w:rsidP="00B62C0E">
            <w:pPr>
              <w:spacing w:after="0" w:line="240" w:lineRule="auto"/>
              <w:rPr>
                <w:rFonts w:eastAsia="Times New Roman"/>
                <w:lang w:val="en-GB"/>
              </w:rPr>
            </w:pPr>
            <w:r w:rsidRPr="00DE52AD">
              <w:rPr>
                <w:rFonts w:eastAsia="Times New Roman"/>
                <w:lang w:val="en-GB"/>
              </w:rPr>
              <w:t xml:space="preserve">Wholesale revenues from bitstream, MVNOs, national roaming and </w:t>
            </w:r>
            <w:r>
              <w:rPr>
                <w:rFonts w:eastAsia="Times New Roman"/>
                <w:lang w:val="en-GB"/>
              </w:rPr>
              <w:t>co-location</w:t>
            </w:r>
          </w:p>
          <w:p w14:paraId="7995165C" w14:textId="77777777" w:rsidR="00F15279" w:rsidRPr="00DE52AD" w:rsidRDefault="00F15279" w:rsidP="00B62C0E">
            <w:pPr>
              <w:spacing w:after="0" w:line="240" w:lineRule="auto"/>
              <w:rPr>
                <w:rFonts w:eastAsia="Times New Roman"/>
                <w:lang w:val="en-GB"/>
              </w:rPr>
            </w:pPr>
          </w:p>
        </w:tc>
        <w:tc>
          <w:tcPr>
            <w:tcW w:w="2048" w:type="dxa"/>
            <w:tcBorders>
              <w:top w:val="single" w:sz="12" w:space="0" w:color="auto"/>
              <w:left w:val="single" w:sz="6" w:space="0" w:color="auto"/>
              <w:bottom w:val="single" w:sz="6" w:space="0" w:color="auto"/>
              <w:right w:val="single" w:sz="6" w:space="0" w:color="auto"/>
            </w:tcBorders>
          </w:tcPr>
          <w:p w14:paraId="6787C393" w14:textId="77777777" w:rsidR="00F15279" w:rsidRPr="00DE52AD" w:rsidRDefault="00F15279" w:rsidP="00B62C0E">
            <w:pPr>
              <w:spacing w:after="0" w:line="240" w:lineRule="auto"/>
              <w:rPr>
                <w:rFonts w:eastAsia="Times New Roman"/>
                <w:lang w:val="en-GB"/>
              </w:rPr>
            </w:pPr>
            <w:r w:rsidRPr="00DE52AD">
              <w:rPr>
                <w:rFonts w:eastAsia="Times New Roman"/>
                <w:lang w:val="en-GB"/>
              </w:rPr>
              <w:t>Increased retail revenues from overall market stimulation.</w:t>
            </w:r>
          </w:p>
          <w:p w14:paraId="5E66DDDB" w14:textId="77777777" w:rsidR="00F15279" w:rsidRPr="00DE52AD" w:rsidRDefault="00F15279" w:rsidP="00B62C0E">
            <w:pPr>
              <w:spacing w:after="0" w:line="240" w:lineRule="auto"/>
              <w:rPr>
                <w:rFonts w:eastAsia="Times New Roman"/>
                <w:lang w:val="en-GB"/>
              </w:rPr>
            </w:pPr>
            <w:r w:rsidRPr="00DE52AD">
              <w:rPr>
                <w:rFonts w:eastAsia="Times New Roman"/>
                <w:lang w:val="en-GB"/>
              </w:rPr>
              <w:t>Possible launch of competing wholesale offers.</w:t>
            </w:r>
          </w:p>
        </w:tc>
        <w:tc>
          <w:tcPr>
            <w:tcW w:w="2049" w:type="dxa"/>
            <w:tcBorders>
              <w:top w:val="single" w:sz="12" w:space="0" w:color="auto"/>
              <w:left w:val="single" w:sz="6" w:space="0" w:color="auto"/>
              <w:bottom w:val="single" w:sz="6" w:space="0" w:color="auto"/>
              <w:right w:val="single" w:sz="6" w:space="0" w:color="auto"/>
            </w:tcBorders>
          </w:tcPr>
          <w:p w14:paraId="2B59F346" w14:textId="77777777" w:rsidR="00F15279" w:rsidRPr="00DE52AD" w:rsidRDefault="00F15279" w:rsidP="00B62C0E">
            <w:pPr>
              <w:spacing w:after="0" w:line="240" w:lineRule="auto"/>
              <w:rPr>
                <w:rFonts w:eastAsia="Times New Roman"/>
                <w:lang w:val="en-GB"/>
              </w:rPr>
            </w:pPr>
            <w:r w:rsidRPr="00DE52AD">
              <w:rPr>
                <w:rFonts w:eastAsia="Times New Roman"/>
                <w:lang w:val="en-GB"/>
              </w:rPr>
              <w:t>Increased retail revenues from overall market stimulation.</w:t>
            </w:r>
          </w:p>
          <w:p w14:paraId="34D6A0AB" w14:textId="77777777" w:rsidR="00F15279" w:rsidRPr="00DE52AD" w:rsidRDefault="00F15279" w:rsidP="00B62C0E">
            <w:pPr>
              <w:spacing w:after="0" w:line="240" w:lineRule="auto"/>
              <w:rPr>
                <w:rFonts w:eastAsia="Times New Roman"/>
                <w:lang w:val="en-GB"/>
              </w:rPr>
            </w:pPr>
            <w:r w:rsidRPr="00DE52AD">
              <w:rPr>
                <w:rFonts w:eastAsia="Times New Roman"/>
                <w:lang w:val="en-GB"/>
              </w:rPr>
              <w:t>Reduced cost of extending mobile network coverage.</w:t>
            </w:r>
          </w:p>
          <w:p w14:paraId="28DE8A9A" w14:textId="77777777" w:rsidR="00F15279" w:rsidRPr="00DE52AD" w:rsidRDefault="00F15279" w:rsidP="00B62C0E">
            <w:pPr>
              <w:spacing w:after="0" w:line="240" w:lineRule="auto"/>
              <w:rPr>
                <w:rFonts w:eastAsia="Times New Roman"/>
                <w:lang w:val="en-GB"/>
              </w:rPr>
            </w:pPr>
            <w:r w:rsidRPr="00DE52AD">
              <w:rPr>
                <w:rFonts w:eastAsia="Times New Roman"/>
                <w:lang w:val="en-GB"/>
              </w:rPr>
              <w:t>Revenues generated by converged fixed/ mobile bundles.</w:t>
            </w:r>
          </w:p>
        </w:tc>
        <w:tc>
          <w:tcPr>
            <w:tcW w:w="2048" w:type="dxa"/>
            <w:tcBorders>
              <w:top w:val="single" w:sz="12" w:space="0" w:color="auto"/>
              <w:left w:val="single" w:sz="6" w:space="0" w:color="auto"/>
              <w:bottom w:val="single" w:sz="6" w:space="0" w:color="auto"/>
              <w:right w:val="single" w:sz="6" w:space="0" w:color="auto"/>
            </w:tcBorders>
          </w:tcPr>
          <w:p w14:paraId="7C77FE8C" w14:textId="77777777" w:rsidR="00F15279" w:rsidRPr="00DE52AD" w:rsidRDefault="00F15279" w:rsidP="00B62C0E">
            <w:pPr>
              <w:spacing w:after="0" w:line="240" w:lineRule="auto"/>
              <w:rPr>
                <w:rFonts w:eastAsia="Times New Roman"/>
                <w:lang w:val="en-GB"/>
              </w:rPr>
            </w:pPr>
            <w:r w:rsidRPr="00DE52AD">
              <w:rPr>
                <w:rFonts w:eastAsia="Times New Roman"/>
                <w:lang w:val="en-GB"/>
              </w:rPr>
              <w:t>MVNOs enter the market in response to good market demand for innovative new mobile products, assisted in part by the presence of an MVNEs and/or MVNAs</w:t>
            </w:r>
          </w:p>
        </w:tc>
        <w:tc>
          <w:tcPr>
            <w:tcW w:w="2049" w:type="dxa"/>
            <w:tcBorders>
              <w:top w:val="single" w:sz="12" w:space="0" w:color="auto"/>
              <w:left w:val="single" w:sz="6" w:space="0" w:color="auto"/>
              <w:bottom w:val="single" w:sz="6" w:space="0" w:color="auto"/>
              <w:right w:val="single" w:sz="6" w:space="0" w:color="auto"/>
            </w:tcBorders>
          </w:tcPr>
          <w:p w14:paraId="226D4170" w14:textId="77777777" w:rsidR="00F15279" w:rsidRPr="00DE52AD" w:rsidRDefault="00F15279" w:rsidP="00B62C0E">
            <w:pPr>
              <w:spacing w:after="0" w:line="240" w:lineRule="auto"/>
              <w:rPr>
                <w:rFonts w:eastAsia="Times New Roman"/>
                <w:lang w:val="en-GB"/>
              </w:rPr>
            </w:pPr>
            <w:r w:rsidRPr="00DE52AD">
              <w:rPr>
                <w:rFonts w:eastAsia="Times New Roman"/>
                <w:lang w:val="en-GB"/>
              </w:rPr>
              <w:t>Additional fixed revenues from new areas reached via bitstream.</w:t>
            </w:r>
          </w:p>
          <w:p w14:paraId="547433D6" w14:textId="77777777" w:rsidR="00F15279" w:rsidRPr="00DE52AD" w:rsidRDefault="00F15279" w:rsidP="00B62C0E">
            <w:pPr>
              <w:spacing w:after="0" w:line="240" w:lineRule="auto"/>
              <w:rPr>
                <w:rFonts w:eastAsia="Times New Roman"/>
                <w:lang w:val="en-GB"/>
              </w:rPr>
            </w:pPr>
            <w:r w:rsidRPr="00DE52AD">
              <w:rPr>
                <w:rFonts w:eastAsia="Times New Roman"/>
                <w:lang w:val="en-GB"/>
              </w:rPr>
              <w:t>Revenues from converged fixed-mobile offers</w:t>
            </w:r>
          </w:p>
        </w:tc>
        <w:tc>
          <w:tcPr>
            <w:tcW w:w="2908" w:type="dxa"/>
            <w:tcBorders>
              <w:top w:val="single" w:sz="12" w:space="0" w:color="auto"/>
              <w:left w:val="single" w:sz="6" w:space="0" w:color="auto"/>
              <w:right w:val="single" w:sz="12" w:space="0" w:color="auto"/>
            </w:tcBorders>
            <w:shd w:val="clear" w:color="auto" w:fill="F7CAAC"/>
          </w:tcPr>
          <w:p w14:paraId="08F583E5"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Stimulation of overall market revenues and competition.</w:t>
            </w:r>
          </w:p>
          <w:p w14:paraId="4DD191ED" w14:textId="77777777" w:rsidR="00F15279" w:rsidRPr="00DE52AD" w:rsidRDefault="00F15279" w:rsidP="00B62C0E">
            <w:pPr>
              <w:spacing w:after="0" w:line="240" w:lineRule="auto"/>
              <w:rPr>
                <w:rFonts w:eastAsia="Times New Roman"/>
                <w:b/>
                <w:bCs/>
                <w:lang w:val="en-GB"/>
              </w:rPr>
            </w:pPr>
          </w:p>
          <w:p w14:paraId="7BD8119A"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[See attached illustrative market simulation showing positive EBITDA impact for both Magticom and MVNOs.]</w:t>
            </w:r>
          </w:p>
        </w:tc>
      </w:tr>
      <w:tr w:rsidR="00F15279" w:rsidRPr="00EC7480" w14:paraId="10B029C7" w14:textId="77777777" w:rsidTr="00B62C0E">
        <w:trPr>
          <w:cantSplit/>
          <w:trHeight w:val="1097"/>
        </w:trPr>
        <w:tc>
          <w:tcPr>
            <w:tcW w:w="632" w:type="dxa"/>
            <w:tcBorders>
              <w:top w:val="single" w:sz="6" w:space="0" w:color="auto"/>
              <w:left w:val="single" w:sz="12" w:space="0" w:color="auto"/>
              <w:bottom w:val="single" w:sz="12" w:space="0" w:color="auto"/>
              <w:right w:val="single" w:sz="12" w:space="0" w:color="auto"/>
            </w:tcBorders>
            <w:shd w:val="clear" w:color="auto" w:fill="F7CAAC"/>
            <w:textDirection w:val="btLr"/>
          </w:tcPr>
          <w:p w14:paraId="421323A8" w14:textId="77777777" w:rsidR="00F15279" w:rsidRPr="00DE52AD" w:rsidRDefault="00F15279" w:rsidP="00B62C0E">
            <w:pPr>
              <w:spacing w:after="0" w:line="240" w:lineRule="auto"/>
              <w:ind w:left="113" w:right="113"/>
              <w:jc w:val="center"/>
              <w:rPr>
                <w:rFonts w:eastAsia="Times New Roman"/>
                <w:b/>
                <w:bCs/>
                <w:lang w:val="en-GB"/>
              </w:rPr>
            </w:pPr>
            <w:r w:rsidRPr="00DE52AD">
              <w:rPr>
                <w:rFonts w:eastAsia="Times New Roman"/>
                <w:b/>
                <w:bCs/>
                <w:lang w:val="en-GB"/>
              </w:rPr>
              <w:t>Risks</w:t>
            </w:r>
          </w:p>
        </w:tc>
        <w:tc>
          <w:tcPr>
            <w:tcW w:w="2048" w:type="dxa"/>
            <w:tcBorders>
              <w:top w:val="single" w:sz="6" w:space="0" w:color="auto"/>
              <w:left w:val="single" w:sz="12" w:space="0" w:color="auto"/>
              <w:bottom w:val="single" w:sz="12" w:space="0" w:color="auto"/>
              <w:right w:val="single" w:sz="6" w:space="0" w:color="auto"/>
            </w:tcBorders>
          </w:tcPr>
          <w:p w14:paraId="734BB434" w14:textId="77777777" w:rsidR="00F15279" w:rsidRPr="00DE52AD" w:rsidRDefault="00F15279" w:rsidP="00B62C0E">
            <w:pPr>
              <w:spacing w:after="0" w:line="240" w:lineRule="auto"/>
              <w:rPr>
                <w:rFonts w:eastAsia="Times New Roman"/>
                <w:lang w:val="en-GB"/>
              </w:rPr>
            </w:pPr>
            <w:r w:rsidRPr="00DE52AD">
              <w:rPr>
                <w:rFonts w:eastAsia="Times New Roman"/>
                <w:lang w:val="en-GB"/>
              </w:rPr>
              <w:t>Loss of retail market shares in both fixed and mobile markets.</w:t>
            </w:r>
          </w:p>
          <w:p w14:paraId="3A4D165E" w14:textId="77777777" w:rsidR="00F15279" w:rsidRPr="00DE52AD" w:rsidRDefault="00F15279" w:rsidP="00B62C0E">
            <w:pPr>
              <w:spacing w:after="0" w:line="240" w:lineRule="auto"/>
              <w:rPr>
                <w:rFonts w:eastAsia="Times New Roman"/>
                <w:lang w:val="en-GB"/>
              </w:rPr>
            </w:pPr>
          </w:p>
        </w:tc>
        <w:tc>
          <w:tcPr>
            <w:tcW w:w="2048" w:type="dxa"/>
            <w:tcBorders>
              <w:top w:val="single" w:sz="6" w:space="0" w:color="auto"/>
              <w:left w:val="single" w:sz="6" w:space="0" w:color="auto"/>
              <w:bottom w:val="single" w:sz="12" w:space="0" w:color="auto"/>
              <w:right w:val="single" w:sz="6" w:space="0" w:color="auto"/>
            </w:tcBorders>
          </w:tcPr>
          <w:p w14:paraId="3A5FE825" w14:textId="77777777" w:rsidR="00F15279" w:rsidRPr="00DE52AD" w:rsidRDefault="00F15279" w:rsidP="00B62C0E">
            <w:pPr>
              <w:spacing w:after="0" w:line="240" w:lineRule="auto"/>
              <w:rPr>
                <w:rFonts w:eastAsia="Times New Roman"/>
                <w:lang w:val="en-GB"/>
              </w:rPr>
            </w:pPr>
            <w:r w:rsidRPr="00DE52AD">
              <w:rPr>
                <w:rFonts w:eastAsia="Times New Roman"/>
                <w:lang w:val="en-GB"/>
              </w:rPr>
              <w:t>Loss of retail market shares in both fixed and mobile markets.</w:t>
            </w:r>
          </w:p>
          <w:p w14:paraId="0C599EAC" w14:textId="77777777" w:rsidR="00F15279" w:rsidRPr="00DE52AD" w:rsidRDefault="00F15279" w:rsidP="00B62C0E">
            <w:pPr>
              <w:spacing w:after="0" w:line="240" w:lineRule="auto"/>
              <w:rPr>
                <w:rFonts w:eastAsia="Times New Roman"/>
                <w:lang w:val="en-GB"/>
              </w:rPr>
            </w:pPr>
          </w:p>
        </w:tc>
        <w:tc>
          <w:tcPr>
            <w:tcW w:w="2049" w:type="dxa"/>
            <w:tcBorders>
              <w:top w:val="single" w:sz="6" w:space="0" w:color="auto"/>
              <w:left w:val="single" w:sz="6" w:space="0" w:color="auto"/>
              <w:bottom w:val="single" w:sz="12" w:space="0" w:color="auto"/>
              <w:right w:val="single" w:sz="6" w:space="0" w:color="auto"/>
            </w:tcBorders>
          </w:tcPr>
          <w:p w14:paraId="6528EE0B" w14:textId="77777777" w:rsidR="00F15279" w:rsidRPr="00DE52AD" w:rsidRDefault="00F15279" w:rsidP="00B62C0E">
            <w:pPr>
              <w:spacing w:after="0" w:line="240" w:lineRule="auto"/>
              <w:rPr>
                <w:rFonts w:eastAsia="Times New Roman"/>
                <w:lang w:val="en-GB"/>
              </w:rPr>
            </w:pPr>
            <w:r w:rsidRPr="00DE52AD">
              <w:rPr>
                <w:rFonts w:eastAsia="Times New Roman"/>
                <w:lang w:val="en-GB"/>
              </w:rPr>
              <w:t>Some loss of market share in mobile market</w:t>
            </w:r>
          </w:p>
        </w:tc>
        <w:tc>
          <w:tcPr>
            <w:tcW w:w="2048" w:type="dxa"/>
            <w:tcBorders>
              <w:top w:val="single" w:sz="6" w:space="0" w:color="auto"/>
              <w:left w:val="single" w:sz="6" w:space="0" w:color="auto"/>
              <w:bottom w:val="single" w:sz="12" w:space="0" w:color="auto"/>
              <w:right w:val="single" w:sz="6" w:space="0" w:color="auto"/>
            </w:tcBorders>
          </w:tcPr>
          <w:p w14:paraId="6E4119B9" w14:textId="77777777" w:rsidR="00F15279" w:rsidRPr="00DE52AD" w:rsidRDefault="00F15279" w:rsidP="00B62C0E">
            <w:pPr>
              <w:spacing w:after="0" w:line="240" w:lineRule="auto"/>
              <w:rPr>
                <w:rFonts w:eastAsia="Times New Roman"/>
                <w:lang w:val="en-GB"/>
              </w:rPr>
            </w:pPr>
          </w:p>
        </w:tc>
        <w:tc>
          <w:tcPr>
            <w:tcW w:w="2049" w:type="dxa"/>
            <w:tcBorders>
              <w:top w:val="single" w:sz="6" w:space="0" w:color="auto"/>
              <w:left w:val="single" w:sz="6" w:space="0" w:color="auto"/>
              <w:bottom w:val="single" w:sz="12" w:space="0" w:color="auto"/>
              <w:right w:val="single" w:sz="6" w:space="0" w:color="auto"/>
            </w:tcBorders>
          </w:tcPr>
          <w:p w14:paraId="5284C677" w14:textId="77777777" w:rsidR="00F15279" w:rsidRPr="00DE52AD" w:rsidRDefault="00F15279" w:rsidP="00B62C0E">
            <w:pPr>
              <w:spacing w:after="0" w:line="240" w:lineRule="auto"/>
              <w:rPr>
                <w:rFonts w:eastAsia="Times New Roman"/>
                <w:lang w:val="en-GB"/>
              </w:rPr>
            </w:pPr>
            <w:r w:rsidRPr="00DE52AD">
              <w:rPr>
                <w:rFonts w:eastAsia="Times New Roman"/>
                <w:lang w:val="en-GB"/>
              </w:rPr>
              <w:t>Cost of launching MVNOs</w:t>
            </w:r>
          </w:p>
        </w:tc>
        <w:tc>
          <w:tcPr>
            <w:tcW w:w="2908" w:type="dxa"/>
            <w:tcBorders>
              <w:left w:val="single" w:sz="6" w:space="0" w:color="auto"/>
              <w:bottom w:val="single" w:sz="12" w:space="0" w:color="auto"/>
              <w:right w:val="single" w:sz="12" w:space="0" w:color="auto"/>
            </w:tcBorders>
            <w:shd w:val="clear" w:color="auto" w:fill="F7CAAC"/>
          </w:tcPr>
          <w:p w14:paraId="4ABEB199" w14:textId="77777777" w:rsidR="00F15279" w:rsidRPr="00DE52AD" w:rsidRDefault="00F15279" w:rsidP="00B62C0E">
            <w:pPr>
              <w:spacing w:after="0" w:line="240" w:lineRule="auto"/>
              <w:rPr>
                <w:rFonts w:eastAsia="Times New Roman"/>
                <w:b/>
                <w:bCs/>
                <w:lang w:val="en-GB"/>
              </w:rPr>
            </w:pPr>
            <w:r w:rsidRPr="00DE52AD">
              <w:rPr>
                <w:rFonts w:eastAsia="Times New Roman"/>
                <w:b/>
                <w:bCs/>
                <w:lang w:val="en-GB"/>
              </w:rPr>
              <w:t>Loss of retail market shares mainly by Magticom and Silknet</w:t>
            </w:r>
          </w:p>
        </w:tc>
      </w:tr>
    </w:tbl>
    <w:p w14:paraId="513F800C" w14:textId="77777777" w:rsidR="00F15279" w:rsidRPr="00DE52AD" w:rsidRDefault="00F15279" w:rsidP="00F15279">
      <w:pPr>
        <w:spacing w:after="160" w:line="259" w:lineRule="auto"/>
        <w:jc w:val="both"/>
        <w:rPr>
          <w:rFonts w:eastAsia="Times New Roman"/>
          <w:b/>
          <w:bCs/>
          <w:kern w:val="2"/>
          <w:lang w:val="en-GB"/>
        </w:rPr>
      </w:pPr>
    </w:p>
    <w:p w14:paraId="0C203483" w14:textId="77777777" w:rsidR="00F15279" w:rsidRDefault="00F15279" w:rsidP="00F15279"/>
    <w:p w14:paraId="49112F5B" w14:textId="77777777" w:rsidR="00F15279" w:rsidRDefault="00F15279" w:rsidP="00F15279">
      <w:pPr>
        <w:tabs>
          <w:tab w:val="left" w:pos="1512"/>
        </w:tabs>
        <w:rPr>
          <w:rFonts w:eastAsia="Times New Roman"/>
          <w:kern w:val="2"/>
          <w:lang w:val="en-GB"/>
        </w:rPr>
      </w:pPr>
    </w:p>
    <w:p w14:paraId="52E0C89B" w14:textId="77777777" w:rsidR="00BC66DF" w:rsidRDefault="00F15279" w:rsidP="00AA7EAA">
      <w:pPr>
        <w:tabs>
          <w:tab w:val="left" w:pos="1512"/>
        </w:tabs>
        <w:rPr>
          <w:rFonts w:eastAsia="Times New Roman" w:cs="Calibri"/>
          <w:sz w:val="20"/>
          <w:szCs w:val="20"/>
          <w:lang w:val="en-GB" w:eastAsia="fr-FR"/>
        </w:rPr>
      </w:pPr>
      <w:r>
        <w:rPr>
          <w:rFonts w:eastAsia="Times New Roman" w:cs="Calibri"/>
          <w:sz w:val="20"/>
          <w:szCs w:val="20"/>
          <w:lang w:val="en-GB" w:eastAsia="fr-FR"/>
        </w:rPr>
        <w:tab/>
      </w:r>
    </w:p>
    <w:p w14:paraId="7B2FCFFF" w14:textId="77777777" w:rsidR="005B1B62" w:rsidRDefault="005B1B62" w:rsidP="00AA7EAA">
      <w:pPr>
        <w:tabs>
          <w:tab w:val="left" w:pos="1512"/>
        </w:tabs>
        <w:rPr>
          <w:rFonts w:eastAsia="Times New Roman" w:cs="Calibri"/>
          <w:sz w:val="20"/>
          <w:szCs w:val="20"/>
          <w:lang w:val="en-GB" w:eastAsia="fr-FR"/>
        </w:rPr>
      </w:pPr>
    </w:p>
    <w:p w14:paraId="0B9B5545" w14:textId="77777777" w:rsidR="005B1B62" w:rsidRDefault="005B1B62" w:rsidP="00AA7EAA">
      <w:pPr>
        <w:tabs>
          <w:tab w:val="left" w:pos="1512"/>
        </w:tabs>
        <w:rPr>
          <w:rFonts w:eastAsia="Times New Roman" w:cs="Calibri"/>
          <w:sz w:val="20"/>
          <w:szCs w:val="20"/>
          <w:lang w:val="en-GB" w:eastAsia="fr-FR"/>
        </w:rPr>
      </w:pPr>
    </w:p>
    <w:p w14:paraId="117F9E85" w14:textId="77777777" w:rsidR="005B1B62" w:rsidRDefault="005B1B62" w:rsidP="00AA7EAA">
      <w:pPr>
        <w:tabs>
          <w:tab w:val="left" w:pos="1512"/>
        </w:tabs>
        <w:rPr>
          <w:rFonts w:eastAsia="Times New Roman" w:cs="Calibri"/>
          <w:sz w:val="20"/>
          <w:szCs w:val="20"/>
          <w:lang w:val="en-GB" w:eastAsia="fr-FR"/>
        </w:rPr>
      </w:pPr>
    </w:p>
    <w:p w14:paraId="25040593" w14:textId="77777777" w:rsidR="005B1B62" w:rsidRDefault="005B1B62" w:rsidP="00AA7EAA">
      <w:pPr>
        <w:tabs>
          <w:tab w:val="left" w:pos="1512"/>
        </w:tabs>
        <w:rPr>
          <w:rFonts w:eastAsia="Times New Roman" w:cs="Calibri"/>
          <w:sz w:val="20"/>
          <w:szCs w:val="20"/>
          <w:lang w:val="en-GB" w:eastAsia="fr-FR"/>
        </w:rPr>
      </w:pPr>
    </w:p>
    <w:p w14:paraId="64D8DF06" w14:textId="77777777" w:rsidR="005B1B62" w:rsidRDefault="005B1B62" w:rsidP="00AA7EAA">
      <w:pPr>
        <w:tabs>
          <w:tab w:val="left" w:pos="1512"/>
        </w:tabs>
        <w:rPr>
          <w:rFonts w:eastAsia="Times New Roman" w:cs="Calibri"/>
          <w:sz w:val="20"/>
          <w:szCs w:val="20"/>
          <w:lang w:val="en-GB" w:eastAsia="fr-FR"/>
        </w:rPr>
      </w:pPr>
    </w:p>
    <w:p w14:paraId="7AB8A4C3" w14:textId="03EE351B" w:rsidR="005B1B62" w:rsidRDefault="005B1B62" w:rsidP="00AA7EAA">
      <w:pPr>
        <w:tabs>
          <w:tab w:val="left" w:pos="1512"/>
        </w:tabs>
        <w:rPr>
          <w:lang w:val="en-GB"/>
        </w:rPr>
        <w:sectPr w:rsidR="005B1B62" w:rsidSect="0073442C">
          <w:pgSz w:w="16838" w:h="11906" w:orient="landscape"/>
          <w:pgMar w:top="1418" w:right="1134" w:bottom="1418" w:left="1418" w:header="709" w:footer="709" w:gutter="0"/>
          <w:cols w:space="708"/>
          <w:docGrid w:linePitch="360"/>
        </w:sectPr>
      </w:pPr>
      <w:r>
        <w:rPr>
          <w:noProof/>
        </w:rPr>
        <w:drawing>
          <wp:inline distT="0" distB="0" distL="0" distR="0" wp14:anchorId="64780A19" wp14:editId="00925DBF">
            <wp:extent cx="9071610" cy="5166360"/>
            <wp:effectExtent l="0" t="0" r="0" b="0"/>
            <wp:docPr id="1422112346" name="Picture 1" descr="A diagram of different types of grap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12346" name="Picture 1" descr="A diagram of different types of graphs&#10;&#10;Description automatically generated with medium confidence"/>
                    <pic:cNvPicPr/>
                  </pic:nvPicPr>
                  <pic:blipFill>
                    <a:blip r:embed="rId52"/>
                    <a:stretch>
                      <a:fillRect/>
                    </a:stretch>
                  </pic:blipFill>
                  <pic:spPr>
                    <a:xfrm>
                      <a:off x="0" y="0"/>
                      <a:ext cx="9071610" cy="5166360"/>
                    </a:xfrm>
                    <a:prstGeom prst="rect">
                      <a:avLst/>
                    </a:prstGeom>
                  </pic:spPr>
                </pic:pic>
              </a:graphicData>
            </a:graphic>
          </wp:inline>
        </w:drawing>
      </w:r>
    </w:p>
    <w:p w14:paraId="62D66438" w14:textId="3C5A67D3" w:rsidR="00903D5E" w:rsidRDefault="00903D5E" w:rsidP="002C39C8">
      <w:pPr>
        <w:pStyle w:val="Heading1"/>
        <w:rPr>
          <w:lang w:val="en-GB"/>
        </w:rPr>
      </w:pPr>
      <w:bookmarkStart w:id="373" w:name="_Toc149071449"/>
      <w:bookmarkStart w:id="374" w:name="_Toc169259014"/>
      <w:r>
        <w:rPr>
          <w:lang w:val="en-GB"/>
        </w:rPr>
        <w:t xml:space="preserve">Annex 1: The geographical </w:t>
      </w:r>
      <w:r w:rsidR="006A7B20">
        <w:rPr>
          <w:lang w:val="en-GB"/>
        </w:rPr>
        <w:t>coverage</w:t>
      </w:r>
      <w:r w:rsidR="00664190">
        <w:rPr>
          <w:lang w:val="en-GB"/>
        </w:rPr>
        <w:t xml:space="preserve"> and take-up</w:t>
      </w:r>
      <w:r>
        <w:rPr>
          <w:lang w:val="en-GB"/>
        </w:rPr>
        <w:t xml:space="preserve"> of fibre networks</w:t>
      </w:r>
      <w:bookmarkEnd w:id="373"/>
      <w:bookmarkEnd w:id="374"/>
    </w:p>
    <w:p w14:paraId="55CFA5AA" w14:textId="5AF05AAE" w:rsidR="00903D5E" w:rsidRPr="002C39C8" w:rsidRDefault="00903D5E" w:rsidP="00903D5E">
      <w:pPr>
        <w:jc w:val="both"/>
        <w:rPr>
          <w:sz w:val="24"/>
          <w:szCs w:val="24"/>
          <w:lang w:val="en-GB"/>
        </w:rPr>
      </w:pPr>
      <w:r w:rsidRPr="002C39C8">
        <w:rPr>
          <w:sz w:val="24"/>
          <w:szCs w:val="24"/>
          <w:lang w:val="en-GB"/>
        </w:rPr>
        <w:t xml:space="preserve">The fibre networks in Georgia have very different </w:t>
      </w:r>
      <w:r w:rsidR="001A1B4A" w:rsidRPr="001A1B4A">
        <w:rPr>
          <w:sz w:val="24"/>
          <w:szCs w:val="24"/>
          <w:lang w:val="en-GB"/>
        </w:rPr>
        <w:t>coverage and take-up</w:t>
      </w:r>
      <w:r w:rsidRPr="002C39C8">
        <w:rPr>
          <w:sz w:val="24"/>
          <w:szCs w:val="24"/>
          <w:lang w:val="en-GB"/>
        </w:rPr>
        <w:t xml:space="preserve">, which are depicted in the maps in this Annex. </w:t>
      </w:r>
    </w:p>
    <w:p w14:paraId="67F35C2B" w14:textId="77777777" w:rsidR="00903D5E" w:rsidRPr="002C39C8" w:rsidRDefault="00903D5E" w:rsidP="00903D5E">
      <w:pPr>
        <w:jc w:val="both"/>
        <w:rPr>
          <w:sz w:val="24"/>
          <w:szCs w:val="24"/>
          <w:lang w:val="en-GB"/>
        </w:rPr>
      </w:pPr>
      <w:r w:rsidRPr="002C39C8">
        <w:rPr>
          <w:sz w:val="24"/>
          <w:szCs w:val="24"/>
          <w:lang w:val="en-GB"/>
        </w:rPr>
        <w:t>The methodology of the maps is as follows:</w:t>
      </w:r>
    </w:p>
    <w:p w14:paraId="76822B3C" w14:textId="77777777" w:rsidR="00903D5E" w:rsidRPr="002C39C8" w:rsidRDefault="00903D5E" w:rsidP="00903D5E">
      <w:pPr>
        <w:pStyle w:val="ListParagraph"/>
        <w:numPr>
          <w:ilvl w:val="0"/>
          <w:numId w:val="101"/>
        </w:numPr>
        <w:jc w:val="both"/>
        <w:rPr>
          <w:sz w:val="24"/>
          <w:szCs w:val="24"/>
          <w:lang w:val="en-GB"/>
        </w:rPr>
      </w:pPr>
      <w:r w:rsidRPr="002C39C8">
        <w:rPr>
          <w:sz w:val="24"/>
          <w:szCs w:val="24"/>
          <w:lang w:val="en-GB"/>
        </w:rPr>
        <w:t xml:space="preserve">Every operator is depicted with its own colour (for example Magticom in red). </w:t>
      </w:r>
    </w:p>
    <w:p w14:paraId="6892FCD5" w14:textId="77777777" w:rsidR="00903D5E" w:rsidRPr="002C39C8" w:rsidRDefault="00903D5E" w:rsidP="00903D5E">
      <w:pPr>
        <w:pStyle w:val="ListParagraph"/>
        <w:numPr>
          <w:ilvl w:val="0"/>
          <w:numId w:val="101"/>
        </w:numPr>
        <w:jc w:val="both"/>
        <w:rPr>
          <w:sz w:val="24"/>
          <w:szCs w:val="24"/>
          <w:lang w:val="en-GB"/>
        </w:rPr>
      </w:pPr>
      <w:r w:rsidRPr="002C39C8">
        <w:rPr>
          <w:sz w:val="24"/>
          <w:szCs w:val="24"/>
          <w:lang w:val="en-GB"/>
        </w:rPr>
        <w:t>Settlements where an operator is present are represented with a dot in the colour which represents the operator.</w:t>
      </w:r>
    </w:p>
    <w:p w14:paraId="1AE28B14" w14:textId="77777777" w:rsidR="00903D5E" w:rsidRPr="002C39C8" w:rsidRDefault="00903D5E" w:rsidP="00903D5E">
      <w:pPr>
        <w:pStyle w:val="ListParagraph"/>
        <w:numPr>
          <w:ilvl w:val="0"/>
          <w:numId w:val="101"/>
        </w:numPr>
        <w:jc w:val="both"/>
        <w:rPr>
          <w:sz w:val="24"/>
          <w:szCs w:val="24"/>
          <w:lang w:val="en-GB"/>
        </w:rPr>
      </w:pPr>
      <w:r w:rsidRPr="002C39C8">
        <w:rPr>
          <w:sz w:val="24"/>
          <w:szCs w:val="24"/>
          <w:lang w:val="en-GB"/>
        </w:rPr>
        <w:t>Settlements where an operator is not present, are represented by grey dots.</w:t>
      </w:r>
    </w:p>
    <w:p w14:paraId="58B42E00" w14:textId="2E1232A4" w:rsidR="00903D5E" w:rsidRPr="002C39C8" w:rsidRDefault="00903D5E" w:rsidP="00903D5E">
      <w:pPr>
        <w:pStyle w:val="ListParagraph"/>
        <w:numPr>
          <w:ilvl w:val="0"/>
          <w:numId w:val="101"/>
        </w:numPr>
        <w:jc w:val="both"/>
        <w:rPr>
          <w:sz w:val="24"/>
          <w:szCs w:val="24"/>
          <w:lang w:val="en-GB"/>
        </w:rPr>
      </w:pPr>
      <w:r w:rsidRPr="002C39C8">
        <w:rPr>
          <w:sz w:val="24"/>
          <w:szCs w:val="24"/>
          <w:lang w:val="en-GB"/>
        </w:rPr>
        <w:t xml:space="preserve">Settlements where an operator </w:t>
      </w:r>
      <w:r w:rsidR="00157311">
        <w:rPr>
          <w:sz w:val="24"/>
          <w:szCs w:val="24"/>
          <w:lang w:val="en-GB"/>
        </w:rPr>
        <w:t>serves</w:t>
      </w:r>
      <w:r w:rsidRPr="002C39C8">
        <w:rPr>
          <w:sz w:val="24"/>
          <w:szCs w:val="24"/>
          <w:lang w:val="en-GB"/>
        </w:rPr>
        <w:t xml:space="preserve"> more than 40% </w:t>
      </w:r>
      <w:r w:rsidR="001661C9">
        <w:rPr>
          <w:sz w:val="24"/>
          <w:szCs w:val="24"/>
          <w:lang w:val="en-GB"/>
        </w:rPr>
        <w:t xml:space="preserve">of active subscribers </w:t>
      </w:r>
      <w:r w:rsidRPr="002C39C8">
        <w:rPr>
          <w:sz w:val="24"/>
          <w:szCs w:val="24"/>
          <w:lang w:val="en-GB"/>
        </w:rPr>
        <w:t>are marked with a dark colour.</w:t>
      </w:r>
    </w:p>
    <w:p w14:paraId="4DD9DD14" w14:textId="2FA8B73F" w:rsidR="00903D5E" w:rsidRPr="002C39C8" w:rsidRDefault="00903D5E" w:rsidP="00903D5E">
      <w:pPr>
        <w:pStyle w:val="ListParagraph"/>
        <w:numPr>
          <w:ilvl w:val="0"/>
          <w:numId w:val="101"/>
        </w:numPr>
        <w:jc w:val="both"/>
        <w:rPr>
          <w:sz w:val="24"/>
          <w:szCs w:val="24"/>
          <w:lang w:val="en-GB"/>
        </w:rPr>
      </w:pPr>
      <w:r w:rsidRPr="002C39C8">
        <w:rPr>
          <w:sz w:val="24"/>
          <w:szCs w:val="24"/>
          <w:lang w:val="en-GB"/>
        </w:rPr>
        <w:t xml:space="preserve">Settlements where an operator is present, but </w:t>
      </w:r>
      <w:r w:rsidR="001661C9">
        <w:rPr>
          <w:sz w:val="24"/>
          <w:szCs w:val="24"/>
          <w:lang w:val="en-GB"/>
        </w:rPr>
        <w:t>serves less than</w:t>
      </w:r>
      <w:r w:rsidRPr="002C39C8">
        <w:rPr>
          <w:sz w:val="24"/>
          <w:szCs w:val="24"/>
          <w:lang w:val="en-GB"/>
        </w:rPr>
        <w:t xml:space="preserve"> 40%</w:t>
      </w:r>
      <w:r w:rsidR="001661C9">
        <w:rPr>
          <w:sz w:val="24"/>
          <w:szCs w:val="24"/>
          <w:lang w:val="en-GB"/>
        </w:rPr>
        <w:t xml:space="preserve"> of active subscribers</w:t>
      </w:r>
      <w:r w:rsidRPr="002C39C8">
        <w:rPr>
          <w:sz w:val="24"/>
          <w:szCs w:val="24"/>
          <w:lang w:val="en-GB"/>
        </w:rPr>
        <w:t xml:space="preserve">, are marked with light colour. </w:t>
      </w:r>
    </w:p>
    <w:p w14:paraId="1A134520" w14:textId="4C1824C5" w:rsidR="00903D5E" w:rsidRPr="002C39C8" w:rsidRDefault="00903D5E" w:rsidP="008E7C6B">
      <w:pPr>
        <w:pStyle w:val="ListParagraph"/>
        <w:numPr>
          <w:ilvl w:val="0"/>
          <w:numId w:val="101"/>
        </w:numPr>
        <w:jc w:val="both"/>
        <w:rPr>
          <w:sz w:val="24"/>
          <w:szCs w:val="24"/>
          <w:lang w:val="en-GB"/>
        </w:rPr>
      </w:pPr>
      <w:r w:rsidRPr="002C39C8">
        <w:rPr>
          <w:sz w:val="24"/>
          <w:szCs w:val="24"/>
          <w:lang w:val="en-GB"/>
        </w:rPr>
        <w:t>The population of settlements is represented by the size of the dot (Tbilisi, settlements with 100,000 to 200</w:t>
      </w:r>
      <w:r w:rsidR="00F54BCD" w:rsidRPr="002C39C8">
        <w:rPr>
          <w:sz w:val="24"/>
          <w:szCs w:val="24"/>
          <w:lang w:val="en-GB"/>
        </w:rPr>
        <w:t>,</w:t>
      </w:r>
      <w:r w:rsidRPr="002C39C8">
        <w:rPr>
          <w:sz w:val="24"/>
          <w:szCs w:val="24"/>
          <w:lang w:val="en-GB"/>
        </w:rPr>
        <w:t>000 inhabitants, settlements with 10</w:t>
      </w:r>
      <w:r w:rsidR="00F54BCD" w:rsidRPr="002C39C8">
        <w:rPr>
          <w:sz w:val="24"/>
          <w:szCs w:val="24"/>
          <w:lang w:val="en-GB"/>
        </w:rPr>
        <w:t>,</w:t>
      </w:r>
      <w:r w:rsidRPr="002C39C8">
        <w:rPr>
          <w:sz w:val="24"/>
          <w:szCs w:val="24"/>
          <w:lang w:val="en-GB"/>
        </w:rPr>
        <w:t>000 to100</w:t>
      </w:r>
      <w:r w:rsidR="00F54BCD" w:rsidRPr="002C39C8">
        <w:rPr>
          <w:sz w:val="24"/>
          <w:szCs w:val="24"/>
          <w:lang w:val="en-GB"/>
        </w:rPr>
        <w:t>,</w:t>
      </w:r>
      <w:r w:rsidRPr="002C39C8">
        <w:rPr>
          <w:sz w:val="24"/>
          <w:szCs w:val="24"/>
          <w:lang w:val="en-GB"/>
        </w:rPr>
        <w:t>000 inhabitants, and settlements with less than 10.000 inhabitants).</w:t>
      </w:r>
    </w:p>
    <w:p w14:paraId="37AE433D" w14:textId="0ED28075" w:rsidR="00903D5E" w:rsidRPr="002C39C8" w:rsidRDefault="00F54BCD" w:rsidP="00903D5E">
      <w:pPr>
        <w:jc w:val="both"/>
        <w:rPr>
          <w:sz w:val="24"/>
          <w:szCs w:val="24"/>
          <w:lang w:val="en-GB"/>
        </w:rPr>
      </w:pPr>
      <w:r w:rsidRPr="002C39C8">
        <w:rPr>
          <w:sz w:val="24"/>
          <w:szCs w:val="24"/>
          <w:lang w:val="en-GB"/>
        </w:rPr>
        <w:t xml:space="preserve">The maps are based </w:t>
      </w:r>
      <w:r w:rsidR="00903D5E" w:rsidRPr="002C39C8">
        <w:rPr>
          <w:sz w:val="24"/>
          <w:szCs w:val="24"/>
          <w:lang w:val="en-GB"/>
        </w:rPr>
        <w:t>on answers from the ComCom questionnaire completed by operators in late 2022</w:t>
      </w:r>
      <w:r w:rsidR="001661C9">
        <w:rPr>
          <w:sz w:val="24"/>
          <w:szCs w:val="24"/>
          <w:lang w:val="en-GB"/>
        </w:rPr>
        <w:t>.</w:t>
      </w:r>
      <w:r w:rsidR="00903D5E" w:rsidRPr="002C39C8">
        <w:rPr>
          <w:sz w:val="24"/>
          <w:szCs w:val="24"/>
          <w:lang w:val="en-GB"/>
        </w:rPr>
        <w:t xml:space="preserve"> </w:t>
      </w:r>
    </w:p>
    <w:p w14:paraId="33564C02" w14:textId="444306EC" w:rsidR="00903D5E" w:rsidRPr="00BC1ABD" w:rsidRDefault="00903D5E" w:rsidP="008E7C6B">
      <w:pPr>
        <w:pStyle w:val="Heading2"/>
        <w:spacing w:after="240"/>
        <w:rPr>
          <w:lang w:val="en-GB"/>
        </w:rPr>
      </w:pPr>
      <w:bookmarkStart w:id="375" w:name="_Toc149071450"/>
      <w:bookmarkStart w:id="376" w:name="_Toc169259015"/>
      <w:r>
        <w:rPr>
          <w:lang w:val="en-GB"/>
        </w:rPr>
        <w:t xml:space="preserve">Coverage </w:t>
      </w:r>
      <w:r w:rsidR="00ED4414">
        <w:rPr>
          <w:lang w:val="en-GB"/>
        </w:rPr>
        <w:t xml:space="preserve">and take-up </w:t>
      </w:r>
      <w:r>
        <w:rPr>
          <w:lang w:val="en-GB"/>
        </w:rPr>
        <w:t>map of Magticom</w:t>
      </w:r>
      <w:bookmarkEnd w:id="375"/>
      <w:bookmarkEnd w:id="376"/>
    </w:p>
    <w:p w14:paraId="10AEC232" w14:textId="1585F52A" w:rsidR="00903D5E" w:rsidRPr="002C39C8" w:rsidRDefault="00903D5E" w:rsidP="00903D5E">
      <w:pPr>
        <w:jc w:val="both"/>
        <w:rPr>
          <w:sz w:val="24"/>
          <w:szCs w:val="24"/>
          <w:lang w:val="en-GB"/>
        </w:rPr>
      </w:pPr>
      <w:r w:rsidRPr="002C39C8">
        <w:rPr>
          <w:sz w:val="24"/>
          <w:szCs w:val="24"/>
          <w:lang w:val="en-GB"/>
        </w:rPr>
        <w:t>Magticom has the largest fibre network in Georgia</w:t>
      </w:r>
      <w:r w:rsidR="00E95462" w:rsidRPr="002C39C8">
        <w:rPr>
          <w:sz w:val="24"/>
          <w:szCs w:val="24"/>
          <w:lang w:val="en-GB"/>
        </w:rPr>
        <w:t xml:space="preserve"> and is national in scale</w:t>
      </w:r>
      <w:r w:rsidRPr="002C39C8">
        <w:rPr>
          <w:sz w:val="24"/>
          <w:szCs w:val="24"/>
          <w:lang w:val="en-GB"/>
        </w:rPr>
        <w:t xml:space="preserve">. It covers the highest number of settlements and it also </w:t>
      </w:r>
      <w:r w:rsidR="001661C9">
        <w:rPr>
          <w:sz w:val="24"/>
          <w:szCs w:val="24"/>
          <w:lang w:val="en-GB"/>
        </w:rPr>
        <w:t xml:space="preserve">serves </w:t>
      </w:r>
      <w:r w:rsidRPr="002C39C8">
        <w:rPr>
          <w:sz w:val="24"/>
          <w:szCs w:val="24"/>
          <w:lang w:val="en-GB"/>
        </w:rPr>
        <w:t xml:space="preserve">the highest </w:t>
      </w:r>
      <w:r w:rsidR="001661C9">
        <w:rPr>
          <w:sz w:val="24"/>
          <w:szCs w:val="24"/>
          <w:lang w:val="en-GB"/>
        </w:rPr>
        <w:t>number of active subscribers</w:t>
      </w:r>
      <w:r w:rsidRPr="002C39C8">
        <w:rPr>
          <w:sz w:val="24"/>
          <w:szCs w:val="24"/>
          <w:lang w:val="en-GB"/>
        </w:rPr>
        <w:t xml:space="preserve"> in </w:t>
      </w:r>
      <w:r w:rsidR="00F54BCD" w:rsidRPr="002C39C8">
        <w:rPr>
          <w:sz w:val="24"/>
          <w:szCs w:val="24"/>
          <w:lang w:val="en-GB"/>
        </w:rPr>
        <w:t xml:space="preserve">the </w:t>
      </w:r>
      <w:r w:rsidRPr="002C39C8">
        <w:rPr>
          <w:sz w:val="24"/>
          <w:szCs w:val="24"/>
          <w:lang w:val="en-GB"/>
        </w:rPr>
        <w:t xml:space="preserve">majority of settlements where </w:t>
      </w:r>
      <w:r w:rsidR="00F54BCD" w:rsidRPr="002C39C8">
        <w:rPr>
          <w:sz w:val="24"/>
          <w:szCs w:val="24"/>
          <w:lang w:val="en-GB"/>
        </w:rPr>
        <w:t xml:space="preserve">its </w:t>
      </w:r>
      <w:r w:rsidRPr="002C39C8">
        <w:rPr>
          <w:sz w:val="24"/>
          <w:szCs w:val="24"/>
          <w:lang w:val="en-GB"/>
        </w:rPr>
        <w:t xml:space="preserve">network is present. Magticom </w:t>
      </w:r>
      <w:r w:rsidR="00974BAA">
        <w:rPr>
          <w:sz w:val="24"/>
          <w:szCs w:val="24"/>
          <w:lang w:val="en-GB"/>
        </w:rPr>
        <w:t xml:space="preserve">serves most of the active subscribers </w:t>
      </w:r>
      <w:r w:rsidRPr="002C39C8">
        <w:rPr>
          <w:sz w:val="24"/>
          <w:szCs w:val="24"/>
          <w:lang w:val="en-GB"/>
        </w:rPr>
        <w:t xml:space="preserve">in Tbilisi, while in Batumi, in Rustavi and in Kutaisi it </w:t>
      </w:r>
      <w:r w:rsidR="00990C9C">
        <w:rPr>
          <w:sz w:val="24"/>
          <w:szCs w:val="24"/>
          <w:lang w:val="en-GB"/>
        </w:rPr>
        <w:t>serves</w:t>
      </w:r>
      <w:r w:rsidR="00F54BCD" w:rsidRPr="002C39C8">
        <w:rPr>
          <w:sz w:val="24"/>
          <w:szCs w:val="24"/>
          <w:lang w:val="en-GB"/>
        </w:rPr>
        <w:t xml:space="preserve"> between 20% and 40%</w:t>
      </w:r>
      <w:r w:rsidR="00990C9C">
        <w:rPr>
          <w:sz w:val="24"/>
          <w:szCs w:val="24"/>
          <w:lang w:val="en-GB"/>
        </w:rPr>
        <w:t xml:space="preserve"> of active subscribers</w:t>
      </w:r>
      <w:r w:rsidR="00F54BCD" w:rsidRPr="002C39C8">
        <w:rPr>
          <w:sz w:val="24"/>
          <w:szCs w:val="24"/>
          <w:lang w:val="en-GB"/>
        </w:rPr>
        <w:t>.</w:t>
      </w:r>
      <w:r w:rsidRPr="002C39C8">
        <w:rPr>
          <w:sz w:val="24"/>
          <w:szCs w:val="24"/>
          <w:lang w:val="en-GB"/>
        </w:rPr>
        <w:t xml:space="preserve"> In </w:t>
      </w:r>
      <w:r w:rsidR="00F54BCD" w:rsidRPr="002C39C8">
        <w:rPr>
          <w:sz w:val="24"/>
          <w:szCs w:val="24"/>
          <w:lang w:val="en-GB"/>
        </w:rPr>
        <w:t xml:space="preserve">the </w:t>
      </w:r>
      <w:r w:rsidRPr="002C39C8">
        <w:rPr>
          <w:sz w:val="24"/>
          <w:szCs w:val="24"/>
          <w:lang w:val="en-GB"/>
        </w:rPr>
        <w:t>smaller settlements Magticom is mostly the largest (</w:t>
      </w:r>
      <w:r w:rsidR="00E95462" w:rsidRPr="002C39C8">
        <w:rPr>
          <w:sz w:val="24"/>
          <w:szCs w:val="24"/>
          <w:lang w:val="en-GB"/>
        </w:rPr>
        <w:t>and sometimes</w:t>
      </w:r>
      <w:r w:rsidRPr="002C39C8">
        <w:rPr>
          <w:sz w:val="24"/>
          <w:szCs w:val="24"/>
          <w:lang w:val="en-GB"/>
        </w:rPr>
        <w:t xml:space="preserve"> the only) operator.</w:t>
      </w:r>
    </w:p>
    <w:p w14:paraId="1B5CA6FF" w14:textId="691108B3" w:rsidR="00903D5E" w:rsidRPr="00F16F27" w:rsidRDefault="00903D5E" w:rsidP="00903D5E">
      <w:pPr>
        <w:pStyle w:val="Caption"/>
        <w:jc w:val="center"/>
        <w:rPr>
          <w:rFonts w:cs="Arial"/>
          <w:b/>
          <w:sz w:val="24"/>
          <w:szCs w:val="24"/>
          <w:lang w:val="en-GB"/>
        </w:rPr>
      </w:pPr>
      <w:bookmarkStart w:id="377" w:name="_Toc152931428"/>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77</w:t>
      </w:r>
      <w:r w:rsidRPr="00BC1ABD">
        <w:rPr>
          <w:lang w:val="en-GB"/>
        </w:rPr>
        <w:fldChar w:fldCharType="end"/>
      </w:r>
      <w:r w:rsidRPr="00BC1ABD">
        <w:rPr>
          <w:lang w:val="en-GB"/>
        </w:rPr>
        <w:t xml:space="preserve">: </w:t>
      </w:r>
      <w:r>
        <w:rPr>
          <w:lang w:val="en-GB"/>
        </w:rPr>
        <w:t>Table of Magticom coverage</w:t>
      </w:r>
      <w:r w:rsidR="00EA50C5">
        <w:rPr>
          <w:lang w:val="en-GB"/>
        </w:rPr>
        <w:t xml:space="preserve"> and take-up (</w:t>
      </w:r>
      <w:r w:rsidR="00F026B4">
        <w:rPr>
          <w:lang w:val="en-GB"/>
        </w:rPr>
        <w:t>FTTx</w:t>
      </w:r>
      <w:r w:rsidR="00EA50C5">
        <w:rPr>
          <w:lang w:val="en-GB"/>
        </w:rPr>
        <w:t>)</w:t>
      </w:r>
      <w:r w:rsidRPr="00BC1ABD">
        <w:rPr>
          <w:lang w:val="en-GB"/>
        </w:rPr>
        <w:t xml:space="preserve"> </w:t>
      </w:r>
      <w:bookmarkEnd w:id="377"/>
    </w:p>
    <w:tbl>
      <w:tblPr>
        <w:tblW w:w="11814" w:type="dxa"/>
        <w:jc w:val="center"/>
        <w:tblCellMar>
          <w:left w:w="70" w:type="dxa"/>
          <w:right w:w="70" w:type="dxa"/>
        </w:tblCellMar>
        <w:tblLook w:val="04A0" w:firstRow="1" w:lastRow="0" w:firstColumn="1" w:lastColumn="0" w:noHBand="0" w:noVBand="1"/>
      </w:tblPr>
      <w:tblGrid>
        <w:gridCol w:w="3655"/>
        <w:gridCol w:w="1885"/>
        <w:gridCol w:w="1429"/>
        <w:gridCol w:w="933"/>
        <w:gridCol w:w="1141"/>
        <w:gridCol w:w="1365"/>
        <w:gridCol w:w="1425"/>
      </w:tblGrid>
      <w:tr w:rsidR="00903D5E" w:rsidRPr="007C3D47" w14:paraId="75A96F19" w14:textId="77777777" w:rsidTr="008B2956">
        <w:trPr>
          <w:trHeight w:val="288"/>
          <w:jc w:val="center"/>
        </w:trPr>
        <w:tc>
          <w:tcPr>
            <w:tcW w:w="3655"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4C7F4C45" w14:textId="77777777" w:rsidR="00903D5E" w:rsidRPr="007C3D47" w:rsidRDefault="00903D5E" w:rsidP="006C273F">
            <w:pPr>
              <w:spacing w:after="0" w:line="240" w:lineRule="auto"/>
              <w:rPr>
                <w:rFonts w:eastAsia="Times New Roman" w:cs="Calibri"/>
                <w:b/>
                <w:bCs/>
                <w:color w:val="000000"/>
                <w:lang w:val="en-GB" w:eastAsia="sl-SI"/>
              </w:rPr>
            </w:pPr>
            <w:r w:rsidRPr="007C3D47">
              <w:rPr>
                <w:rFonts w:eastAsia="Times New Roman" w:cs="Calibri"/>
                <w:b/>
                <w:bCs/>
                <w:color w:val="000000"/>
                <w:lang w:val="en-GB" w:eastAsia="sl-SI"/>
              </w:rPr>
              <w:t> </w:t>
            </w:r>
          </w:p>
        </w:tc>
        <w:tc>
          <w:tcPr>
            <w:tcW w:w="1885" w:type="dxa"/>
            <w:tcBorders>
              <w:top w:val="single" w:sz="12" w:space="0" w:color="auto"/>
              <w:left w:val="nil"/>
              <w:bottom w:val="single" w:sz="12" w:space="0" w:color="auto"/>
              <w:right w:val="single" w:sz="4" w:space="0" w:color="auto"/>
            </w:tcBorders>
            <w:shd w:val="clear" w:color="000000" w:fill="00B0F0"/>
            <w:noWrap/>
            <w:vAlign w:val="bottom"/>
            <w:hideMark/>
          </w:tcPr>
          <w:p w14:paraId="4A9DBF6B" w14:textId="77777777" w:rsidR="00903D5E" w:rsidRPr="007C3D47" w:rsidRDefault="00903D5E" w:rsidP="006C273F">
            <w:pPr>
              <w:spacing w:after="0" w:line="240" w:lineRule="auto"/>
              <w:rPr>
                <w:rFonts w:eastAsia="Times New Roman" w:cs="Calibri"/>
                <w:b/>
                <w:bCs/>
                <w:color w:val="000000"/>
                <w:lang w:val="en-GB" w:eastAsia="sl-SI"/>
              </w:rPr>
            </w:pPr>
            <w:r w:rsidRPr="007C3D47">
              <w:rPr>
                <w:rFonts w:eastAsia="Times New Roman" w:cs="Calibri"/>
                <w:b/>
                <w:bCs/>
                <w:color w:val="000000"/>
                <w:lang w:val="en-GB" w:eastAsia="sl-SI"/>
              </w:rPr>
              <w:t>No of settlements</w:t>
            </w:r>
          </w:p>
        </w:tc>
        <w:tc>
          <w:tcPr>
            <w:tcW w:w="1429" w:type="dxa"/>
            <w:tcBorders>
              <w:top w:val="single" w:sz="12" w:space="0" w:color="auto"/>
              <w:left w:val="nil"/>
              <w:bottom w:val="single" w:sz="12" w:space="0" w:color="auto"/>
              <w:right w:val="single" w:sz="4" w:space="0" w:color="auto"/>
            </w:tcBorders>
            <w:shd w:val="clear" w:color="000000" w:fill="00B0F0"/>
            <w:noWrap/>
            <w:vAlign w:val="bottom"/>
            <w:hideMark/>
          </w:tcPr>
          <w:p w14:paraId="20C5493C" w14:textId="77777777" w:rsidR="00903D5E" w:rsidRPr="007C3D47" w:rsidRDefault="00903D5E" w:rsidP="006C273F">
            <w:pPr>
              <w:spacing w:after="0" w:line="240" w:lineRule="auto"/>
              <w:rPr>
                <w:rFonts w:eastAsia="Times New Roman" w:cs="Calibri"/>
                <w:b/>
                <w:bCs/>
                <w:color w:val="000000"/>
                <w:lang w:val="en-GB" w:eastAsia="sl-SI"/>
              </w:rPr>
            </w:pPr>
            <w:r w:rsidRPr="007C3D47">
              <w:rPr>
                <w:rFonts w:eastAsia="Times New Roman" w:cs="Calibri"/>
                <w:b/>
                <w:bCs/>
                <w:color w:val="000000"/>
                <w:lang w:val="en-GB" w:eastAsia="sl-SI"/>
              </w:rPr>
              <w:t>Households</w:t>
            </w:r>
          </w:p>
        </w:tc>
        <w:tc>
          <w:tcPr>
            <w:tcW w:w="933" w:type="dxa"/>
            <w:tcBorders>
              <w:top w:val="single" w:sz="12" w:space="0" w:color="auto"/>
              <w:left w:val="nil"/>
              <w:bottom w:val="single" w:sz="12" w:space="0" w:color="auto"/>
              <w:right w:val="single" w:sz="4" w:space="0" w:color="auto"/>
            </w:tcBorders>
            <w:shd w:val="clear" w:color="000000" w:fill="00B0F0"/>
            <w:noWrap/>
            <w:vAlign w:val="bottom"/>
            <w:hideMark/>
          </w:tcPr>
          <w:p w14:paraId="4B9742B6" w14:textId="77777777" w:rsidR="00903D5E" w:rsidRPr="007C3D47" w:rsidRDefault="00903D5E" w:rsidP="006C273F">
            <w:pPr>
              <w:spacing w:after="0" w:line="240" w:lineRule="auto"/>
              <w:rPr>
                <w:rFonts w:eastAsia="Times New Roman" w:cs="Calibri"/>
                <w:b/>
                <w:bCs/>
                <w:color w:val="000000"/>
                <w:lang w:val="en-GB" w:eastAsia="sl-SI"/>
              </w:rPr>
            </w:pPr>
            <w:r w:rsidRPr="007C3D47">
              <w:rPr>
                <w:rFonts w:eastAsia="Times New Roman" w:cs="Calibri"/>
                <w:b/>
                <w:bCs/>
                <w:color w:val="000000"/>
                <w:lang w:val="en-GB" w:eastAsia="sl-SI"/>
              </w:rPr>
              <w:t>% of HH</w:t>
            </w:r>
          </w:p>
        </w:tc>
        <w:tc>
          <w:tcPr>
            <w:tcW w:w="1132" w:type="dxa"/>
            <w:tcBorders>
              <w:top w:val="single" w:sz="12" w:space="0" w:color="auto"/>
              <w:left w:val="nil"/>
              <w:bottom w:val="single" w:sz="12" w:space="0" w:color="auto"/>
              <w:right w:val="single" w:sz="4" w:space="0" w:color="auto"/>
            </w:tcBorders>
            <w:shd w:val="clear" w:color="000000" w:fill="00B0F0"/>
            <w:noWrap/>
            <w:vAlign w:val="bottom"/>
            <w:hideMark/>
          </w:tcPr>
          <w:p w14:paraId="04E717A3" w14:textId="77777777" w:rsidR="00903D5E" w:rsidRPr="007C3D47" w:rsidRDefault="00903D5E" w:rsidP="006C273F">
            <w:pPr>
              <w:spacing w:after="0" w:line="240" w:lineRule="auto"/>
              <w:rPr>
                <w:rFonts w:eastAsia="Times New Roman" w:cs="Calibri"/>
                <w:b/>
                <w:bCs/>
                <w:color w:val="000000"/>
                <w:lang w:val="en-GB" w:eastAsia="sl-SI"/>
              </w:rPr>
            </w:pPr>
            <w:r w:rsidRPr="007C3D47">
              <w:rPr>
                <w:rFonts w:eastAsia="Times New Roman" w:cs="Calibri"/>
                <w:b/>
                <w:bCs/>
                <w:color w:val="000000"/>
                <w:lang w:val="en-GB" w:eastAsia="sl-SI"/>
              </w:rPr>
              <w:t>Population</w:t>
            </w:r>
          </w:p>
        </w:tc>
        <w:tc>
          <w:tcPr>
            <w:tcW w:w="1355" w:type="dxa"/>
            <w:tcBorders>
              <w:top w:val="single" w:sz="12" w:space="0" w:color="auto"/>
              <w:left w:val="nil"/>
              <w:bottom w:val="single" w:sz="12" w:space="0" w:color="auto"/>
              <w:right w:val="single" w:sz="4" w:space="0" w:color="auto"/>
            </w:tcBorders>
            <w:shd w:val="clear" w:color="000000" w:fill="00B0F0"/>
            <w:noWrap/>
            <w:vAlign w:val="bottom"/>
            <w:hideMark/>
          </w:tcPr>
          <w:p w14:paraId="308281B0" w14:textId="77777777" w:rsidR="00903D5E" w:rsidRPr="007C3D47" w:rsidRDefault="00903D5E" w:rsidP="006C273F">
            <w:pPr>
              <w:spacing w:after="0" w:line="240" w:lineRule="auto"/>
              <w:rPr>
                <w:rFonts w:eastAsia="Times New Roman" w:cs="Calibri"/>
                <w:b/>
                <w:bCs/>
                <w:color w:val="000000"/>
                <w:lang w:val="en-GB" w:eastAsia="sl-SI"/>
              </w:rPr>
            </w:pPr>
            <w:r w:rsidRPr="007C3D47">
              <w:rPr>
                <w:rFonts w:eastAsia="Times New Roman" w:cs="Calibri"/>
                <w:b/>
                <w:bCs/>
                <w:color w:val="000000"/>
                <w:lang w:val="en-GB" w:eastAsia="sl-SI"/>
              </w:rPr>
              <w:t>Subscriptions</w:t>
            </w:r>
          </w:p>
        </w:tc>
        <w:tc>
          <w:tcPr>
            <w:tcW w:w="1425" w:type="dxa"/>
            <w:tcBorders>
              <w:top w:val="single" w:sz="12" w:space="0" w:color="auto"/>
              <w:left w:val="nil"/>
              <w:bottom w:val="single" w:sz="12" w:space="0" w:color="auto"/>
              <w:right w:val="single" w:sz="12" w:space="0" w:color="auto"/>
            </w:tcBorders>
            <w:shd w:val="clear" w:color="000000" w:fill="00B0F0"/>
            <w:noWrap/>
            <w:vAlign w:val="bottom"/>
            <w:hideMark/>
          </w:tcPr>
          <w:p w14:paraId="19B5FCA1" w14:textId="3AB44AA9" w:rsidR="00903D5E" w:rsidRPr="007C3D47" w:rsidRDefault="005677D7" w:rsidP="00E517D9">
            <w:pPr>
              <w:spacing w:after="0" w:line="240" w:lineRule="auto"/>
              <w:jc w:val="center"/>
              <w:rPr>
                <w:rFonts w:eastAsia="Times New Roman" w:cs="Calibri"/>
                <w:b/>
                <w:bCs/>
                <w:color w:val="000000"/>
                <w:lang w:val="en-GB" w:eastAsia="sl-SI"/>
              </w:rPr>
            </w:pPr>
            <w:r>
              <w:rPr>
                <w:rFonts w:eastAsia="Times New Roman" w:cs="Calibri"/>
                <w:b/>
                <w:bCs/>
                <w:color w:val="000000"/>
                <w:lang w:val="en-GB" w:eastAsia="sl-SI"/>
              </w:rPr>
              <w:t>Premises</w:t>
            </w:r>
            <w:r w:rsidRPr="007C3D47">
              <w:rPr>
                <w:rFonts w:eastAsia="Times New Roman" w:cs="Calibri"/>
                <w:b/>
                <w:bCs/>
                <w:color w:val="000000"/>
                <w:lang w:val="en-GB" w:eastAsia="sl-SI"/>
              </w:rPr>
              <w:t xml:space="preserve"> </w:t>
            </w:r>
            <w:r w:rsidR="00903D5E" w:rsidRPr="007C3D47">
              <w:rPr>
                <w:rFonts w:eastAsia="Times New Roman" w:cs="Calibri"/>
                <w:b/>
                <w:bCs/>
                <w:color w:val="000000"/>
                <w:lang w:val="en-GB" w:eastAsia="sl-SI"/>
              </w:rPr>
              <w:t>passed</w:t>
            </w:r>
          </w:p>
        </w:tc>
      </w:tr>
      <w:tr w:rsidR="003D2EB7" w:rsidRPr="007C3D47" w14:paraId="0C0DF716" w14:textId="77777777" w:rsidTr="008B2956">
        <w:trPr>
          <w:trHeight w:val="275"/>
          <w:jc w:val="center"/>
        </w:trPr>
        <w:tc>
          <w:tcPr>
            <w:tcW w:w="3655" w:type="dxa"/>
            <w:tcBorders>
              <w:top w:val="nil"/>
              <w:left w:val="single" w:sz="4" w:space="0" w:color="auto"/>
              <w:bottom w:val="single" w:sz="4" w:space="0" w:color="auto"/>
              <w:right w:val="single" w:sz="4" w:space="0" w:color="auto"/>
            </w:tcBorders>
            <w:shd w:val="clear" w:color="000000" w:fill="FF9999"/>
            <w:noWrap/>
            <w:vAlign w:val="bottom"/>
            <w:hideMark/>
          </w:tcPr>
          <w:p w14:paraId="0017FE48" w14:textId="77777777" w:rsidR="00903D5E" w:rsidRPr="007C3D47" w:rsidRDefault="00903D5E" w:rsidP="006C273F">
            <w:pPr>
              <w:spacing w:after="0" w:line="240" w:lineRule="auto"/>
              <w:rPr>
                <w:rFonts w:eastAsia="Times New Roman" w:cs="Calibri"/>
                <w:color w:val="000000"/>
                <w:lang w:val="en-GB" w:eastAsia="sl-SI"/>
              </w:rPr>
            </w:pPr>
            <w:r w:rsidRPr="007C3D47">
              <w:rPr>
                <w:rFonts w:eastAsia="Times New Roman" w:cs="Calibri"/>
                <w:color w:val="000000"/>
                <w:lang w:val="en-GB" w:eastAsia="sl-SI"/>
              </w:rPr>
              <w:t>Magticom present</w:t>
            </w:r>
          </w:p>
        </w:tc>
        <w:tc>
          <w:tcPr>
            <w:tcW w:w="1885" w:type="dxa"/>
            <w:tcBorders>
              <w:top w:val="nil"/>
              <w:left w:val="nil"/>
              <w:bottom w:val="single" w:sz="4" w:space="0" w:color="auto"/>
              <w:right w:val="single" w:sz="4" w:space="0" w:color="auto"/>
            </w:tcBorders>
            <w:shd w:val="clear" w:color="000000" w:fill="FF9999"/>
            <w:noWrap/>
            <w:vAlign w:val="bottom"/>
            <w:hideMark/>
          </w:tcPr>
          <w:p w14:paraId="3382CEB9"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602</w:t>
            </w:r>
          </w:p>
        </w:tc>
        <w:tc>
          <w:tcPr>
            <w:tcW w:w="1429" w:type="dxa"/>
            <w:tcBorders>
              <w:top w:val="nil"/>
              <w:left w:val="nil"/>
              <w:bottom w:val="single" w:sz="4" w:space="0" w:color="auto"/>
              <w:right w:val="single" w:sz="4" w:space="0" w:color="auto"/>
            </w:tcBorders>
            <w:shd w:val="clear" w:color="000000" w:fill="FF9999"/>
            <w:noWrap/>
            <w:vAlign w:val="bottom"/>
            <w:hideMark/>
          </w:tcPr>
          <w:p w14:paraId="3C415C63"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999,641</w:t>
            </w:r>
          </w:p>
        </w:tc>
        <w:tc>
          <w:tcPr>
            <w:tcW w:w="933" w:type="dxa"/>
            <w:tcBorders>
              <w:top w:val="nil"/>
              <w:left w:val="nil"/>
              <w:bottom w:val="single" w:sz="4" w:space="0" w:color="auto"/>
              <w:right w:val="single" w:sz="4" w:space="0" w:color="auto"/>
            </w:tcBorders>
            <w:shd w:val="clear" w:color="000000" w:fill="FF9999"/>
            <w:noWrap/>
            <w:vAlign w:val="bottom"/>
            <w:hideMark/>
          </w:tcPr>
          <w:p w14:paraId="32820686"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79.8</w:t>
            </w:r>
          </w:p>
        </w:tc>
        <w:tc>
          <w:tcPr>
            <w:tcW w:w="1132" w:type="dxa"/>
            <w:tcBorders>
              <w:top w:val="nil"/>
              <w:left w:val="nil"/>
              <w:bottom w:val="single" w:sz="4" w:space="0" w:color="auto"/>
              <w:right w:val="single" w:sz="4" w:space="0" w:color="auto"/>
            </w:tcBorders>
            <w:shd w:val="clear" w:color="000000" w:fill="FF9999"/>
            <w:noWrap/>
            <w:vAlign w:val="bottom"/>
            <w:hideMark/>
          </w:tcPr>
          <w:p w14:paraId="4141243D"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2,828,752</w:t>
            </w:r>
          </w:p>
        </w:tc>
        <w:tc>
          <w:tcPr>
            <w:tcW w:w="1355" w:type="dxa"/>
            <w:tcBorders>
              <w:top w:val="nil"/>
              <w:left w:val="nil"/>
              <w:bottom w:val="single" w:sz="4" w:space="0" w:color="auto"/>
              <w:right w:val="single" w:sz="4" w:space="0" w:color="auto"/>
            </w:tcBorders>
            <w:shd w:val="clear" w:color="000000" w:fill="FF9999"/>
            <w:noWrap/>
            <w:vAlign w:val="bottom"/>
            <w:hideMark/>
          </w:tcPr>
          <w:p w14:paraId="7B17FEAA"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479,973</w:t>
            </w:r>
          </w:p>
        </w:tc>
        <w:tc>
          <w:tcPr>
            <w:tcW w:w="1425" w:type="dxa"/>
            <w:tcBorders>
              <w:top w:val="nil"/>
              <w:left w:val="nil"/>
              <w:bottom w:val="single" w:sz="4" w:space="0" w:color="auto"/>
              <w:right w:val="single" w:sz="4" w:space="0" w:color="auto"/>
            </w:tcBorders>
            <w:shd w:val="clear" w:color="000000" w:fill="FF9999"/>
            <w:noWrap/>
            <w:vAlign w:val="bottom"/>
            <w:hideMark/>
          </w:tcPr>
          <w:p w14:paraId="6291BD09"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1,109,189</w:t>
            </w:r>
          </w:p>
        </w:tc>
      </w:tr>
      <w:tr w:rsidR="003D2EB7" w:rsidRPr="007C3D47" w14:paraId="60D8F940" w14:textId="77777777" w:rsidTr="008B2956">
        <w:trPr>
          <w:trHeight w:val="262"/>
          <w:jc w:val="center"/>
        </w:trPr>
        <w:tc>
          <w:tcPr>
            <w:tcW w:w="3655" w:type="dxa"/>
            <w:tcBorders>
              <w:top w:val="nil"/>
              <w:left w:val="single" w:sz="4" w:space="0" w:color="auto"/>
              <w:bottom w:val="single" w:sz="4" w:space="0" w:color="auto"/>
              <w:right w:val="single" w:sz="4" w:space="0" w:color="auto"/>
            </w:tcBorders>
            <w:shd w:val="clear" w:color="000000" w:fill="FF9999"/>
            <w:noWrap/>
            <w:vAlign w:val="bottom"/>
            <w:hideMark/>
          </w:tcPr>
          <w:p w14:paraId="0ECCC14A" w14:textId="77777777" w:rsidR="00903D5E" w:rsidRPr="007C3D47" w:rsidRDefault="00903D5E" w:rsidP="006C273F">
            <w:pPr>
              <w:spacing w:after="0" w:line="240" w:lineRule="auto"/>
              <w:rPr>
                <w:rFonts w:eastAsia="Times New Roman" w:cs="Calibri"/>
                <w:color w:val="000000"/>
                <w:lang w:val="en-GB" w:eastAsia="sl-SI"/>
              </w:rPr>
            </w:pPr>
            <w:r w:rsidRPr="007C3D47">
              <w:rPr>
                <w:rFonts w:eastAsia="Times New Roman" w:cs="Calibri"/>
                <w:color w:val="000000"/>
                <w:lang w:val="en-GB" w:eastAsia="sl-SI"/>
              </w:rPr>
              <w:t>Magticom share 40% or more</w:t>
            </w:r>
          </w:p>
        </w:tc>
        <w:tc>
          <w:tcPr>
            <w:tcW w:w="1885" w:type="dxa"/>
            <w:tcBorders>
              <w:top w:val="nil"/>
              <w:left w:val="nil"/>
              <w:bottom w:val="single" w:sz="4" w:space="0" w:color="auto"/>
              <w:right w:val="single" w:sz="4" w:space="0" w:color="auto"/>
            </w:tcBorders>
            <w:shd w:val="clear" w:color="000000" w:fill="FF9999"/>
            <w:noWrap/>
            <w:vAlign w:val="bottom"/>
            <w:hideMark/>
          </w:tcPr>
          <w:p w14:paraId="601FF37F"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544</w:t>
            </w:r>
          </w:p>
        </w:tc>
        <w:tc>
          <w:tcPr>
            <w:tcW w:w="1429" w:type="dxa"/>
            <w:tcBorders>
              <w:top w:val="nil"/>
              <w:left w:val="nil"/>
              <w:bottom w:val="single" w:sz="4" w:space="0" w:color="auto"/>
              <w:right w:val="single" w:sz="4" w:space="0" w:color="auto"/>
            </w:tcBorders>
            <w:shd w:val="clear" w:color="000000" w:fill="FF9999"/>
            <w:noWrap/>
            <w:vAlign w:val="bottom"/>
            <w:hideMark/>
          </w:tcPr>
          <w:p w14:paraId="44CD3125"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805,457</w:t>
            </w:r>
          </w:p>
        </w:tc>
        <w:tc>
          <w:tcPr>
            <w:tcW w:w="933" w:type="dxa"/>
            <w:tcBorders>
              <w:top w:val="nil"/>
              <w:left w:val="nil"/>
              <w:bottom w:val="single" w:sz="4" w:space="0" w:color="auto"/>
              <w:right w:val="single" w:sz="4" w:space="0" w:color="auto"/>
            </w:tcBorders>
            <w:shd w:val="clear" w:color="000000" w:fill="FF9999"/>
            <w:noWrap/>
            <w:vAlign w:val="bottom"/>
            <w:hideMark/>
          </w:tcPr>
          <w:p w14:paraId="0EE32266"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64.3</w:t>
            </w:r>
          </w:p>
        </w:tc>
        <w:tc>
          <w:tcPr>
            <w:tcW w:w="1132" w:type="dxa"/>
            <w:tcBorders>
              <w:top w:val="nil"/>
              <w:left w:val="nil"/>
              <w:bottom w:val="single" w:sz="4" w:space="0" w:color="auto"/>
              <w:right w:val="single" w:sz="4" w:space="0" w:color="auto"/>
            </w:tcBorders>
            <w:shd w:val="clear" w:color="000000" w:fill="FF9999"/>
            <w:noWrap/>
            <w:vAlign w:val="bottom"/>
            <w:hideMark/>
          </w:tcPr>
          <w:p w14:paraId="3AAB613F"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2,222,851</w:t>
            </w:r>
          </w:p>
        </w:tc>
        <w:tc>
          <w:tcPr>
            <w:tcW w:w="1355" w:type="dxa"/>
            <w:tcBorders>
              <w:top w:val="nil"/>
              <w:left w:val="nil"/>
              <w:bottom w:val="single" w:sz="4" w:space="0" w:color="auto"/>
              <w:right w:val="single" w:sz="4" w:space="0" w:color="auto"/>
            </w:tcBorders>
            <w:shd w:val="clear" w:color="000000" w:fill="FF9999"/>
            <w:noWrap/>
            <w:vAlign w:val="bottom"/>
            <w:hideMark/>
          </w:tcPr>
          <w:p w14:paraId="5BBE7E95"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412,320</w:t>
            </w:r>
          </w:p>
        </w:tc>
        <w:tc>
          <w:tcPr>
            <w:tcW w:w="1425" w:type="dxa"/>
            <w:tcBorders>
              <w:top w:val="nil"/>
              <w:left w:val="nil"/>
              <w:bottom w:val="single" w:sz="4" w:space="0" w:color="auto"/>
              <w:right w:val="single" w:sz="4" w:space="0" w:color="auto"/>
            </w:tcBorders>
            <w:shd w:val="clear" w:color="000000" w:fill="FF9999"/>
            <w:noWrap/>
            <w:vAlign w:val="bottom"/>
            <w:hideMark/>
          </w:tcPr>
          <w:p w14:paraId="360B0C05"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882,108</w:t>
            </w:r>
          </w:p>
        </w:tc>
      </w:tr>
      <w:tr w:rsidR="003D2EB7" w:rsidRPr="007C3D47" w14:paraId="7F021C06" w14:textId="77777777" w:rsidTr="008B2956">
        <w:trPr>
          <w:trHeight w:val="262"/>
          <w:jc w:val="center"/>
        </w:trPr>
        <w:tc>
          <w:tcPr>
            <w:tcW w:w="3655" w:type="dxa"/>
            <w:tcBorders>
              <w:top w:val="nil"/>
              <w:left w:val="single" w:sz="4" w:space="0" w:color="auto"/>
              <w:bottom w:val="single" w:sz="4" w:space="0" w:color="auto"/>
              <w:right w:val="single" w:sz="4" w:space="0" w:color="auto"/>
            </w:tcBorders>
            <w:shd w:val="clear" w:color="000000" w:fill="FF9999"/>
            <w:noWrap/>
            <w:vAlign w:val="bottom"/>
            <w:hideMark/>
          </w:tcPr>
          <w:p w14:paraId="7EDEF97E" w14:textId="77777777" w:rsidR="00903D5E" w:rsidRPr="007C3D47" w:rsidRDefault="00903D5E" w:rsidP="006C273F">
            <w:pPr>
              <w:spacing w:after="0" w:line="240" w:lineRule="auto"/>
              <w:rPr>
                <w:rFonts w:eastAsia="Times New Roman" w:cs="Calibri"/>
                <w:color w:val="000000"/>
                <w:lang w:val="en-GB" w:eastAsia="sl-SI"/>
              </w:rPr>
            </w:pPr>
            <w:r w:rsidRPr="007C3D47">
              <w:rPr>
                <w:rFonts w:eastAsia="Times New Roman" w:cs="Calibri"/>
                <w:color w:val="000000"/>
                <w:lang w:val="en-GB" w:eastAsia="sl-SI"/>
              </w:rPr>
              <w:t>Only Magticom present</w:t>
            </w:r>
          </w:p>
        </w:tc>
        <w:tc>
          <w:tcPr>
            <w:tcW w:w="1885" w:type="dxa"/>
            <w:tcBorders>
              <w:top w:val="nil"/>
              <w:left w:val="nil"/>
              <w:bottom w:val="single" w:sz="4" w:space="0" w:color="auto"/>
              <w:right w:val="single" w:sz="4" w:space="0" w:color="auto"/>
            </w:tcBorders>
            <w:shd w:val="clear" w:color="000000" w:fill="FF9999"/>
            <w:noWrap/>
            <w:vAlign w:val="bottom"/>
            <w:hideMark/>
          </w:tcPr>
          <w:p w14:paraId="4B165088"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392</w:t>
            </w:r>
          </w:p>
        </w:tc>
        <w:tc>
          <w:tcPr>
            <w:tcW w:w="1429" w:type="dxa"/>
            <w:tcBorders>
              <w:top w:val="nil"/>
              <w:left w:val="nil"/>
              <w:bottom w:val="single" w:sz="4" w:space="0" w:color="auto"/>
              <w:right w:val="single" w:sz="4" w:space="0" w:color="auto"/>
            </w:tcBorders>
            <w:shd w:val="clear" w:color="000000" w:fill="FF9999"/>
            <w:noWrap/>
            <w:vAlign w:val="bottom"/>
            <w:hideMark/>
          </w:tcPr>
          <w:p w14:paraId="321C51B1"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142,876</w:t>
            </w:r>
          </w:p>
        </w:tc>
        <w:tc>
          <w:tcPr>
            <w:tcW w:w="933" w:type="dxa"/>
            <w:tcBorders>
              <w:top w:val="nil"/>
              <w:left w:val="nil"/>
              <w:bottom w:val="single" w:sz="4" w:space="0" w:color="auto"/>
              <w:right w:val="single" w:sz="4" w:space="0" w:color="auto"/>
            </w:tcBorders>
            <w:shd w:val="clear" w:color="000000" w:fill="FF9999"/>
            <w:noWrap/>
            <w:vAlign w:val="bottom"/>
            <w:hideMark/>
          </w:tcPr>
          <w:p w14:paraId="0376B671"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11.4</w:t>
            </w:r>
          </w:p>
        </w:tc>
        <w:tc>
          <w:tcPr>
            <w:tcW w:w="1132" w:type="dxa"/>
            <w:tcBorders>
              <w:top w:val="nil"/>
              <w:left w:val="nil"/>
              <w:bottom w:val="single" w:sz="4" w:space="0" w:color="auto"/>
              <w:right w:val="single" w:sz="4" w:space="0" w:color="auto"/>
            </w:tcBorders>
            <w:shd w:val="clear" w:color="000000" w:fill="FF9999"/>
            <w:noWrap/>
            <w:vAlign w:val="bottom"/>
            <w:hideMark/>
          </w:tcPr>
          <w:p w14:paraId="7C41B6EF"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491,277</w:t>
            </w:r>
          </w:p>
        </w:tc>
        <w:tc>
          <w:tcPr>
            <w:tcW w:w="1355" w:type="dxa"/>
            <w:tcBorders>
              <w:top w:val="nil"/>
              <w:left w:val="nil"/>
              <w:bottom w:val="single" w:sz="4" w:space="0" w:color="auto"/>
              <w:right w:val="single" w:sz="4" w:space="0" w:color="auto"/>
            </w:tcBorders>
            <w:shd w:val="clear" w:color="000000" w:fill="FF9999"/>
            <w:noWrap/>
            <w:vAlign w:val="bottom"/>
            <w:hideMark/>
          </w:tcPr>
          <w:p w14:paraId="0013DD46"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66,929</w:t>
            </w:r>
          </w:p>
        </w:tc>
        <w:tc>
          <w:tcPr>
            <w:tcW w:w="1425" w:type="dxa"/>
            <w:tcBorders>
              <w:top w:val="nil"/>
              <w:left w:val="nil"/>
              <w:bottom w:val="single" w:sz="4" w:space="0" w:color="auto"/>
              <w:right w:val="single" w:sz="4" w:space="0" w:color="auto"/>
            </w:tcBorders>
            <w:shd w:val="clear" w:color="000000" w:fill="FF9999"/>
            <w:noWrap/>
            <w:vAlign w:val="bottom"/>
            <w:hideMark/>
          </w:tcPr>
          <w:p w14:paraId="151C7005" w14:textId="77777777" w:rsidR="00903D5E" w:rsidRPr="007C3D47" w:rsidRDefault="00903D5E" w:rsidP="006C273F">
            <w:pPr>
              <w:spacing w:after="0" w:line="240" w:lineRule="auto"/>
              <w:jc w:val="right"/>
              <w:rPr>
                <w:rFonts w:eastAsia="Times New Roman" w:cs="Calibri"/>
                <w:color w:val="000000"/>
                <w:lang w:val="en-GB" w:eastAsia="sl-SI"/>
              </w:rPr>
            </w:pPr>
            <w:r w:rsidRPr="007C3D47">
              <w:rPr>
                <w:rFonts w:eastAsia="Times New Roman" w:cs="Calibri"/>
                <w:color w:val="000000"/>
                <w:lang w:val="en-GB" w:eastAsia="sl-SI"/>
              </w:rPr>
              <w:t>133,592</w:t>
            </w:r>
          </w:p>
        </w:tc>
      </w:tr>
    </w:tbl>
    <w:p w14:paraId="0EFA001F" w14:textId="77777777" w:rsidR="00903D5E" w:rsidRDefault="00903D5E" w:rsidP="00903D5E">
      <w:pPr>
        <w:jc w:val="center"/>
        <w:rPr>
          <w:rFonts w:cs="Arial"/>
          <w:sz w:val="20"/>
          <w:szCs w:val="20"/>
          <w:lang w:val="en-GB"/>
        </w:rPr>
      </w:pPr>
      <w:r>
        <w:rPr>
          <w:rFonts w:cs="Arial"/>
          <w:sz w:val="20"/>
          <w:szCs w:val="20"/>
          <w:lang w:val="en-GB"/>
        </w:rPr>
        <w:t xml:space="preserve">Source: </w:t>
      </w:r>
      <w:r w:rsidRPr="00BC1ABD">
        <w:rPr>
          <w:rFonts w:cs="Arial"/>
          <w:sz w:val="20"/>
          <w:szCs w:val="20"/>
          <w:lang w:val="en-GB"/>
        </w:rPr>
        <w:t>Answers to the Question</w:t>
      </w:r>
      <w:r>
        <w:rPr>
          <w:rFonts w:cs="Arial"/>
          <w:sz w:val="20"/>
          <w:szCs w:val="20"/>
          <w:lang w:val="en-GB"/>
        </w:rPr>
        <w:t>naire on coverage and ComCom data</w:t>
      </w:r>
    </w:p>
    <w:p w14:paraId="59570ABE" w14:textId="6550E2A0" w:rsidR="00903D5E" w:rsidRPr="00BC1ABD" w:rsidRDefault="00903D5E" w:rsidP="00903D5E">
      <w:pPr>
        <w:pStyle w:val="Caption"/>
        <w:jc w:val="center"/>
        <w:rPr>
          <w:rFonts w:cs="Arial"/>
          <w:b/>
          <w:sz w:val="24"/>
          <w:szCs w:val="24"/>
          <w:lang w:val="en-GB"/>
        </w:rPr>
      </w:pPr>
      <w:bookmarkStart w:id="378" w:name="_Toc152931429"/>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78</w:t>
      </w:r>
      <w:r w:rsidRPr="00BC1ABD">
        <w:rPr>
          <w:lang w:val="en-GB"/>
        </w:rPr>
        <w:fldChar w:fldCharType="end"/>
      </w:r>
      <w:r w:rsidRPr="00BC1ABD">
        <w:rPr>
          <w:lang w:val="en-GB"/>
        </w:rPr>
        <w:t xml:space="preserve">: </w:t>
      </w:r>
      <w:r>
        <w:rPr>
          <w:lang w:val="en-GB"/>
        </w:rPr>
        <w:t>Coverage</w:t>
      </w:r>
      <w:r w:rsidR="00EA50C5">
        <w:rPr>
          <w:lang w:val="en-GB"/>
        </w:rPr>
        <w:t xml:space="preserve"> and take-up</w:t>
      </w:r>
      <w:r>
        <w:rPr>
          <w:lang w:val="en-GB"/>
        </w:rPr>
        <w:t xml:space="preserve"> map of Magticom</w:t>
      </w:r>
      <w:r w:rsidR="00EA50C5">
        <w:rPr>
          <w:lang w:val="en-GB"/>
        </w:rPr>
        <w:t xml:space="preserve"> (</w:t>
      </w:r>
      <w:r w:rsidR="00F026B4">
        <w:rPr>
          <w:lang w:val="en-GB"/>
        </w:rPr>
        <w:t>FTTx</w:t>
      </w:r>
      <w:r w:rsidR="00EA50C5">
        <w:rPr>
          <w:lang w:val="en-GB"/>
        </w:rPr>
        <w:t>)</w:t>
      </w:r>
      <w:bookmarkEnd w:id="378"/>
    </w:p>
    <w:p w14:paraId="7B440365" w14:textId="77777777" w:rsidR="00903D5E" w:rsidRPr="00BC1ABD" w:rsidRDefault="00903D5E" w:rsidP="00903D5E">
      <w:pPr>
        <w:jc w:val="center"/>
        <w:rPr>
          <w:rFonts w:cs="Arial"/>
          <w:sz w:val="20"/>
          <w:szCs w:val="20"/>
          <w:lang w:val="en-GB"/>
        </w:rPr>
      </w:pPr>
      <w:r w:rsidRPr="009861F6">
        <w:rPr>
          <w:noProof/>
          <w:lang w:val="sl-SI" w:eastAsia="sl-SI"/>
        </w:rPr>
        <w:drawing>
          <wp:inline distT="0" distB="0" distL="0" distR="0" wp14:anchorId="461D2E07" wp14:editId="687BA585">
            <wp:extent cx="8776354" cy="5239337"/>
            <wp:effectExtent l="0" t="0" r="571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796955" cy="5251635"/>
                    </a:xfrm>
                    <a:prstGeom prst="rect">
                      <a:avLst/>
                    </a:prstGeom>
                  </pic:spPr>
                </pic:pic>
              </a:graphicData>
            </a:graphic>
          </wp:inline>
        </w:drawing>
      </w:r>
      <w:r w:rsidRPr="009861F6">
        <w:rPr>
          <w:rFonts w:cs="Arial"/>
          <w:sz w:val="20"/>
          <w:szCs w:val="20"/>
          <w:lang w:val="en-GB"/>
        </w:rPr>
        <w:t xml:space="preserve"> </w:t>
      </w:r>
      <w:r w:rsidRPr="00BC1ABD">
        <w:rPr>
          <w:rFonts w:cs="Arial"/>
          <w:sz w:val="20"/>
          <w:szCs w:val="20"/>
          <w:lang w:val="en-GB"/>
        </w:rPr>
        <w:t xml:space="preserve">: </w:t>
      </w:r>
      <w:r>
        <w:rPr>
          <w:rFonts w:cs="Arial"/>
          <w:sz w:val="20"/>
          <w:szCs w:val="20"/>
          <w:lang w:val="en-GB"/>
        </w:rPr>
        <w:t xml:space="preserve">Source: </w:t>
      </w:r>
      <w:r w:rsidRPr="00BC1ABD">
        <w:rPr>
          <w:rFonts w:cs="Arial"/>
          <w:sz w:val="20"/>
          <w:szCs w:val="20"/>
          <w:lang w:val="en-GB"/>
        </w:rPr>
        <w:t>Answers to the Questionnaire on coverage and ComCom data</w:t>
      </w:r>
    </w:p>
    <w:p w14:paraId="7B433ADD" w14:textId="1EB93611" w:rsidR="00903D5E" w:rsidRPr="00BC1ABD" w:rsidRDefault="00ED4414" w:rsidP="008E7C6B">
      <w:pPr>
        <w:pStyle w:val="Heading2"/>
        <w:spacing w:after="240"/>
        <w:rPr>
          <w:lang w:val="en-GB"/>
        </w:rPr>
      </w:pPr>
      <w:bookmarkStart w:id="379" w:name="_Toc149071451"/>
      <w:bookmarkStart w:id="380" w:name="_Toc169259016"/>
      <w:r w:rsidRPr="00ED4414">
        <w:rPr>
          <w:lang w:val="en-GB"/>
        </w:rPr>
        <w:t xml:space="preserve">Coverage and take-up map </w:t>
      </w:r>
      <w:r w:rsidR="00903D5E">
        <w:rPr>
          <w:lang w:val="en-GB"/>
        </w:rPr>
        <w:t>of Silkn</w:t>
      </w:r>
      <w:r w:rsidR="000C31B2">
        <w:rPr>
          <w:lang w:val="en-GB"/>
        </w:rPr>
        <w:t>e</w:t>
      </w:r>
      <w:r w:rsidR="00903D5E">
        <w:rPr>
          <w:lang w:val="en-GB"/>
        </w:rPr>
        <w:t>t,</w:t>
      </w:r>
      <w:bookmarkEnd w:id="379"/>
      <w:bookmarkEnd w:id="380"/>
    </w:p>
    <w:p w14:paraId="5D36362E" w14:textId="3943FD75" w:rsidR="00903D5E" w:rsidRPr="002C39C8" w:rsidRDefault="00903D5E" w:rsidP="00903D5E">
      <w:pPr>
        <w:jc w:val="both"/>
        <w:rPr>
          <w:sz w:val="24"/>
          <w:szCs w:val="24"/>
          <w:lang w:val="en-GB"/>
        </w:rPr>
      </w:pPr>
      <w:r w:rsidRPr="002C39C8">
        <w:rPr>
          <w:sz w:val="24"/>
          <w:szCs w:val="24"/>
          <w:lang w:val="en-GB"/>
        </w:rPr>
        <w:t xml:space="preserve">Silknet has the second largest fibre network in Georgia. It covers all </w:t>
      </w:r>
      <w:r w:rsidR="00E95462" w:rsidRPr="002C39C8">
        <w:rPr>
          <w:sz w:val="24"/>
          <w:szCs w:val="24"/>
          <w:lang w:val="en-GB"/>
        </w:rPr>
        <w:t>the largest</w:t>
      </w:r>
      <w:r w:rsidRPr="002C39C8">
        <w:rPr>
          <w:sz w:val="24"/>
          <w:szCs w:val="24"/>
          <w:lang w:val="en-GB"/>
        </w:rPr>
        <w:t xml:space="preserve"> settlements in Georgia, including all municipality centres. It is the second network in Tbilisi, while in Batum</w:t>
      </w:r>
      <w:r w:rsidR="007C3D47">
        <w:rPr>
          <w:sz w:val="24"/>
          <w:szCs w:val="24"/>
          <w:lang w:val="en-GB"/>
        </w:rPr>
        <w:t>i</w:t>
      </w:r>
      <w:r w:rsidRPr="002C39C8">
        <w:rPr>
          <w:sz w:val="24"/>
          <w:szCs w:val="24"/>
          <w:lang w:val="en-GB"/>
        </w:rPr>
        <w:t xml:space="preserve">, and Kutaisi it </w:t>
      </w:r>
      <w:r w:rsidR="00990C9C">
        <w:rPr>
          <w:sz w:val="24"/>
          <w:szCs w:val="24"/>
          <w:lang w:val="en-GB"/>
        </w:rPr>
        <w:t>serves more than</w:t>
      </w:r>
      <w:r w:rsidRPr="002C39C8">
        <w:rPr>
          <w:sz w:val="24"/>
          <w:szCs w:val="24"/>
          <w:lang w:val="en-GB"/>
        </w:rPr>
        <w:t xml:space="preserve"> 40%</w:t>
      </w:r>
      <w:r w:rsidR="00990C9C">
        <w:rPr>
          <w:sz w:val="24"/>
          <w:szCs w:val="24"/>
          <w:lang w:val="en-GB"/>
        </w:rPr>
        <w:t xml:space="preserve"> of active subscribers.</w:t>
      </w:r>
      <w:r w:rsidRPr="002C39C8">
        <w:rPr>
          <w:sz w:val="24"/>
          <w:szCs w:val="24"/>
          <w:lang w:val="en-GB"/>
        </w:rPr>
        <w:t xml:space="preserve"> </w:t>
      </w:r>
      <w:r w:rsidR="00E95462" w:rsidRPr="002C39C8">
        <w:rPr>
          <w:sz w:val="24"/>
          <w:szCs w:val="24"/>
          <w:lang w:val="en-GB"/>
        </w:rPr>
        <w:t>Silknet</w:t>
      </w:r>
      <w:r w:rsidR="00990C9C">
        <w:rPr>
          <w:sz w:val="24"/>
          <w:szCs w:val="24"/>
          <w:lang w:val="en-GB"/>
        </w:rPr>
        <w:t xml:space="preserve"> serves l</w:t>
      </w:r>
      <w:r w:rsidR="005E1734">
        <w:rPr>
          <w:sz w:val="24"/>
          <w:szCs w:val="24"/>
          <w:lang w:val="en-GB"/>
        </w:rPr>
        <w:t xml:space="preserve">ess than 40% of active subscribers </w:t>
      </w:r>
      <w:r w:rsidRPr="002C39C8">
        <w:rPr>
          <w:sz w:val="24"/>
          <w:szCs w:val="24"/>
          <w:lang w:val="en-GB"/>
        </w:rPr>
        <w:t xml:space="preserve">in Rustavi. The number of settlements where Silknet is present is </w:t>
      </w:r>
      <w:r w:rsidR="00E95462" w:rsidRPr="002C39C8">
        <w:rPr>
          <w:sz w:val="24"/>
          <w:szCs w:val="24"/>
          <w:lang w:val="en-GB"/>
        </w:rPr>
        <w:t>significantly</w:t>
      </w:r>
      <w:r w:rsidRPr="002C39C8">
        <w:rPr>
          <w:sz w:val="24"/>
          <w:szCs w:val="24"/>
          <w:lang w:val="en-GB"/>
        </w:rPr>
        <w:t xml:space="preserve"> lower compared to </w:t>
      </w:r>
      <w:r w:rsidR="00E95462" w:rsidRPr="002C39C8">
        <w:rPr>
          <w:sz w:val="24"/>
          <w:szCs w:val="24"/>
          <w:lang w:val="en-GB"/>
        </w:rPr>
        <w:t xml:space="preserve">the </w:t>
      </w:r>
      <w:r w:rsidRPr="002C39C8">
        <w:rPr>
          <w:sz w:val="24"/>
          <w:szCs w:val="24"/>
          <w:lang w:val="en-GB"/>
        </w:rPr>
        <w:t>number of settlements where Magticom is present.</w:t>
      </w:r>
    </w:p>
    <w:p w14:paraId="625A3794" w14:textId="779B3893" w:rsidR="00903D5E" w:rsidRPr="00F16F27" w:rsidRDefault="00903D5E" w:rsidP="00903D5E">
      <w:pPr>
        <w:pStyle w:val="Caption"/>
        <w:jc w:val="center"/>
        <w:rPr>
          <w:rFonts w:cs="Arial"/>
          <w:b/>
          <w:sz w:val="24"/>
          <w:szCs w:val="24"/>
          <w:lang w:val="en-GB"/>
        </w:rPr>
      </w:pPr>
      <w:bookmarkStart w:id="381" w:name="_Toc152931430"/>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79</w:t>
      </w:r>
      <w:r w:rsidRPr="00BC1ABD">
        <w:rPr>
          <w:lang w:val="en-GB"/>
        </w:rPr>
        <w:fldChar w:fldCharType="end"/>
      </w:r>
      <w:r w:rsidRPr="00BC1ABD">
        <w:rPr>
          <w:lang w:val="en-GB"/>
        </w:rPr>
        <w:t xml:space="preserve">: </w:t>
      </w:r>
      <w:r>
        <w:rPr>
          <w:lang w:val="en-GB"/>
        </w:rPr>
        <w:t>Table of Silknet coverage</w:t>
      </w:r>
      <w:r w:rsidR="00EA50C5">
        <w:rPr>
          <w:lang w:val="en-GB"/>
        </w:rPr>
        <w:t xml:space="preserve"> and take-up</w:t>
      </w:r>
      <w:r>
        <w:rPr>
          <w:lang w:val="en-GB"/>
        </w:rPr>
        <w:t xml:space="preserve"> </w:t>
      </w:r>
      <w:r w:rsidR="00EA50C5">
        <w:rPr>
          <w:lang w:val="en-GB"/>
        </w:rPr>
        <w:t>(</w:t>
      </w:r>
      <w:r w:rsidR="00F026B4">
        <w:rPr>
          <w:lang w:val="en-GB"/>
        </w:rPr>
        <w:t>FTTx</w:t>
      </w:r>
      <w:r w:rsidR="00EA50C5">
        <w:rPr>
          <w:lang w:val="en-GB"/>
        </w:rPr>
        <w:t>)</w:t>
      </w:r>
      <w:bookmarkEnd w:id="381"/>
    </w:p>
    <w:tbl>
      <w:tblPr>
        <w:tblW w:w="12186" w:type="dxa"/>
        <w:jc w:val="center"/>
        <w:tblCellMar>
          <w:left w:w="70" w:type="dxa"/>
          <w:right w:w="70" w:type="dxa"/>
        </w:tblCellMar>
        <w:tblLook w:val="04A0" w:firstRow="1" w:lastRow="0" w:firstColumn="1" w:lastColumn="0" w:noHBand="0" w:noVBand="1"/>
      </w:tblPr>
      <w:tblGrid>
        <w:gridCol w:w="3681"/>
        <w:gridCol w:w="1899"/>
        <w:gridCol w:w="1440"/>
        <w:gridCol w:w="940"/>
        <w:gridCol w:w="1141"/>
        <w:gridCol w:w="1365"/>
        <w:gridCol w:w="1720"/>
      </w:tblGrid>
      <w:tr w:rsidR="00903D5E" w:rsidRPr="00F16F27" w14:paraId="627C77F0" w14:textId="77777777" w:rsidTr="006C273F">
        <w:trPr>
          <w:trHeight w:val="330"/>
          <w:jc w:val="center"/>
        </w:trPr>
        <w:tc>
          <w:tcPr>
            <w:tcW w:w="3681"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3A130F58" w14:textId="77777777" w:rsidR="00903D5E" w:rsidRPr="00F16F27" w:rsidRDefault="00903D5E" w:rsidP="006C273F">
            <w:pPr>
              <w:spacing w:after="0" w:line="240" w:lineRule="auto"/>
              <w:rPr>
                <w:rFonts w:eastAsia="Times New Roman" w:cs="Calibri"/>
                <w:b/>
                <w:bCs/>
                <w:color w:val="000000"/>
                <w:lang w:val="sl-SI" w:eastAsia="sl-SI"/>
              </w:rPr>
            </w:pPr>
            <w:r w:rsidRPr="00F16F27">
              <w:rPr>
                <w:rFonts w:eastAsia="Times New Roman" w:cs="Calibri"/>
                <w:b/>
                <w:bCs/>
                <w:color w:val="000000"/>
                <w:lang w:val="sl-SI" w:eastAsia="sl-SI"/>
              </w:rPr>
              <w:t> </w:t>
            </w:r>
          </w:p>
        </w:tc>
        <w:tc>
          <w:tcPr>
            <w:tcW w:w="1899" w:type="dxa"/>
            <w:tcBorders>
              <w:top w:val="single" w:sz="12" w:space="0" w:color="auto"/>
              <w:left w:val="nil"/>
              <w:bottom w:val="single" w:sz="12" w:space="0" w:color="auto"/>
              <w:right w:val="single" w:sz="4" w:space="0" w:color="auto"/>
            </w:tcBorders>
            <w:shd w:val="clear" w:color="000000" w:fill="00B0F0"/>
            <w:noWrap/>
            <w:vAlign w:val="bottom"/>
            <w:hideMark/>
          </w:tcPr>
          <w:p w14:paraId="08407000" w14:textId="77777777" w:rsidR="00903D5E" w:rsidRPr="00F16F27" w:rsidRDefault="00903D5E" w:rsidP="006C273F">
            <w:pPr>
              <w:spacing w:after="0" w:line="240" w:lineRule="auto"/>
              <w:rPr>
                <w:rFonts w:eastAsia="Times New Roman" w:cs="Calibri"/>
                <w:b/>
                <w:bCs/>
                <w:color w:val="000000"/>
                <w:lang w:val="sl-SI" w:eastAsia="sl-SI"/>
              </w:rPr>
            </w:pPr>
            <w:r w:rsidRPr="00F16F27">
              <w:rPr>
                <w:rFonts w:eastAsia="Times New Roman" w:cs="Calibri"/>
                <w:b/>
                <w:bCs/>
                <w:color w:val="000000"/>
                <w:lang w:val="sl-SI" w:eastAsia="sl-SI"/>
              </w:rPr>
              <w:t>No of settlements</w:t>
            </w:r>
          </w:p>
        </w:tc>
        <w:tc>
          <w:tcPr>
            <w:tcW w:w="1440" w:type="dxa"/>
            <w:tcBorders>
              <w:top w:val="single" w:sz="12" w:space="0" w:color="auto"/>
              <w:left w:val="nil"/>
              <w:bottom w:val="single" w:sz="12" w:space="0" w:color="auto"/>
              <w:right w:val="single" w:sz="4" w:space="0" w:color="auto"/>
            </w:tcBorders>
            <w:shd w:val="clear" w:color="000000" w:fill="00B0F0"/>
            <w:noWrap/>
            <w:vAlign w:val="bottom"/>
            <w:hideMark/>
          </w:tcPr>
          <w:p w14:paraId="2B1558FD" w14:textId="77777777" w:rsidR="00903D5E" w:rsidRPr="00F16F27" w:rsidRDefault="00903D5E" w:rsidP="006C273F">
            <w:pPr>
              <w:spacing w:after="0" w:line="240" w:lineRule="auto"/>
              <w:rPr>
                <w:rFonts w:eastAsia="Times New Roman" w:cs="Calibri"/>
                <w:b/>
                <w:bCs/>
                <w:color w:val="000000"/>
                <w:lang w:val="sl-SI" w:eastAsia="sl-SI"/>
              </w:rPr>
            </w:pPr>
            <w:r w:rsidRPr="00F16F27">
              <w:rPr>
                <w:rFonts w:eastAsia="Times New Roman" w:cs="Calibri"/>
                <w:b/>
                <w:bCs/>
                <w:color w:val="000000"/>
                <w:lang w:val="sl-SI" w:eastAsia="sl-SI"/>
              </w:rPr>
              <w:t>Households</w:t>
            </w:r>
          </w:p>
        </w:tc>
        <w:tc>
          <w:tcPr>
            <w:tcW w:w="940" w:type="dxa"/>
            <w:tcBorders>
              <w:top w:val="single" w:sz="12" w:space="0" w:color="auto"/>
              <w:left w:val="nil"/>
              <w:bottom w:val="single" w:sz="12" w:space="0" w:color="auto"/>
              <w:right w:val="single" w:sz="4" w:space="0" w:color="auto"/>
            </w:tcBorders>
            <w:shd w:val="clear" w:color="000000" w:fill="00B0F0"/>
            <w:noWrap/>
            <w:vAlign w:val="bottom"/>
            <w:hideMark/>
          </w:tcPr>
          <w:p w14:paraId="6D03A318" w14:textId="77777777" w:rsidR="00903D5E" w:rsidRPr="00F16F27" w:rsidRDefault="00903D5E" w:rsidP="006C273F">
            <w:pPr>
              <w:spacing w:after="0" w:line="240" w:lineRule="auto"/>
              <w:rPr>
                <w:rFonts w:eastAsia="Times New Roman" w:cs="Calibri"/>
                <w:b/>
                <w:bCs/>
                <w:color w:val="000000"/>
                <w:lang w:val="sl-SI" w:eastAsia="sl-SI"/>
              </w:rPr>
            </w:pPr>
            <w:r w:rsidRPr="00F16F27">
              <w:rPr>
                <w:rFonts w:eastAsia="Times New Roman" w:cs="Calibri"/>
                <w:b/>
                <w:bCs/>
                <w:color w:val="000000"/>
                <w:lang w:val="sl-SI" w:eastAsia="sl-SI"/>
              </w:rPr>
              <w:t>% of HH</w:t>
            </w:r>
          </w:p>
        </w:tc>
        <w:tc>
          <w:tcPr>
            <w:tcW w:w="1141" w:type="dxa"/>
            <w:tcBorders>
              <w:top w:val="single" w:sz="12" w:space="0" w:color="auto"/>
              <w:left w:val="nil"/>
              <w:bottom w:val="single" w:sz="12" w:space="0" w:color="auto"/>
              <w:right w:val="single" w:sz="4" w:space="0" w:color="auto"/>
            </w:tcBorders>
            <w:shd w:val="clear" w:color="000000" w:fill="00B0F0"/>
            <w:noWrap/>
            <w:vAlign w:val="bottom"/>
            <w:hideMark/>
          </w:tcPr>
          <w:p w14:paraId="3F94D0F8" w14:textId="77777777" w:rsidR="00903D5E" w:rsidRPr="00F16F27" w:rsidRDefault="00903D5E" w:rsidP="006C273F">
            <w:pPr>
              <w:spacing w:after="0" w:line="240" w:lineRule="auto"/>
              <w:rPr>
                <w:rFonts w:eastAsia="Times New Roman" w:cs="Calibri"/>
                <w:b/>
                <w:bCs/>
                <w:color w:val="000000"/>
                <w:lang w:val="sl-SI" w:eastAsia="sl-SI"/>
              </w:rPr>
            </w:pPr>
            <w:r w:rsidRPr="00F16F27">
              <w:rPr>
                <w:rFonts w:eastAsia="Times New Roman" w:cs="Calibri"/>
                <w:b/>
                <w:bCs/>
                <w:color w:val="000000"/>
                <w:lang w:val="sl-SI" w:eastAsia="sl-SI"/>
              </w:rPr>
              <w:t>Population</w:t>
            </w:r>
          </w:p>
        </w:tc>
        <w:tc>
          <w:tcPr>
            <w:tcW w:w="1365" w:type="dxa"/>
            <w:tcBorders>
              <w:top w:val="single" w:sz="12" w:space="0" w:color="auto"/>
              <w:left w:val="nil"/>
              <w:bottom w:val="single" w:sz="12" w:space="0" w:color="auto"/>
              <w:right w:val="single" w:sz="4" w:space="0" w:color="auto"/>
            </w:tcBorders>
            <w:shd w:val="clear" w:color="000000" w:fill="00B0F0"/>
            <w:noWrap/>
            <w:vAlign w:val="bottom"/>
            <w:hideMark/>
          </w:tcPr>
          <w:p w14:paraId="4B21A0AC" w14:textId="77777777" w:rsidR="00903D5E" w:rsidRPr="00F16F27" w:rsidRDefault="00903D5E" w:rsidP="006C273F">
            <w:pPr>
              <w:spacing w:after="0" w:line="240" w:lineRule="auto"/>
              <w:rPr>
                <w:rFonts w:eastAsia="Times New Roman" w:cs="Calibri"/>
                <w:b/>
                <w:bCs/>
                <w:color w:val="000000"/>
                <w:lang w:val="sl-SI" w:eastAsia="sl-SI"/>
              </w:rPr>
            </w:pPr>
            <w:r w:rsidRPr="00F16F27">
              <w:rPr>
                <w:rFonts w:eastAsia="Times New Roman" w:cs="Calibri"/>
                <w:b/>
                <w:bCs/>
                <w:color w:val="000000"/>
                <w:lang w:val="sl-SI" w:eastAsia="sl-SI"/>
              </w:rPr>
              <w:t>Subscriptions</w:t>
            </w:r>
          </w:p>
        </w:tc>
        <w:tc>
          <w:tcPr>
            <w:tcW w:w="1720" w:type="dxa"/>
            <w:tcBorders>
              <w:top w:val="single" w:sz="12" w:space="0" w:color="auto"/>
              <w:left w:val="nil"/>
              <w:bottom w:val="single" w:sz="12" w:space="0" w:color="auto"/>
              <w:right w:val="single" w:sz="12" w:space="0" w:color="auto"/>
            </w:tcBorders>
            <w:shd w:val="clear" w:color="000000" w:fill="00B0F0"/>
            <w:noWrap/>
            <w:vAlign w:val="bottom"/>
            <w:hideMark/>
          </w:tcPr>
          <w:p w14:paraId="641DB382" w14:textId="31A1075E" w:rsidR="00903D5E" w:rsidRPr="00F16F27" w:rsidRDefault="009C1E1C" w:rsidP="006C273F">
            <w:pPr>
              <w:spacing w:after="0" w:line="240" w:lineRule="auto"/>
              <w:rPr>
                <w:rFonts w:eastAsia="Times New Roman" w:cs="Calibri"/>
                <w:b/>
                <w:bCs/>
                <w:color w:val="000000"/>
                <w:lang w:val="sl-SI" w:eastAsia="sl-SI"/>
              </w:rPr>
            </w:pPr>
            <w:r>
              <w:rPr>
                <w:rFonts w:eastAsia="Times New Roman" w:cs="Calibri"/>
                <w:b/>
                <w:bCs/>
                <w:color w:val="000000"/>
                <w:lang w:val="sl-SI" w:eastAsia="sl-SI"/>
              </w:rPr>
              <w:t>Premises</w:t>
            </w:r>
            <w:r w:rsidRPr="00F16F27">
              <w:rPr>
                <w:rFonts w:eastAsia="Times New Roman" w:cs="Calibri"/>
                <w:b/>
                <w:bCs/>
                <w:color w:val="000000"/>
                <w:lang w:val="sl-SI" w:eastAsia="sl-SI"/>
              </w:rPr>
              <w:t xml:space="preserve"> </w:t>
            </w:r>
            <w:r w:rsidR="00903D5E" w:rsidRPr="00F16F27">
              <w:rPr>
                <w:rFonts w:eastAsia="Times New Roman" w:cs="Calibri"/>
                <w:b/>
                <w:bCs/>
                <w:color w:val="000000"/>
                <w:lang w:val="sl-SI" w:eastAsia="sl-SI"/>
              </w:rPr>
              <w:t>passed</w:t>
            </w:r>
          </w:p>
        </w:tc>
      </w:tr>
      <w:tr w:rsidR="003D2EB7" w:rsidRPr="00F16F27" w14:paraId="43D8CFC7" w14:textId="77777777" w:rsidTr="006C273F">
        <w:trPr>
          <w:trHeight w:val="315"/>
          <w:jc w:val="center"/>
        </w:trPr>
        <w:tc>
          <w:tcPr>
            <w:tcW w:w="3681" w:type="dxa"/>
            <w:tcBorders>
              <w:top w:val="nil"/>
              <w:left w:val="single" w:sz="4" w:space="0" w:color="auto"/>
              <w:bottom w:val="single" w:sz="4" w:space="0" w:color="auto"/>
              <w:right w:val="single" w:sz="4" w:space="0" w:color="auto"/>
            </w:tcBorders>
            <w:shd w:val="clear" w:color="000000" w:fill="99CCFF"/>
            <w:noWrap/>
            <w:vAlign w:val="bottom"/>
            <w:hideMark/>
          </w:tcPr>
          <w:p w14:paraId="5C1219BD" w14:textId="77777777" w:rsidR="00903D5E" w:rsidRPr="00F16F27" w:rsidRDefault="00903D5E" w:rsidP="006C273F">
            <w:pPr>
              <w:spacing w:after="0" w:line="240" w:lineRule="auto"/>
              <w:rPr>
                <w:rFonts w:eastAsia="Times New Roman" w:cs="Calibri"/>
                <w:color w:val="000000"/>
                <w:lang w:val="sl-SI" w:eastAsia="sl-SI"/>
              </w:rPr>
            </w:pPr>
            <w:r w:rsidRPr="00F16F27">
              <w:rPr>
                <w:rFonts w:eastAsia="Times New Roman" w:cs="Calibri"/>
                <w:color w:val="000000"/>
                <w:lang w:val="sl-SI" w:eastAsia="sl-SI"/>
              </w:rPr>
              <w:t>Silknet present</w:t>
            </w:r>
          </w:p>
        </w:tc>
        <w:tc>
          <w:tcPr>
            <w:tcW w:w="1899" w:type="dxa"/>
            <w:tcBorders>
              <w:top w:val="nil"/>
              <w:left w:val="nil"/>
              <w:bottom w:val="single" w:sz="4" w:space="0" w:color="auto"/>
              <w:right w:val="single" w:sz="4" w:space="0" w:color="auto"/>
            </w:tcBorders>
            <w:shd w:val="clear" w:color="000000" w:fill="99CCFF"/>
            <w:noWrap/>
            <w:vAlign w:val="bottom"/>
            <w:hideMark/>
          </w:tcPr>
          <w:p w14:paraId="3D72428C"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71</w:t>
            </w:r>
          </w:p>
        </w:tc>
        <w:tc>
          <w:tcPr>
            <w:tcW w:w="1440" w:type="dxa"/>
            <w:tcBorders>
              <w:top w:val="nil"/>
              <w:left w:val="nil"/>
              <w:bottom w:val="single" w:sz="4" w:space="0" w:color="auto"/>
              <w:right w:val="single" w:sz="4" w:space="0" w:color="auto"/>
            </w:tcBorders>
            <w:shd w:val="clear" w:color="000000" w:fill="99CCFF"/>
            <w:noWrap/>
            <w:vAlign w:val="bottom"/>
            <w:hideMark/>
          </w:tcPr>
          <w:p w14:paraId="636FDB5C" w14:textId="77777777" w:rsidR="00903D5E" w:rsidRPr="00F16F2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769,</w:t>
            </w:r>
            <w:r w:rsidRPr="00F16F27">
              <w:rPr>
                <w:rFonts w:eastAsia="Times New Roman" w:cs="Calibri"/>
                <w:color w:val="000000"/>
                <w:lang w:val="sl-SI" w:eastAsia="sl-SI"/>
              </w:rPr>
              <w:t>467</w:t>
            </w:r>
          </w:p>
        </w:tc>
        <w:tc>
          <w:tcPr>
            <w:tcW w:w="940" w:type="dxa"/>
            <w:tcBorders>
              <w:top w:val="nil"/>
              <w:left w:val="nil"/>
              <w:bottom w:val="single" w:sz="4" w:space="0" w:color="auto"/>
              <w:right w:val="single" w:sz="4" w:space="0" w:color="auto"/>
            </w:tcBorders>
            <w:shd w:val="clear" w:color="000000" w:fill="99CCFF"/>
            <w:noWrap/>
            <w:vAlign w:val="bottom"/>
            <w:hideMark/>
          </w:tcPr>
          <w:p w14:paraId="553F44D8" w14:textId="77777777" w:rsidR="00903D5E" w:rsidRPr="00F16F2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61.</w:t>
            </w:r>
            <w:r w:rsidRPr="00F16F27">
              <w:rPr>
                <w:rFonts w:eastAsia="Times New Roman" w:cs="Calibri"/>
                <w:color w:val="000000"/>
                <w:lang w:val="sl-SI" w:eastAsia="sl-SI"/>
              </w:rPr>
              <w:t>5</w:t>
            </w:r>
          </w:p>
        </w:tc>
        <w:tc>
          <w:tcPr>
            <w:tcW w:w="1141" w:type="dxa"/>
            <w:tcBorders>
              <w:top w:val="nil"/>
              <w:left w:val="nil"/>
              <w:bottom w:val="single" w:sz="4" w:space="0" w:color="auto"/>
              <w:right w:val="single" w:sz="4" w:space="0" w:color="auto"/>
            </w:tcBorders>
            <w:shd w:val="clear" w:color="000000" w:fill="99CCFF"/>
            <w:noWrap/>
            <w:vAlign w:val="bottom"/>
            <w:hideMark/>
          </w:tcPr>
          <w:p w14:paraId="7740E5F0"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2</w:t>
            </w:r>
            <w:r>
              <w:rPr>
                <w:rFonts w:eastAsia="Times New Roman" w:cs="Calibri"/>
                <w:color w:val="000000"/>
                <w:lang w:val="sl-SI" w:eastAsia="sl-SI"/>
              </w:rPr>
              <w:t>,</w:t>
            </w:r>
            <w:r w:rsidRPr="00F16F27">
              <w:rPr>
                <w:rFonts w:eastAsia="Times New Roman" w:cs="Calibri"/>
                <w:color w:val="000000"/>
                <w:lang w:val="sl-SI" w:eastAsia="sl-SI"/>
              </w:rPr>
              <w:t>050</w:t>
            </w:r>
            <w:r>
              <w:rPr>
                <w:rFonts w:eastAsia="Times New Roman" w:cs="Calibri"/>
                <w:color w:val="000000"/>
                <w:lang w:val="sl-SI" w:eastAsia="sl-SI"/>
              </w:rPr>
              <w:t>,</w:t>
            </w:r>
            <w:r w:rsidRPr="00F16F27">
              <w:rPr>
                <w:rFonts w:eastAsia="Times New Roman" w:cs="Calibri"/>
                <w:color w:val="000000"/>
                <w:lang w:val="sl-SI" w:eastAsia="sl-SI"/>
              </w:rPr>
              <w:t>762</w:t>
            </w:r>
          </w:p>
        </w:tc>
        <w:tc>
          <w:tcPr>
            <w:tcW w:w="1365" w:type="dxa"/>
            <w:tcBorders>
              <w:top w:val="nil"/>
              <w:left w:val="nil"/>
              <w:bottom w:val="single" w:sz="4" w:space="0" w:color="auto"/>
              <w:right w:val="single" w:sz="4" w:space="0" w:color="auto"/>
            </w:tcBorders>
            <w:shd w:val="clear" w:color="000000" w:fill="99CCFF"/>
            <w:noWrap/>
            <w:vAlign w:val="bottom"/>
            <w:hideMark/>
          </w:tcPr>
          <w:p w14:paraId="0FC20F5E"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275</w:t>
            </w:r>
            <w:r>
              <w:rPr>
                <w:rFonts w:eastAsia="Times New Roman" w:cs="Calibri"/>
                <w:color w:val="000000"/>
                <w:lang w:val="sl-SI" w:eastAsia="sl-SI"/>
              </w:rPr>
              <w:t>,</w:t>
            </w:r>
            <w:r w:rsidRPr="00F16F27">
              <w:rPr>
                <w:rFonts w:eastAsia="Times New Roman" w:cs="Calibri"/>
                <w:color w:val="000000"/>
                <w:lang w:val="sl-SI" w:eastAsia="sl-SI"/>
              </w:rPr>
              <w:t>464</w:t>
            </w:r>
          </w:p>
        </w:tc>
        <w:tc>
          <w:tcPr>
            <w:tcW w:w="1720" w:type="dxa"/>
            <w:tcBorders>
              <w:top w:val="nil"/>
              <w:left w:val="nil"/>
              <w:bottom w:val="single" w:sz="4" w:space="0" w:color="auto"/>
              <w:right w:val="single" w:sz="4" w:space="0" w:color="auto"/>
            </w:tcBorders>
            <w:shd w:val="clear" w:color="000000" w:fill="99CCFF"/>
            <w:noWrap/>
            <w:vAlign w:val="bottom"/>
            <w:hideMark/>
          </w:tcPr>
          <w:p w14:paraId="22D44146"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716</w:t>
            </w:r>
            <w:r>
              <w:rPr>
                <w:rFonts w:eastAsia="Times New Roman" w:cs="Calibri"/>
                <w:color w:val="000000"/>
                <w:lang w:val="sl-SI" w:eastAsia="sl-SI"/>
              </w:rPr>
              <w:t>,</w:t>
            </w:r>
            <w:r w:rsidRPr="00F16F27">
              <w:rPr>
                <w:rFonts w:eastAsia="Times New Roman" w:cs="Calibri"/>
                <w:color w:val="000000"/>
                <w:lang w:val="sl-SI" w:eastAsia="sl-SI"/>
              </w:rPr>
              <w:t>307</w:t>
            </w:r>
          </w:p>
        </w:tc>
      </w:tr>
      <w:tr w:rsidR="003D2EB7" w:rsidRPr="00F16F27" w14:paraId="2D3F9A7F" w14:textId="77777777" w:rsidTr="006C273F">
        <w:trPr>
          <w:trHeight w:val="300"/>
          <w:jc w:val="center"/>
        </w:trPr>
        <w:tc>
          <w:tcPr>
            <w:tcW w:w="3681" w:type="dxa"/>
            <w:tcBorders>
              <w:top w:val="nil"/>
              <w:left w:val="single" w:sz="4" w:space="0" w:color="auto"/>
              <w:bottom w:val="single" w:sz="4" w:space="0" w:color="auto"/>
              <w:right w:val="single" w:sz="4" w:space="0" w:color="auto"/>
            </w:tcBorders>
            <w:shd w:val="clear" w:color="000000" w:fill="99CCFF"/>
            <w:noWrap/>
            <w:vAlign w:val="bottom"/>
            <w:hideMark/>
          </w:tcPr>
          <w:p w14:paraId="6FA7EBB8" w14:textId="77777777" w:rsidR="00903D5E" w:rsidRPr="00F16F27" w:rsidRDefault="00903D5E" w:rsidP="006C273F">
            <w:pPr>
              <w:spacing w:after="0" w:line="240" w:lineRule="auto"/>
              <w:rPr>
                <w:rFonts w:eastAsia="Times New Roman" w:cs="Calibri"/>
                <w:color w:val="000000"/>
                <w:lang w:val="sl-SI" w:eastAsia="sl-SI"/>
              </w:rPr>
            </w:pPr>
            <w:r w:rsidRPr="00F16F27">
              <w:rPr>
                <w:rFonts w:eastAsia="Times New Roman" w:cs="Calibri"/>
                <w:color w:val="000000"/>
                <w:lang w:val="sl-SI" w:eastAsia="sl-SI"/>
              </w:rPr>
              <w:t>Silknet share 40% or more</w:t>
            </w:r>
          </w:p>
        </w:tc>
        <w:tc>
          <w:tcPr>
            <w:tcW w:w="1899" w:type="dxa"/>
            <w:tcBorders>
              <w:top w:val="nil"/>
              <w:left w:val="nil"/>
              <w:bottom w:val="single" w:sz="4" w:space="0" w:color="auto"/>
              <w:right w:val="single" w:sz="4" w:space="0" w:color="auto"/>
            </w:tcBorders>
            <w:shd w:val="clear" w:color="000000" w:fill="99CCFF"/>
            <w:noWrap/>
            <w:vAlign w:val="bottom"/>
            <w:hideMark/>
          </w:tcPr>
          <w:p w14:paraId="180AD74D"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31</w:t>
            </w:r>
          </w:p>
        </w:tc>
        <w:tc>
          <w:tcPr>
            <w:tcW w:w="1440" w:type="dxa"/>
            <w:tcBorders>
              <w:top w:val="nil"/>
              <w:left w:val="nil"/>
              <w:bottom w:val="single" w:sz="4" w:space="0" w:color="auto"/>
              <w:right w:val="single" w:sz="4" w:space="0" w:color="auto"/>
            </w:tcBorders>
            <w:shd w:val="clear" w:color="000000" w:fill="99CCFF"/>
            <w:noWrap/>
            <w:vAlign w:val="bottom"/>
            <w:hideMark/>
          </w:tcPr>
          <w:p w14:paraId="72F25659"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183</w:t>
            </w:r>
            <w:r>
              <w:rPr>
                <w:rFonts w:eastAsia="Times New Roman" w:cs="Calibri"/>
                <w:color w:val="000000"/>
                <w:lang w:val="sl-SI" w:eastAsia="sl-SI"/>
              </w:rPr>
              <w:t>,</w:t>
            </w:r>
            <w:r w:rsidRPr="00F16F27">
              <w:rPr>
                <w:rFonts w:eastAsia="Times New Roman" w:cs="Calibri"/>
                <w:color w:val="000000"/>
                <w:lang w:val="sl-SI" w:eastAsia="sl-SI"/>
              </w:rPr>
              <w:t>051</w:t>
            </w:r>
          </w:p>
        </w:tc>
        <w:tc>
          <w:tcPr>
            <w:tcW w:w="940" w:type="dxa"/>
            <w:tcBorders>
              <w:top w:val="nil"/>
              <w:left w:val="nil"/>
              <w:bottom w:val="single" w:sz="4" w:space="0" w:color="auto"/>
              <w:right w:val="single" w:sz="4" w:space="0" w:color="auto"/>
            </w:tcBorders>
            <w:shd w:val="clear" w:color="000000" w:fill="99CCFF"/>
            <w:noWrap/>
            <w:vAlign w:val="bottom"/>
            <w:hideMark/>
          </w:tcPr>
          <w:p w14:paraId="55E78912" w14:textId="77777777" w:rsidR="00903D5E" w:rsidRPr="00F16F2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14.</w:t>
            </w:r>
            <w:r w:rsidRPr="00F16F27">
              <w:rPr>
                <w:rFonts w:eastAsia="Times New Roman" w:cs="Calibri"/>
                <w:color w:val="000000"/>
                <w:lang w:val="sl-SI" w:eastAsia="sl-SI"/>
              </w:rPr>
              <w:t>6</w:t>
            </w:r>
          </w:p>
        </w:tc>
        <w:tc>
          <w:tcPr>
            <w:tcW w:w="1141" w:type="dxa"/>
            <w:tcBorders>
              <w:top w:val="nil"/>
              <w:left w:val="nil"/>
              <w:bottom w:val="single" w:sz="4" w:space="0" w:color="auto"/>
              <w:right w:val="single" w:sz="4" w:space="0" w:color="auto"/>
            </w:tcBorders>
            <w:shd w:val="clear" w:color="000000" w:fill="99CCFF"/>
            <w:noWrap/>
            <w:vAlign w:val="bottom"/>
            <w:hideMark/>
          </w:tcPr>
          <w:p w14:paraId="2E825161"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554</w:t>
            </w:r>
            <w:r>
              <w:rPr>
                <w:rFonts w:eastAsia="Times New Roman" w:cs="Calibri"/>
                <w:color w:val="000000"/>
                <w:lang w:val="sl-SI" w:eastAsia="sl-SI"/>
              </w:rPr>
              <w:t>,</w:t>
            </w:r>
            <w:r w:rsidRPr="00F16F27">
              <w:rPr>
                <w:rFonts w:eastAsia="Times New Roman" w:cs="Calibri"/>
                <w:color w:val="000000"/>
                <w:lang w:val="sl-SI" w:eastAsia="sl-SI"/>
              </w:rPr>
              <w:t>013</w:t>
            </w:r>
          </w:p>
        </w:tc>
        <w:tc>
          <w:tcPr>
            <w:tcW w:w="1365" w:type="dxa"/>
            <w:tcBorders>
              <w:top w:val="nil"/>
              <w:left w:val="nil"/>
              <w:bottom w:val="single" w:sz="4" w:space="0" w:color="auto"/>
              <w:right w:val="single" w:sz="4" w:space="0" w:color="auto"/>
            </w:tcBorders>
            <w:shd w:val="clear" w:color="000000" w:fill="99CCFF"/>
            <w:noWrap/>
            <w:vAlign w:val="bottom"/>
            <w:hideMark/>
          </w:tcPr>
          <w:p w14:paraId="5878C7E9"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73</w:t>
            </w:r>
            <w:r>
              <w:rPr>
                <w:rFonts w:eastAsia="Times New Roman" w:cs="Calibri"/>
                <w:color w:val="000000"/>
                <w:lang w:val="sl-SI" w:eastAsia="sl-SI"/>
              </w:rPr>
              <w:t>,</w:t>
            </w:r>
            <w:r w:rsidRPr="00F16F27">
              <w:rPr>
                <w:rFonts w:eastAsia="Times New Roman" w:cs="Calibri"/>
                <w:color w:val="000000"/>
                <w:lang w:val="sl-SI" w:eastAsia="sl-SI"/>
              </w:rPr>
              <w:t>217</w:t>
            </w:r>
          </w:p>
        </w:tc>
        <w:tc>
          <w:tcPr>
            <w:tcW w:w="1720" w:type="dxa"/>
            <w:tcBorders>
              <w:top w:val="nil"/>
              <w:left w:val="nil"/>
              <w:bottom w:val="single" w:sz="4" w:space="0" w:color="auto"/>
              <w:right w:val="single" w:sz="4" w:space="0" w:color="auto"/>
            </w:tcBorders>
            <w:shd w:val="clear" w:color="000000" w:fill="99CCFF"/>
            <w:noWrap/>
            <w:vAlign w:val="bottom"/>
            <w:hideMark/>
          </w:tcPr>
          <w:p w14:paraId="2C9A0F09"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222</w:t>
            </w:r>
            <w:r>
              <w:rPr>
                <w:rFonts w:eastAsia="Times New Roman" w:cs="Calibri"/>
                <w:color w:val="000000"/>
                <w:lang w:val="sl-SI" w:eastAsia="sl-SI"/>
              </w:rPr>
              <w:t>,</w:t>
            </w:r>
            <w:r w:rsidRPr="00F16F27">
              <w:rPr>
                <w:rFonts w:eastAsia="Times New Roman" w:cs="Calibri"/>
                <w:color w:val="000000"/>
                <w:lang w:val="sl-SI" w:eastAsia="sl-SI"/>
              </w:rPr>
              <w:t>156</w:t>
            </w:r>
          </w:p>
        </w:tc>
      </w:tr>
      <w:tr w:rsidR="003D2EB7" w:rsidRPr="00F16F27" w14:paraId="0B833F43" w14:textId="77777777" w:rsidTr="006C273F">
        <w:trPr>
          <w:trHeight w:val="300"/>
          <w:jc w:val="center"/>
        </w:trPr>
        <w:tc>
          <w:tcPr>
            <w:tcW w:w="3681" w:type="dxa"/>
            <w:tcBorders>
              <w:top w:val="nil"/>
              <w:left w:val="single" w:sz="4" w:space="0" w:color="auto"/>
              <w:bottom w:val="single" w:sz="4" w:space="0" w:color="auto"/>
              <w:right w:val="single" w:sz="4" w:space="0" w:color="auto"/>
            </w:tcBorders>
            <w:shd w:val="clear" w:color="000000" w:fill="99CCFF"/>
            <w:noWrap/>
            <w:vAlign w:val="bottom"/>
            <w:hideMark/>
          </w:tcPr>
          <w:p w14:paraId="7C16C5E3" w14:textId="77777777" w:rsidR="00903D5E" w:rsidRPr="00F16F27" w:rsidRDefault="00903D5E" w:rsidP="006C273F">
            <w:pPr>
              <w:spacing w:after="0" w:line="240" w:lineRule="auto"/>
              <w:rPr>
                <w:rFonts w:eastAsia="Times New Roman" w:cs="Calibri"/>
                <w:color w:val="000000"/>
                <w:lang w:val="sl-SI" w:eastAsia="sl-SI"/>
              </w:rPr>
            </w:pPr>
            <w:r w:rsidRPr="00F16F27">
              <w:rPr>
                <w:rFonts w:eastAsia="Times New Roman" w:cs="Calibri"/>
                <w:color w:val="000000"/>
                <w:lang w:val="sl-SI" w:eastAsia="sl-SI"/>
              </w:rPr>
              <w:t>Only Silknet present</w:t>
            </w:r>
          </w:p>
        </w:tc>
        <w:tc>
          <w:tcPr>
            <w:tcW w:w="1899" w:type="dxa"/>
            <w:tcBorders>
              <w:top w:val="nil"/>
              <w:left w:val="nil"/>
              <w:bottom w:val="single" w:sz="4" w:space="0" w:color="auto"/>
              <w:right w:val="single" w:sz="4" w:space="0" w:color="auto"/>
            </w:tcBorders>
            <w:shd w:val="clear" w:color="000000" w:fill="99CCFF"/>
            <w:noWrap/>
            <w:vAlign w:val="bottom"/>
            <w:hideMark/>
          </w:tcPr>
          <w:p w14:paraId="10B287CF"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2</w:t>
            </w:r>
          </w:p>
        </w:tc>
        <w:tc>
          <w:tcPr>
            <w:tcW w:w="1440" w:type="dxa"/>
            <w:tcBorders>
              <w:top w:val="nil"/>
              <w:left w:val="nil"/>
              <w:bottom w:val="single" w:sz="4" w:space="0" w:color="auto"/>
              <w:right w:val="single" w:sz="4" w:space="0" w:color="auto"/>
            </w:tcBorders>
            <w:shd w:val="clear" w:color="000000" w:fill="99CCFF"/>
            <w:noWrap/>
            <w:vAlign w:val="bottom"/>
            <w:hideMark/>
          </w:tcPr>
          <w:p w14:paraId="2C10CADF"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192</w:t>
            </w:r>
          </w:p>
        </w:tc>
        <w:tc>
          <w:tcPr>
            <w:tcW w:w="940" w:type="dxa"/>
            <w:tcBorders>
              <w:top w:val="nil"/>
              <w:left w:val="nil"/>
              <w:bottom w:val="single" w:sz="4" w:space="0" w:color="auto"/>
              <w:right w:val="single" w:sz="4" w:space="0" w:color="auto"/>
            </w:tcBorders>
            <w:shd w:val="clear" w:color="000000" w:fill="99CCFF"/>
            <w:noWrap/>
            <w:vAlign w:val="bottom"/>
            <w:hideMark/>
          </w:tcPr>
          <w:p w14:paraId="1B43891B" w14:textId="77777777" w:rsidR="00903D5E" w:rsidRPr="00F16F2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0.</w:t>
            </w:r>
            <w:r w:rsidRPr="00F16F27">
              <w:rPr>
                <w:rFonts w:eastAsia="Times New Roman" w:cs="Calibri"/>
                <w:color w:val="000000"/>
                <w:lang w:val="sl-SI" w:eastAsia="sl-SI"/>
              </w:rPr>
              <w:t>0</w:t>
            </w:r>
          </w:p>
        </w:tc>
        <w:tc>
          <w:tcPr>
            <w:tcW w:w="1141" w:type="dxa"/>
            <w:tcBorders>
              <w:top w:val="nil"/>
              <w:left w:val="nil"/>
              <w:bottom w:val="single" w:sz="4" w:space="0" w:color="auto"/>
              <w:right w:val="single" w:sz="4" w:space="0" w:color="auto"/>
            </w:tcBorders>
            <w:shd w:val="clear" w:color="000000" w:fill="99CCFF"/>
            <w:noWrap/>
            <w:vAlign w:val="bottom"/>
            <w:hideMark/>
          </w:tcPr>
          <w:p w14:paraId="08EF9E37"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501</w:t>
            </w:r>
          </w:p>
        </w:tc>
        <w:tc>
          <w:tcPr>
            <w:tcW w:w="1365" w:type="dxa"/>
            <w:tcBorders>
              <w:top w:val="nil"/>
              <w:left w:val="nil"/>
              <w:bottom w:val="single" w:sz="4" w:space="0" w:color="auto"/>
              <w:right w:val="single" w:sz="4" w:space="0" w:color="auto"/>
            </w:tcBorders>
            <w:shd w:val="clear" w:color="000000" w:fill="99CCFF"/>
            <w:noWrap/>
            <w:vAlign w:val="bottom"/>
            <w:hideMark/>
          </w:tcPr>
          <w:p w14:paraId="6B954971"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2</w:t>
            </w:r>
          </w:p>
        </w:tc>
        <w:tc>
          <w:tcPr>
            <w:tcW w:w="1720" w:type="dxa"/>
            <w:tcBorders>
              <w:top w:val="nil"/>
              <w:left w:val="nil"/>
              <w:bottom w:val="single" w:sz="4" w:space="0" w:color="auto"/>
              <w:right w:val="single" w:sz="4" w:space="0" w:color="auto"/>
            </w:tcBorders>
            <w:shd w:val="clear" w:color="000000" w:fill="99CCFF"/>
            <w:noWrap/>
            <w:vAlign w:val="bottom"/>
            <w:hideMark/>
          </w:tcPr>
          <w:p w14:paraId="592F6D5C" w14:textId="77777777" w:rsidR="00903D5E" w:rsidRPr="00F16F27" w:rsidRDefault="00903D5E" w:rsidP="006C273F">
            <w:pPr>
              <w:spacing w:after="0" w:line="240" w:lineRule="auto"/>
              <w:jc w:val="right"/>
              <w:rPr>
                <w:rFonts w:eastAsia="Times New Roman" w:cs="Calibri"/>
                <w:color w:val="000000"/>
                <w:lang w:val="sl-SI" w:eastAsia="sl-SI"/>
              </w:rPr>
            </w:pPr>
            <w:r w:rsidRPr="00F16F27">
              <w:rPr>
                <w:rFonts w:eastAsia="Times New Roman" w:cs="Calibri"/>
                <w:color w:val="000000"/>
                <w:lang w:val="sl-SI" w:eastAsia="sl-SI"/>
              </w:rPr>
              <w:t>0</w:t>
            </w:r>
            <w:r>
              <w:rPr>
                <w:rStyle w:val="FootnoteReference"/>
                <w:rFonts w:eastAsia="Times New Roman" w:cs="Calibri"/>
                <w:color w:val="000000"/>
                <w:lang w:val="sl-SI" w:eastAsia="sl-SI"/>
              </w:rPr>
              <w:footnoteReference w:id="114"/>
            </w:r>
          </w:p>
        </w:tc>
      </w:tr>
    </w:tbl>
    <w:p w14:paraId="451EA2D7" w14:textId="77777777" w:rsidR="00903D5E" w:rsidRPr="00BC1ABD" w:rsidRDefault="00903D5E" w:rsidP="00903D5E">
      <w:pPr>
        <w:jc w:val="center"/>
        <w:rPr>
          <w:rFonts w:cs="Arial"/>
          <w:sz w:val="20"/>
          <w:szCs w:val="20"/>
          <w:lang w:val="en-GB"/>
        </w:rPr>
      </w:pPr>
      <w:r>
        <w:rPr>
          <w:rFonts w:cs="Arial"/>
          <w:sz w:val="20"/>
          <w:szCs w:val="20"/>
          <w:lang w:val="en-GB"/>
        </w:rPr>
        <w:t xml:space="preserve">Source: </w:t>
      </w:r>
      <w:r w:rsidRPr="00BC1ABD">
        <w:rPr>
          <w:rFonts w:cs="Arial"/>
          <w:sz w:val="20"/>
          <w:szCs w:val="20"/>
          <w:lang w:val="en-GB"/>
        </w:rPr>
        <w:t>Answers to the Questionnaire on coverage and ComCom data</w:t>
      </w:r>
    </w:p>
    <w:p w14:paraId="4B7CD0C0" w14:textId="77777777" w:rsidR="00E95462" w:rsidRDefault="00E95462" w:rsidP="00903D5E">
      <w:pPr>
        <w:pStyle w:val="Caption"/>
        <w:jc w:val="center"/>
        <w:rPr>
          <w:lang w:val="en-GB"/>
        </w:rPr>
      </w:pPr>
    </w:p>
    <w:p w14:paraId="44540408" w14:textId="77777777" w:rsidR="00E95462" w:rsidRDefault="00E95462" w:rsidP="00903D5E">
      <w:pPr>
        <w:pStyle w:val="Caption"/>
        <w:jc w:val="center"/>
        <w:rPr>
          <w:lang w:val="en-GB"/>
        </w:rPr>
      </w:pPr>
    </w:p>
    <w:p w14:paraId="2EEB4611" w14:textId="77777777" w:rsidR="00E95462" w:rsidRDefault="00E95462" w:rsidP="00903D5E">
      <w:pPr>
        <w:pStyle w:val="Caption"/>
        <w:jc w:val="center"/>
        <w:rPr>
          <w:lang w:val="en-GB"/>
        </w:rPr>
      </w:pPr>
    </w:p>
    <w:p w14:paraId="7B5F9890" w14:textId="77777777" w:rsidR="00E95462" w:rsidRDefault="00E95462" w:rsidP="00903D5E">
      <w:pPr>
        <w:pStyle w:val="Caption"/>
        <w:jc w:val="center"/>
        <w:rPr>
          <w:lang w:val="en-GB"/>
        </w:rPr>
      </w:pPr>
    </w:p>
    <w:p w14:paraId="70F4A0E0" w14:textId="77777777" w:rsidR="00E95462" w:rsidRDefault="00E95462" w:rsidP="00903D5E">
      <w:pPr>
        <w:pStyle w:val="Caption"/>
        <w:jc w:val="center"/>
        <w:rPr>
          <w:lang w:val="en-GB"/>
        </w:rPr>
      </w:pPr>
    </w:p>
    <w:p w14:paraId="0AF118B1" w14:textId="77777777" w:rsidR="00E95462" w:rsidRDefault="00E95462" w:rsidP="00903D5E">
      <w:pPr>
        <w:pStyle w:val="Caption"/>
        <w:jc w:val="center"/>
        <w:rPr>
          <w:lang w:val="en-GB"/>
        </w:rPr>
      </w:pPr>
    </w:p>
    <w:p w14:paraId="48CD3200" w14:textId="77777777" w:rsidR="00E95462" w:rsidRDefault="00E95462" w:rsidP="00903D5E">
      <w:pPr>
        <w:pStyle w:val="Caption"/>
        <w:jc w:val="center"/>
        <w:rPr>
          <w:lang w:val="en-GB"/>
        </w:rPr>
      </w:pPr>
    </w:p>
    <w:p w14:paraId="4B33EADD" w14:textId="77777777" w:rsidR="00E95462" w:rsidRDefault="00E95462" w:rsidP="00903D5E">
      <w:pPr>
        <w:pStyle w:val="Caption"/>
        <w:jc w:val="center"/>
        <w:rPr>
          <w:lang w:val="en-GB"/>
        </w:rPr>
      </w:pPr>
    </w:p>
    <w:p w14:paraId="7D5000C7" w14:textId="77777777" w:rsidR="00E95462" w:rsidRDefault="00E95462" w:rsidP="00130C1E">
      <w:pPr>
        <w:pStyle w:val="Caption"/>
        <w:rPr>
          <w:lang w:val="en-GB"/>
        </w:rPr>
      </w:pPr>
    </w:p>
    <w:p w14:paraId="7478838F" w14:textId="600AB58C" w:rsidR="00903D5E" w:rsidRPr="00BC1ABD" w:rsidRDefault="00903D5E" w:rsidP="00903D5E">
      <w:pPr>
        <w:pStyle w:val="Caption"/>
        <w:jc w:val="center"/>
        <w:rPr>
          <w:rFonts w:cs="Arial"/>
          <w:b/>
          <w:sz w:val="24"/>
          <w:szCs w:val="24"/>
          <w:lang w:val="en-GB"/>
        </w:rPr>
      </w:pPr>
      <w:bookmarkStart w:id="382" w:name="_Toc152931431"/>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80</w:t>
      </w:r>
      <w:r w:rsidRPr="00BC1ABD">
        <w:rPr>
          <w:lang w:val="en-GB"/>
        </w:rPr>
        <w:fldChar w:fldCharType="end"/>
      </w:r>
      <w:r w:rsidRPr="00BC1ABD">
        <w:rPr>
          <w:lang w:val="en-GB"/>
        </w:rPr>
        <w:t xml:space="preserve">: </w:t>
      </w:r>
      <w:r>
        <w:rPr>
          <w:lang w:val="en-GB"/>
        </w:rPr>
        <w:t xml:space="preserve">Coverage </w:t>
      </w:r>
      <w:r w:rsidR="00EA50C5">
        <w:rPr>
          <w:lang w:val="en-GB"/>
        </w:rPr>
        <w:t xml:space="preserve">and take-up </w:t>
      </w:r>
      <w:r>
        <w:rPr>
          <w:lang w:val="en-GB"/>
        </w:rPr>
        <w:t>map of Silknet</w:t>
      </w:r>
      <w:r w:rsidR="00EA50C5">
        <w:rPr>
          <w:lang w:val="en-GB"/>
        </w:rPr>
        <w:t xml:space="preserve"> (</w:t>
      </w:r>
      <w:r w:rsidR="00F026B4">
        <w:rPr>
          <w:lang w:val="en-GB"/>
        </w:rPr>
        <w:t>FTTx</w:t>
      </w:r>
      <w:r w:rsidR="00EA50C5">
        <w:rPr>
          <w:lang w:val="en-GB"/>
        </w:rPr>
        <w:t>)</w:t>
      </w:r>
      <w:bookmarkEnd w:id="382"/>
      <w:r w:rsidRPr="00BC1ABD">
        <w:rPr>
          <w:lang w:val="en-GB"/>
        </w:rPr>
        <w:t xml:space="preserve"> </w:t>
      </w:r>
    </w:p>
    <w:p w14:paraId="4E5C06B9" w14:textId="77777777" w:rsidR="00903D5E" w:rsidRDefault="00903D5E" w:rsidP="00903D5E">
      <w:pPr>
        <w:jc w:val="center"/>
        <w:rPr>
          <w:lang w:val="en-GB"/>
        </w:rPr>
      </w:pPr>
      <w:r w:rsidRPr="00815700">
        <w:rPr>
          <w:noProof/>
          <w:lang w:val="sl-SI" w:eastAsia="sl-SI"/>
        </w:rPr>
        <w:drawing>
          <wp:inline distT="0" distB="0" distL="0" distR="0" wp14:anchorId="6A89DD7E" wp14:editId="4603267B">
            <wp:extent cx="9086710" cy="5210188"/>
            <wp:effectExtent l="0" t="0" r="63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106861" cy="5221742"/>
                    </a:xfrm>
                    <a:prstGeom prst="rect">
                      <a:avLst/>
                    </a:prstGeom>
                  </pic:spPr>
                </pic:pic>
              </a:graphicData>
            </a:graphic>
          </wp:inline>
        </w:drawing>
      </w:r>
      <w:r w:rsidRPr="00401DEA">
        <w:rPr>
          <w:rFonts w:cs="Arial"/>
          <w:sz w:val="20"/>
          <w:szCs w:val="20"/>
          <w:lang w:val="en-GB"/>
        </w:rPr>
        <w:t xml:space="preserve"> </w:t>
      </w:r>
      <w:r>
        <w:rPr>
          <w:rFonts w:cs="Arial"/>
          <w:sz w:val="20"/>
          <w:szCs w:val="20"/>
          <w:lang w:val="en-GB"/>
        </w:rPr>
        <w:t xml:space="preserve">Source: </w:t>
      </w:r>
      <w:r w:rsidRPr="00BC1ABD">
        <w:rPr>
          <w:rFonts w:cs="Arial"/>
          <w:sz w:val="20"/>
          <w:szCs w:val="20"/>
          <w:lang w:val="en-GB"/>
        </w:rPr>
        <w:t>Answers to the Questionnaire on coverage and ComCom data</w:t>
      </w:r>
    </w:p>
    <w:p w14:paraId="3B7AD820" w14:textId="18ED4465" w:rsidR="00903D5E" w:rsidRPr="00BC1ABD" w:rsidRDefault="003E04E3" w:rsidP="008E7C6B">
      <w:pPr>
        <w:pStyle w:val="Heading2"/>
        <w:spacing w:after="240"/>
        <w:rPr>
          <w:lang w:val="en-GB"/>
        </w:rPr>
      </w:pPr>
      <w:bookmarkStart w:id="383" w:name="_Toc149071452"/>
      <w:bookmarkStart w:id="384" w:name="_Toc169259017"/>
      <w:r w:rsidRPr="003E04E3">
        <w:rPr>
          <w:lang w:val="en-GB"/>
        </w:rPr>
        <w:t xml:space="preserve">Coverage and take-up map </w:t>
      </w:r>
      <w:r w:rsidR="00903D5E">
        <w:rPr>
          <w:lang w:val="en-GB"/>
        </w:rPr>
        <w:t>of Ahkali Kselebi</w:t>
      </w:r>
      <w:bookmarkEnd w:id="383"/>
      <w:bookmarkEnd w:id="384"/>
    </w:p>
    <w:p w14:paraId="72C21332" w14:textId="463744C8" w:rsidR="00903D5E" w:rsidRPr="002C39C8" w:rsidRDefault="001A02CA" w:rsidP="00903D5E">
      <w:pPr>
        <w:jc w:val="both"/>
        <w:rPr>
          <w:sz w:val="24"/>
          <w:szCs w:val="24"/>
          <w:lang w:val="en-GB"/>
        </w:rPr>
      </w:pPr>
      <w:r>
        <w:rPr>
          <w:sz w:val="24"/>
          <w:szCs w:val="24"/>
          <w:lang w:val="en-GB"/>
        </w:rPr>
        <w:t>Akhali Kselebi</w:t>
      </w:r>
      <w:r w:rsidR="00903D5E" w:rsidRPr="002C39C8">
        <w:rPr>
          <w:sz w:val="24"/>
          <w:szCs w:val="24"/>
          <w:lang w:val="en-GB"/>
        </w:rPr>
        <w:t xml:space="preserve"> is </w:t>
      </w:r>
      <w:r w:rsidR="00EC592D" w:rsidRPr="002C39C8">
        <w:rPr>
          <w:sz w:val="24"/>
          <w:szCs w:val="24"/>
          <w:lang w:val="en-GB"/>
        </w:rPr>
        <w:t>the</w:t>
      </w:r>
      <w:r w:rsidR="00903D5E" w:rsidRPr="002C39C8">
        <w:rPr>
          <w:sz w:val="24"/>
          <w:szCs w:val="24"/>
          <w:lang w:val="en-GB"/>
        </w:rPr>
        <w:t xml:space="preserve"> operator with the third largest </w:t>
      </w:r>
      <w:r w:rsidR="00E95462" w:rsidRPr="002C39C8">
        <w:rPr>
          <w:sz w:val="24"/>
          <w:szCs w:val="24"/>
          <w:lang w:val="en-GB"/>
        </w:rPr>
        <w:t xml:space="preserve">fibre </w:t>
      </w:r>
      <w:r w:rsidR="00903D5E" w:rsidRPr="002C39C8">
        <w:rPr>
          <w:sz w:val="24"/>
          <w:szCs w:val="24"/>
          <w:lang w:val="en-GB"/>
        </w:rPr>
        <w:t xml:space="preserve">network in Georgia. It covers mostly </w:t>
      </w:r>
      <w:r w:rsidR="00EC592D" w:rsidRPr="002C39C8">
        <w:rPr>
          <w:sz w:val="24"/>
          <w:szCs w:val="24"/>
          <w:lang w:val="en-GB"/>
        </w:rPr>
        <w:t xml:space="preserve">the largest </w:t>
      </w:r>
      <w:r w:rsidR="00903D5E" w:rsidRPr="002C39C8">
        <w:rPr>
          <w:sz w:val="24"/>
          <w:szCs w:val="24"/>
          <w:lang w:val="en-GB"/>
        </w:rPr>
        <w:t xml:space="preserve">settlements in Georgia </w:t>
      </w:r>
      <w:r w:rsidR="00E95462" w:rsidRPr="002C39C8">
        <w:rPr>
          <w:sz w:val="24"/>
          <w:szCs w:val="24"/>
          <w:lang w:val="en-GB"/>
        </w:rPr>
        <w:t>(</w:t>
      </w:r>
      <w:r w:rsidR="00903D5E" w:rsidRPr="002C39C8">
        <w:rPr>
          <w:sz w:val="24"/>
          <w:szCs w:val="24"/>
          <w:lang w:val="en-GB"/>
        </w:rPr>
        <w:t>including Tbilisi</w:t>
      </w:r>
      <w:r w:rsidR="00EC592D" w:rsidRPr="002C39C8">
        <w:rPr>
          <w:sz w:val="24"/>
          <w:szCs w:val="24"/>
          <w:lang w:val="en-GB"/>
        </w:rPr>
        <w:t xml:space="preserve"> where it</w:t>
      </w:r>
      <w:r w:rsidR="00903D5E" w:rsidRPr="002C39C8">
        <w:rPr>
          <w:sz w:val="24"/>
          <w:szCs w:val="24"/>
          <w:lang w:val="en-GB"/>
        </w:rPr>
        <w:t xml:space="preserve"> is not the largest network</w:t>
      </w:r>
      <w:r w:rsidR="00EC592D" w:rsidRPr="002C39C8">
        <w:rPr>
          <w:sz w:val="24"/>
          <w:szCs w:val="24"/>
          <w:lang w:val="en-GB"/>
        </w:rPr>
        <w:t>)</w:t>
      </w:r>
      <w:r w:rsidR="003A3A74">
        <w:rPr>
          <w:sz w:val="24"/>
          <w:szCs w:val="24"/>
          <w:lang w:val="en-GB"/>
        </w:rPr>
        <w:t xml:space="preserve">. In </w:t>
      </w:r>
      <w:r w:rsidR="00903D5E" w:rsidRPr="002C39C8">
        <w:rPr>
          <w:sz w:val="24"/>
          <w:szCs w:val="24"/>
          <w:lang w:val="en-GB"/>
        </w:rPr>
        <w:t>Rustavi</w:t>
      </w:r>
      <w:r w:rsidR="003A3A74">
        <w:rPr>
          <w:sz w:val="24"/>
          <w:szCs w:val="24"/>
          <w:lang w:val="en-GB"/>
        </w:rPr>
        <w:t xml:space="preserve"> </w:t>
      </w:r>
      <w:r>
        <w:rPr>
          <w:sz w:val="24"/>
          <w:szCs w:val="24"/>
          <w:lang w:val="en-GB"/>
        </w:rPr>
        <w:t>Akhali Kselebi</w:t>
      </w:r>
      <w:r w:rsidR="003A3A74">
        <w:rPr>
          <w:sz w:val="24"/>
          <w:szCs w:val="24"/>
          <w:lang w:val="en-GB"/>
        </w:rPr>
        <w:t xml:space="preserve"> </w:t>
      </w:r>
      <w:r w:rsidR="00903D5E" w:rsidRPr="002C39C8">
        <w:rPr>
          <w:sz w:val="24"/>
          <w:szCs w:val="24"/>
          <w:lang w:val="en-GB"/>
        </w:rPr>
        <w:t>is the largest operator</w:t>
      </w:r>
      <w:r w:rsidR="00AB52AF">
        <w:rPr>
          <w:sz w:val="24"/>
          <w:szCs w:val="24"/>
          <w:lang w:val="en-GB"/>
        </w:rPr>
        <w:t xml:space="preserve">, </w:t>
      </w:r>
      <w:r w:rsidR="00FF3FF0">
        <w:rPr>
          <w:sz w:val="24"/>
          <w:szCs w:val="24"/>
          <w:lang w:val="en-GB"/>
        </w:rPr>
        <w:t>serving</w:t>
      </w:r>
      <w:r w:rsidR="00903D5E" w:rsidRPr="002C39C8">
        <w:rPr>
          <w:sz w:val="24"/>
          <w:szCs w:val="24"/>
          <w:lang w:val="en-GB"/>
        </w:rPr>
        <w:t xml:space="preserve"> more than 40% </w:t>
      </w:r>
      <w:r w:rsidR="00FF3FF0">
        <w:rPr>
          <w:sz w:val="24"/>
          <w:szCs w:val="24"/>
          <w:lang w:val="en-GB"/>
        </w:rPr>
        <w:t>of active subscribers</w:t>
      </w:r>
      <w:r w:rsidR="00903D5E" w:rsidRPr="002C39C8">
        <w:rPr>
          <w:sz w:val="24"/>
          <w:szCs w:val="24"/>
          <w:lang w:val="en-GB"/>
        </w:rPr>
        <w:t>.</w:t>
      </w:r>
      <w:r w:rsidR="007907EE" w:rsidRPr="002C39C8">
        <w:rPr>
          <w:sz w:val="24"/>
          <w:szCs w:val="24"/>
          <w:lang w:val="en-GB"/>
        </w:rPr>
        <w:t xml:space="preserve"> </w:t>
      </w:r>
      <w:r w:rsidR="00903D5E" w:rsidRPr="002C39C8">
        <w:rPr>
          <w:sz w:val="24"/>
          <w:szCs w:val="24"/>
          <w:lang w:val="en-GB"/>
        </w:rPr>
        <w:t xml:space="preserve">The number of settlements where </w:t>
      </w:r>
      <w:r>
        <w:rPr>
          <w:sz w:val="24"/>
          <w:szCs w:val="24"/>
          <w:lang w:val="en-GB"/>
        </w:rPr>
        <w:t>Akhali Kselebi</w:t>
      </w:r>
      <w:r w:rsidR="00903D5E" w:rsidRPr="002C39C8">
        <w:rPr>
          <w:sz w:val="24"/>
          <w:szCs w:val="24"/>
          <w:lang w:val="en-GB"/>
        </w:rPr>
        <w:t xml:space="preserve"> is present, is significantly lower compared to </w:t>
      </w:r>
      <w:r w:rsidR="007907EE" w:rsidRPr="002C39C8">
        <w:rPr>
          <w:sz w:val="24"/>
          <w:szCs w:val="24"/>
          <w:lang w:val="en-GB"/>
        </w:rPr>
        <w:t xml:space="preserve">the </w:t>
      </w:r>
      <w:r w:rsidR="00903D5E" w:rsidRPr="002C39C8">
        <w:rPr>
          <w:sz w:val="24"/>
          <w:szCs w:val="24"/>
          <w:lang w:val="en-GB"/>
        </w:rPr>
        <w:t xml:space="preserve">number of settlements where Silknet is present and even more significantly lower compared to </w:t>
      </w:r>
      <w:r w:rsidR="007907EE" w:rsidRPr="002C39C8">
        <w:rPr>
          <w:sz w:val="24"/>
          <w:szCs w:val="24"/>
          <w:lang w:val="en-GB"/>
        </w:rPr>
        <w:t xml:space="preserve">the number of settlements where </w:t>
      </w:r>
      <w:r w:rsidR="00903D5E" w:rsidRPr="002C39C8">
        <w:rPr>
          <w:sz w:val="24"/>
          <w:szCs w:val="24"/>
          <w:lang w:val="en-GB"/>
        </w:rPr>
        <w:t>Magticom</w:t>
      </w:r>
      <w:r w:rsidR="007907EE" w:rsidRPr="002C39C8">
        <w:rPr>
          <w:sz w:val="24"/>
          <w:szCs w:val="24"/>
          <w:lang w:val="en-GB"/>
        </w:rPr>
        <w:t xml:space="preserve"> is present</w:t>
      </w:r>
      <w:r w:rsidR="00903D5E" w:rsidRPr="002C39C8">
        <w:rPr>
          <w:sz w:val="24"/>
          <w:szCs w:val="24"/>
          <w:lang w:val="en-GB"/>
        </w:rPr>
        <w:t>.</w:t>
      </w:r>
    </w:p>
    <w:p w14:paraId="0B18DF5D" w14:textId="6BFA8AFE" w:rsidR="00903D5E" w:rsidRPr="00D237AF" w:rsidRDefault="00903D5E" w:rsidP="00903D5E">
      <w:pPr>
        <w:pStyle w:val="Caption"/>
        <w:jc w:val="center"/>
        <w:rPr>
          <w:rFonts w:cs="Arial"/>
          <w:b/>
          <w:sz w:val="24"/>
          <w:szCs w:val="24"/>
          <w:lang w:val="en-GB"/>
        </w:rPr>
      </w:pPr>
      <w:bookmarkStart w:id="385" w:name="_Toc152931432"/>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81</w:t>
      </w:r>
      <w:r w:rsidRPr="00BC1ABD">
        <w:rPr>
          <w:lang w:val="en-GB"/>
        </w:rPr>
        <w:fldChar w:fldCharType="end"/>
      </w:r>
      <w:r w:rsidRPr="00BC1ABD">
        <w:rPr>
          <w:lang w:val="en-GB"/>
        </w:rPr>
        <w:t xml:space="preserve">: </w:t>
      </w:r>
      <w:r>
        <w:rPr>
          <w:lang w:val="en-GB"/>
        </w:rPr>
        <w:t>Table of Akhali Kselebi Group coverage</w:t>
      </w:r>
      <w:r w:rsidR="00EA50C5">
        <w:rPr>
          <w:lang w:val="en-GB"/>
        </w:rPr>
        <w:t xml:space="preserve"> and take-up (</w:t>
      </w:r>
      <w:r w:rsidR="00F026B4">
        <w:rPr>
          <w:lang w:val="en-GB"/>
        </w:rPr>
        <w:t>FTTx</w:t>
      </w:r>
      <w:r w:rsidR="00EA50C5">
        <w:rPr>
          <w:lang w:val="en-GB"/>
        </w:rPr>
        <w:t>)</w:t>
      </w:r>
      <w:bookmarkEnd w:id="385"/>
      <w:r w:rsidRPr="00BC1ABD">
        <w:rPr>
          <w:lang w:val="en-GB"/>
        </w:rPr>
        <w:t xml:space="preserve"> </w:t>
      </w:r>
    </w:p>
    <w:tbl>
      <w:tblPr>
        <w:tblW w:w="12186" w:type="dxa"/>
        <w:jc w:val="center"/>
        <w:tblCellMar>
          <w:left w:w="70" w:type="dxa"/>
          <w:right w:w="70" w:type="dxa"/>
        </w:tblCellMar>
        <w:tblLook w:val="04A0" w:firstRow="1" w:lastRow="0" w:firstColumn="1" w:lastColumn="0" w:noHBand="0" w:noVBand="1"/>
      </w:tblPr>
      <w:tblGrid>
        <w:gridCol w:w="3880"/>
        <w:gridCol w:w="1785"/>
        <w:gridCol w:w="1355"/>
        <w:gridCol w:w="976"/>
        <w:gridCol w:w="1141"/>
        <w:gridCol w:w="1365"/>
        <w:gridCol w:w="1684"/>
      </w:tblGrid>
      <w:tr w:rsidR="00903D5E" w:rsidRPr="00712007" w14:paraId="5DC399C0" w14:textId="77777777" w:rsidTr="006C273F">
        <w:trPr>
          <w:trHeight w:val="330"/>
          <w:jc w:val="center"/>
        </w:trPr>
        <w:tc>
          <w:tcPr>
            <w:tcW w:w="3880"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543DBB04"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 </w:t>
            </w:r>
          </w:p>
        </w:tc>
        <w:tc>
          <w:tcPr>
            <w:tcW w:w="1785" w:type="dxa"/>
            <w:tcBorders>
              <w:top w:val="single" w:sz="12" w:space="0" w:color="auto"/>
              <w:left w:val="nil"/>
              <w:bottom w:val="single" w:sz="12" w:space="0" w:color="auto"/>
              <w:right w:val="single" w:sz="4" w:space="0" w:color="auto"/>
            </w:tcBorders>
            <w:shd w:val="clear" w:color="000000" w:fill="00B0F0"/>
            <w:noWrap/>
            <w:vAlign w:val="bottom"/>
            <w:hideMark/>
          </w:tcPr>
          <w:p w14:paraId="5F3C6630"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No of settlements</w:t>
            </w:r>
          </w:p>
        </w:tc>
        <w:tc>
          <w:tcPr>
            <w:tcW w:w="1355" w:type="dxa"/>
            <w:tcBorders>
              <w:top w:val="single" w:sz="12" w:space="0" w:color="auto"/>
              <w:left w:val="nil"/>
              <w:bottom w:val="single" w:sz="12" w:space="0" w:color="auto"/>
              <w:right w:val="single" w:sz="4" w:space="0" w:color="auto"/>
            </w:tcBorders>
            <w:shd w:val="clear" w:color="000000" w:fill="00B0F0"/>
            <w:noWrap/>
            <w:vAlign w:val="bottom"/>
            <w:hideMark/>
          </w:tcPr>
          <w:p w14:paraId="2B292232"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Households</w:t>
            </w:r>
          </w:p>
        </w:tc>
        <w:tc>
          <w:tcPr>
            <w:tcW w:w="976" w:type="dxa"/>
            <w:tcBorders>
              <w:top w:val="single" w:sz="12" w:space="0" w:color="auto"/>
              <w:left w:val="nil"/>
              <w:bottom w:val="single" w:sz="12" w:space="0" w:color="auto"/>
              <w:right w:val="single" w:sz="4" w:space="0" w:color="auto"/>
            </w:tcBorders>
            <w:shd w:val="clear" w:color="000000" w:fill="00B0F0"/>
            <w:noWrap/>
            <w:vAlign w:val="bottom"/>
            <w:hideMark/>
          </w:tcPr>
          <w:p w14:paraId="64119B13"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 of HH</w:t>
            </w:r>
          </w:p>
        </w:tc>
        <w:tc>
          <w:tcPr>
            <w:tcW w:w="1141" w:type="dxa"/>
            <w:tcBorders>
              <w:top w:val="single" w:sz="12" w:space="0" w:color="auto"/>
              <w:left w:val="nil"/>
              <w:bottom w:val="single" w:sz="12" w:space="0" w:color="auto"/>
              <w:right w:val="single" w:sz="4" w:space="0" w:color="auto"/>
            </w:tcBorders>
            <w:shd w:val="clear" w:color="000000" w:fill="00B0F0"/>
            <w:noWrap/>
            <w:vAlign w:val="bottom"/>
            <w:hideMark/>
          </w:tcPr>
          <w:p w14:paraId="1277099D"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Population</w:t>
            </w:r>
          </w:p>
        </w:tc>
        <w:tc>
          <w:tcPr>
            <w:tcW w:w="1365" w:type="dxa"/>
            <w:tcBorders>
              <w:top w:val="single" w:sz="12" w:space="0" w:color="auto"/>
              <w:left w:val="nil"/>
              <w:bottom w:val="single" w:sz="12" w:space="0" w:color="auto"/>
              <w:right w:val="single" w:sz="4" w:space="0" w:color="auto"/>
            </w:tcBorders>
            <w:shd w:val="clear" w:color="000000" w:fill="00B0F0"/>
            <w:noWrap/>
            <w:vAlign w:val="bottom"/>
            <w:hideMark/>
          </w:tcPr>
          <w:p w14:paraId="7BB87A1D"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Subscriptions</w:t>
            </w:r>
          </w:p>
        </w:tc>
        <w:tc>
          <w:tcPr>
            <w:tcW w:w="1684" w:type="dxa"/>
            <w:tcBorders>
              <w:top w:val="single" w:sz="12" w:space="0" w:color="auto"/>
              <w:left w:val="nil"/>
              <w:bottom w:val="single" w:sz="12" w:space="0" w:color="auto"/>
              <w:right w:val="single" w:sz="12" w:space="0" w:color="auto"/>
            </w:tcBorders>
            <w:shd w:val="clear" w:color="000000" w:fill="00B0F0"/>
            <w:noWrap/>
            <w:vAlign w:val="bottom"/>
            <w:hideMark/>
          </w:tcPr>
          <w:p w14:paraId="6F319F92" w14:textId="09A4700D" w:rsidR="00903D5E" w:rsidRPr="00712007" w:rsidRDefault="009C1E1C" w:rsidP="006C273F">
            <w:pPr>
              <w:spacing w:after="0" w:line="240" w:lineRule="auto"/>
              <w:rPr>
                <w:rFonts w:eastAsia="Times New Roman" w:cs="Calibri"/>
                <w:b/>
                <w:bCs/>
                <w:color w:val="000000"/>
                <w:lang w:val="sl-SI" w:eastAsia="sl-SI"/>
              </w:rPr>
            </w:pPr>
            <w:r>
              <w:rPr>
                <w:rFonts w:eastAsia="Times New Roman" w:cs="Calibri"/>
                <w:b/>
                <w:bCs/>
                <w:color w:val="000000"/>
                <w:lang w:val="sl-SI" w:eastAsia="sl-SI"/>
              </w:rPr>
              <w:t>Premises</w:t>
            </w:r>
            <w:r w:rsidRPr="00712007">
              <w:rPr>
                <w:rFonts w:eastAsia="Times New Roman" w:cs="Calibri"/>
                <w:b/>
                <w:bCs/>
                <w:color w:val="000000"/>
                <w:lang w:val="sl-SI" w:eastAsia="sl-SI"/>
              </w:rPr>
              <w:t xml:space="preserve"> </w:t>
            </w:r>
            <w:r w:rsidR="00903D5E" w:rsidRPr="00712007">
              <w:rPr>
                <w:rFonts w:eastAsia="Times New Roman" w:cs="Calibri"/>
                <w:b/>
                <w:bCs/>
                <w:color w:val="000000"/>
                <w:lang w:val="sl-SI" w:eastAsia="sl-SI"/>
              </w:rPr>
              <w:t>passed</w:t>
            </w:r>
            <w:r w:rsidR="00903D5E">
              <w:rPr>
                <w:rStyle w:val="FootnoteReference"/>
                <w:rFonts w:eastAsia="Times New Roman" w:cs="Calibri"/>
                <w:b/>
                <w:bCs/>
                <w:color w:val="000000"/>
                <w:lang w:val="sl-SI" w:eastAsia="sl-SI"/>
              </w:rPr>
              <w:footnoteReference w:id="115"/>
            </w:r>
          </w:p>
        </w:tc>
      </w:tr>
      <w:tr w:rsidR="00903D5E" w:rsidRPr="00712007" w14:paraId="0C7960B9" w14:textId="77777777" w:rsidTr="006C273F">
        <w:trPr>
          <w:trHeight w:val="315"/>
          <w:jc w:val="center"/>
        </w:trPr>
        <w:tc>
          <w:tcPr>
            <w:tcW w:w="3880" w:type="dxa"/>
            <w:tcBorders>
              <w:top w:val="nil"/>
              <w:left w:val="single" w:sz="4" w:space="0" w:color="auto"/>
              <w:bottom w:val="single" w:sz="4" w:space="0" w:color="auto"/>
              <w:right w:val="single" w:sz="4" w:space="0" w:color="auto"/>
            </w:tcBorders>
            <w:shd w:val="clear" w:color="000000" w:fill="B888DC"/>
            <w:noWrap/>
            <w:vAlign w:val="bottom"/>
            <w:hideMark/>
          </w:tcPr>
          <w:p w14:paraId="33EE4260"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Akhali Kselebi Group present</w:t>
            </w:r>
          </w:p>
        </w:tc>
        <w:tc>
          <w:tcPr>
            <w:tcW w:w="1785" w:type="dxa"/>
            <w:tcBorders>
              <w:top w:val="nil"/>
              <w:left w:val="nil"/>
              <w:bottom w:val="single" w:sz="4" w:space="0" w:color="auto"/>
              <w:right w:val="single" w:sz="4" w:space="0" w:color="auto"/>
            </w:tcBorders>
            <w:shd w:val="clear" w:color="000000" w:fill="B888DC"/>
            <w:noWrap/>
            <w:vAlign w:val="bottom"/>
            <w:hideMark/>
          </w:tcPr>
          <w:p w14:paraId="56753EBB"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14</w:t>
            </w:r>
          </w:p>
        </w:tc>
        <w:tc>
          <w:tcPr>
            <w:tcW w:w="1355" w:type="dxa"/>
            <w:tcBorders>
              <w:top w:val="nil"/>
              <w:left w:val="nil"/>
              <w:bottom w:val="single" w:sz="4" w:space="0" w:color="auto"/>
              <w:right w:val="single" w:sz="4" w:space="0" w:color="auto"/>
            </w:tcBorders>
            <w:shd w:val="clear" w:color="000000" w:fill="B888DC"/>
            <w:noWrap/>
            <w:vAlign w:val="bottom"/>
            <w:hideMark/>
          </w:tcPr>
          <w:p w14:paraId="6AF46E50"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603,324</w:t>
            </w:r>
          </w:p>
        </w:tc>
        <w:tc>
          <w:tcPr>
            <w:tcW w:w="976" w:type="dxa"/>
            <w:tcBorders>
              <w:top w:val="nil"/>
              <w:left w:val="nil"/>
              <w:bottom w:val="single" w:sz="4" w:space="0" w:color="auto"/>
              <w:right w:val="single" w:sz="4" w:space="0" w:color="auto"/>
            </w:tcBorders>
            <w:shd w:val="clear" w:color="000000" w:fill="B888DC"/>
            <w:noWrap/>
            <w:vAlign w:val="bottom"/>
            <w:hideMark/>
          </w:tcPr>
          <w:p w14:paraId="3E38DFDC"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48.2</w:t>
            </w:r>
          </w:p>
        </w:tc>
        <w:tc>
          <w:tcPr>
            <w:tcW w:w="1141" w:type="dxa"/>
            <w:tcBorders>
              <w:top w:val="nil"/>
              <w:left w:val="nil"/>
              <w:bottom w:val="single" w:sz="4" w:space="0" w:color="auto"/>
              <w:right w:val="single" w:sz="4" w:space="0" w:color="auto"/>
            </w:tcBorders>
            <w:shd w:val="clear" w:color="000000" w:fill="B888DC"/>
            <w:noWrap/>
            <w:vAlign w:val="bottom"/>
            <w:hideMark/>
          </w:tcPr>
          <w:p w14:paraId="26F0CADF"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1,565,156</w:t>
            </w:r>
          </w:p>
        </w:tc>
        <w:tc>
          <w:tcPr>
            <w:tcW w:w="1365" w:type="dxa"/>
            <w:tcBorders>
              <w:top w:val="nil"/>
              <w:left w:val="nil"/>
              <w:bottom w:val="single" w:sz="4" w:space="0" w:color="auto"/>
              <w:right w:val="single" w:sz="4" w:space="0" w:color="auto"/>
            </w:tcBorders>
            <w:shd w:val="clear" w:color="000000" w:fill="B888DC"/>
            <w:noWrap/>
            <w:vAlign w:val="bottom"/>
            <w:hideMark/>
          </w:tcPr>
          <w:p w14:paraId="7EA39F94"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66,542</w:t>
            </w:r>
          </w:p>
        </w:tc>
        <w:tc>
          <w:tcPr>
            <w:tcW w:w="1684" w:type="dxa"/>
            <w:tcBorders>
              <w:top w:val="nil"/>
              <w:left w:val="nil"/>
              <w:bottom w:val="single" w:sz="4" w:space="0" w:color="auto"/>
              <w:right w:val="single" w:sz="4" w:space="0" w:color="auto"/>
            </w:tcBorders>
            <w:shd w:val="clear" w:color="000000" w:fill="B888DC"/>
            <w:noWrap/>
            <w:vAlign w:val="bottom"/>
            <w:hideMark/>
          </w:tcPr>
          <w:p w14:paraId="662DF769"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61,251</w:t>
            </w:r>
          </w:p>
        </w:tc>
      </w:tr>
      <w:tr w:rsidR="00903D5E" w:rsidRPr="00712007" w14:paraId="57C0630F" w14:textId="77777777" w:rsidTr="006C273F">
        <w:trPr>
          <w:trHeight w:val="300"/>
          <w:jc w:val="center"/>
        </w:trPr>
        <w:tc>
          <w:tcPr>
            <w:tcW w:w="3880" w:type="dxa"/>
            <w:tcBorders>
              <w:top w:val="nil"/>
              <w:left w:val="single" w:sz="4" w:space="0" w:color="auto"/>
              <w:bottom w:val="single" w:sz="4" w:space="0" w:color="auto"/>
              <w:right w:val="single" w:sz="4" w:space="0" w:color="auto"/>
            </w:tcBorders>
            <w:shd w:val="clear" w:color="000000" w:fill="B888DC"/>
            <w:noWrap/>
            <w:vAlign w:val="bottom"/>
            <w:hideMark/>
          </w:tcPr>
          <w:p w14:paraId="27804A10"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Akhali Kselebi Group share 40% or more</w:t>
            </w:r>
          </w:p>
        </w:tc>
        <w:tc>
          <w:tcPr>
            <w:tcW w:w="1785" w:type="dxa"/>
            <w:tcBorders>
              <w:top w:val="nil"/>
              <w:left w:val="nil"/>
              <w:bottom w:val="single" w:sz="4" w:space="0" w:color="auto"/>
              <w:right w:val="single" w:sz="4" w:space="0" w:color="auto"/>
            </w:tcBorders>
            <w:shd w:val="clear" w:color="000000" w:fill="B888DC"/>
            <w:noWrap/>
            <w:vAlign w:val="bottom"/>
            <w:hideMark/>
          </w:tcPr>
          <w:p w14:paraId="7FA60BC5"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5</w:t>
            </w:r>
          </w:p>
        </w:tc>
        <w:tc>
          <w:tcPr>
            <w:tcW w:w="1355" w:type="dxa"/>
            <w:tcBorders>
              <w:top w:val="nil"/>
              <w:left w:val="nil"/>
              <w:bottom w:val="single" w:sz="4" w:space="0" w:color="auto"/>
              <w:right w:val="single" w:sz="4" w:space="0" w:color="auto"/>
            </w:tcBorders>
            <w:shd w:val="clear" w:color="000000" w:fill="B888DC"/>
            <w:noWrap/>
            <w:vAlign w:val="bottom"/>
            <w:hideMark/>
          </w:tcPr>
          <w:p w14:paraId="201E7B1B"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40,608</w:t>
            </w:r>
          </w:p>
        </w:tc>
        <w:tc>
          <w:tcPr>
            <w:tcW w:w="976" w:type="dxa"/>
            <w:tcBorders>
              <w:top w:val="nil"/>
              <w:left w:val="nil"/>
              <w:bottom w:val="single" w:sz="4" w:space="0" w:color="auto"/>
              <w:right w:val="single" w:sz="4" w:space="0" w:color="auto"/>
            </w:tcBorders>
            <w:shd w:val="clear" w:color="000000" w:fill="B888DC"/>
            <w:noWrap/>
            <w:vAlign w:val="bottom"/>
            <w:hideMark/>
          </w:tcPr>
          <w:p w14:paraId="4C657C12"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3.2</w:t>
            </w:r>
          </w:p>
        </w:tc>
        <w:tc>
          <w:tcPr>
            <w:tcW w:w="1141" w:type="dxa"/>
            <w:tcBorders>
              <w:top w:val="nil"/>
              <w:left w:val="nil"/>
              <w:bottom w:val="single" w:sz="4" w:space="0" w:color="auto"/>
              <w:right w:val="single" w:sz="4" w:space="0" w:color="auto"/>
            </w:tcBorders>
            <w:shd w:val="clear" w:color="000000" w:fill="B888DC"/>
            <w:noWrap/>
            <w:vAlign w:val="bottom"/>
            <w:hideMark/>
          </w:tcPr>
          <w:p w14:paraId="6C55A065"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137,086</w:t>
            </w:r>
          </w:p>
        </w:tc>
        <w:tc>
          <w:tcPr>
            <w:tcW w:w="1365" w:type="dxa"/>
            <w:tcBorders>
              <w:top w:val="nil"/>
              <w:left w:val="nil"/>
              <w:bottom w:val="single" w:sz="4" w:space="0" w:color="auto"/>
              <w:right w:val="single" w:sz="4" w:space="0" w:color="auto"/>
            </w:tcBorders>
            <w:shd w:val="clear" w:color="000000" w:fill="B888DC"/>
            <w:noWrap/>
            <w:vAlign w:val="bottom"/>
            <w:hideMark/>
          </w:tcPr>
          <w:p w14:paraId="2BF72513"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11,407</w:t>
            </w:r>
          </w:p>
        </w:tc>
        <w:tc>
          <w:tcPr>
            <w:tcW w:w="1684" w:type="dxa"/>
            <w:tcBorders>
              <w:top w:val="nil"/>
              <w:left w:val="nil"/>
              <w:bottom w:val="single" w:sz="4" w:space="0" w:color="auto"/>
              <w:right w:val="single" w:sz="4" w:space="0" w:color="auto"/>
            </w:tcBorders>
            <w:shd w:val="clear" w:color="000000" w:fill="B888DC"/>
            <w:noWrap/>
            <w:vAlign w:val="bottom"/>
            <w:hideMark/>
          </w:tcPr>
          <w:p w14:paraId="43561069"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47,100</w:t>
            </w:r>
          </w:p>
        </w:tc>
      </w:tr>
      <w:tr w:rsidR="00903D5E" w:rsidRPr="00712007" w14:paraId="3D2D5D2A" w14:textId="77777777" w:rsidTr="006C273F">
        <w:trPr>
          <w:trHeight w:val="300"/>
          <w:jc w:val="center"/>
        </w:trPr>
        <w:tc>
          <w:tcPr>
            <w:tcW w:w="3880" w:type="dxa"/>
            <w:tcBorders>
              <w:top w:val="nil"/>
              <w:left w:val="single" w:sz="4" w:space="0" w:color="auto"/>
              <w:bottom w:val="single" w:sz="4" w:space="0" w:color="auto"/>
              <w:right w:val="single" w:sz="4" w:space="0" w:color="auto"/>
            </w:tcBorders>
            <w:shd w:val="clear" w:color="000000" w:fill="B888DC"/>
            <w:noWrap/>
            <w:vAlign w:val="bottom"/>
            <w:hideMark/>
          </w:tcPr>
          <w:p w14:paraId="0AA52B44" w14:textId="77777777" w:rsidR="00903D5E" w:rsidRPr="00712007" w:rsidRDefault="00903D5E" w:rsidP="006C273F">
            <w:pPr>
              <w:spacing w:after="0" w:line="240" w:lineRule="auto"/>
              <w:rPr>
                <w:rFonts w:eastAsia="Times New Roman" w:cs="Calibri"/>
                <w:color w:val="000000"/>
                <w:lang w:val="sl-SI" w:eastAsia="sl-SI"/>
              </w:rPr>
            </w:pPr>
            <w:r>
              <w:rPr>
                <w:rFonts w:eastAsia="Times New Roman" w:cs="Calibri"/>
                <w:color w:val="000000"/>
                <w:lang w:val="sl-SI" w:eastAsia="sl-SI"/>
              </w:rPr>
              <w:t xml:space="preserve">Only </w:t>
            </w:r>
            <w:r w:rsidRPr="00712007">
              <w:rPr>
                <w:rFonts w:eastAsia="Times New Roman" w:cs="Calibri"/>
                <w:color w:val="000000"/>
                <w:lang w:val="sl-SI" w:eastAsia="sl-SI"/>
              </w:rPr>
              <w:t>Akhali Kselebi Group present</w:t>
            </w:r>
          </w:p>
        </w:tc>
        <w:tc>
          <w:tcPr>
            <w:tcW w:w="1785" w:type="dxa"/>
            <w:tcBorders>
              <w:top w:val="nil"/>
              <w:left w:val="nil"/>
              <w:bottom w:val="single" w:sz="4" w:space="0" w:color="auto"/>
              <w:right w:val="single" w:sz="4" w:space="0" w:color="auto"/>
            </w:tcBorders>
            <w:shd w:val="clear" w:color="000000" w:fill="B888DC"/>
            <w:noWrap/>
            <w:vAlign w:val="bottom"/>
            <w:hideMark/>
          </w:tcPr>
          <w:p w14:paraId="7D7989FE"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w:t>
            </w:r>
          </w:p>
        </w:tc>
        <w:tc>
          <w:tcPr>
            <w:tcW w:w="1355" w:type="dxa"/>
            <w:tcBorders>
              <w:top w:val="nil"/>
              <w:left w:val="nil"/>
              <w:bottom w:val="single" w:sz="4" w:space="0" w:color="auto"/>
              <w:right w:val="single" w:sz="4" w:space="0" w:color="auto"/>
            </w:tcBorders>
            <w:shd w:val="clear" w:color="000000" w:fill="B888DC"/>
            <w:noWrap/>
            <w:vAlign w:val="bottom"/>
            <w:hideMark/>
          </w:tcPr>
          <w:p w14:paraId="3AAFE19D"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166</w:t>
            </w:r>
          </w:p>
        </w:tc>
        <w:tc>
          <w:tcPr>
            <w:tcW w:w="976" w:type="dxa"/>
            <w:tcBorders>
              <w:top w:val="nil"/>
              <w:left w:val="nil"/>
              <w:bottom w:val="single" w:sz="4" w:space="0" w:color="auto"/>
              <w:right w:val="single" w:sz="4" w:space="0" w:color="auto"/>
            </w:tcBorders>
            <w:shd w:val="clear" w:color="000000" w:fill="B888DC"/>
            <w:noWrap/>
            <w:vAlign w:val="bottom"/>
            <w:hideMark/>
          </w:tcPr>
          <w:p w14:paraId="086F261F"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0.0</w:t>
            </w:r>
          </w:p>
        </w:tc>
        <w:tc>
          <w:tcPr>
            <w:tcW w:w="1141" w:type="dxa"/>
            <w:tcBorders>
              <w:top w:val="nil"/>
              <w:left w:val="nil"/>
              <w:bottom w:val="single" w:sz="4" w:space="0" w:color="auto"/>
              <w:right w:val="single" w:sz="4" w:space="0" w:color="auto"/>
            </w:tcBorders>
            <w:shd w:val="clear" w:color="000000" w:fill="B888DC"/>
            <w:noWrap/>
            <w:vAlign w:val="bottom"/>
            <w:hideMark/>
          </w:tcPr>
          <w:p w14:paraId="2B161DD3"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547</w:t>
            </w:r>
          </w:p>
        </w:tc>
        <w:tc>
          <w:tcPr>
            <w:tcW w:w="1365" w:type="dxa"/>
            <w:tcBorders>
              <w:top w:val="nil"/>
              <w:left w:val="nil"/>
              <w:bottom w:val="single" w:sz="4" w:space="0" w:color="auto"/>
              <w:right w:val="single" w:sz="4" w:space="0" w:color="auto"/>
            </w:tcBorders>
            <w:shd w:val="clear" w:color="000000" w:fill="B888DC"/>
            <w:noWrap/>
            <w:vAlign w:val="bottom"/>
            <w:hideMark/>
          </w:tcPr>
          <w:p w14:paraId="0A82E1BA"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33</w:t>
            </w:r>
          </w:p>
        </w:tc>
        <w:tc>
          <w:tcPr>
            <w:tcW w:w="1684" w:type="dxa"/>
            <w:tcBorders>
              <w:top w:val="nil"/>
              <w:left w:val="nil"/>
              <w:bottom w:val="single" w:sz="4" w:space="0" w:color="auto"/>
              <w:right w:val="single" w:sz="4" w:space="0" w:color="auto"/>
            </w:tcBorders>
            <w:shd w:val="clear" w:color="000000" w:fill="B888DC"/>
            <w:noWrap/>
            <w:vAlign w:val="bottom"/>
            <w:hideMark/>
          </w:tcPr>
          <w:p w14:paraId="5A1A4747" w14:textId="77777777" w:rsidR="00903D5E" w:rsidRPr="00712007" w:rsidRDefault="00903D5E" w:rsidP="006C273F">
            <w:pPr>
              <w:spacing w:after="0" w:line="240" w:lineRule="auto"/>
              <w:jc w:val="right"/>
              <w:rPr>
                <w:rFonts w:eastAsia="Times New Roman" w:cs="Calibri"/>
                <w:color w:val="000000"/>
                <w:lang w:val="sl-SI" w:eastAsia="sl-SI"/>
              </w:rPr>
            </w:pPr>
            <w:r>
              <w:rPr>
                <w:rFonts w:cs="Calibri"/>
                <w:color w:val="000000"/>
              </w:rPr>
              <w:t>0</w:t>
            </w:r>
          </w:p>
        </w:tc>
      </w:tr>
    </w:tbl>
    <w:p w14:paraId="105BDD17" w14:textId="77777777" w:rsidR="00903D5E" w:rsidRDefault="00903D5E" w:rsidP="00903D5E">
      <w:pPr>
        <w:jc w:val="center"/>
        <w:rPr>
          <w:lang w:val="en-GB"/>
        </w:rPr>
      </w:pPr>
      <w:r>
        <w:rPr>
          <w:rFonts w:cs="Arial"/>
          <w:sz w:val="20"/>
          <w:szCs w:val="20"/>
          <w:lang w:val="en-GB"/>
        </w:rPr>
        <w:t xml:space="preserve">Source: </w:t>
      </w:r>
      <w:r w:rsidRPr="00BC1ABD">
        <w:rPr>
          <w:rFonts w:cs="Arial"/>
          <w:sz w:val="20"/>
          <w:szCs w:val="20"/>
          <w:lang w:val="en-GB"/>
        </w:rPr>
        <w:t>Answers to the Questionnaire on coverage and ComCom data</w:t>
      </w:r>
    </w:p>
    <w:p w14:paraId="2F3D841D" w14:textId="77777777" w:rsidR="00903D5E" w:rsidRDefault="00903D5E" w:rsidP="00903D5E">
      <w:pPr>
        <w:jc w:val="both"/>
        <w:rPr>
          <w:lang w:val="en-GB"/>
        </w:rPr>
      </w:pPr>
    </w:p>
    <w:p w14:paraId="66020E52" w14:textId="77777777" w:rsidR="00903D5E" w:rsidRDefault="00903D5E" w:rsidP="00903D5E">
      <w:pPr>
        <w:jc w:val="both"/>
        <w:rPr>
          <w:lang w:val="en-GB"/>
        </w:rPr>
      </w:pPr>
    </w:p>
    <w:p w14:paraId="77EC4C0F" w14:textId="77777777" w:rsidR="00903D5E" w:rsidRDefault="00903D5E" w:rsidP="00903D5E">
      <w:pPr>
        <w:jc w:val="both"/>
        <w:rPr>
          <w:lang w:val="en-GB"/>
        </w:rPr>
      </w:pPr>
    </w:p>
    <w:p w14:paraId="3F2EC759" w14:textId="77777777" w:rsidR="00903D5E" w:rsidRDefault="00903D5E" w:rsidP="00903D5E">
      <w:pPr>
        <w:jc w:val="both"/>
        <w:rPr>
          <w:lang w:val="en-GB"/>
        </w:rPr>
      </w:pPr>
    </w:p>
    <w:p w14:paraId="00A26A64" w14:textId="77777777" w:rsidR="00903D5E" w:rsidRDefault="00903D5E" w:rsidP="00903D5E">
      <w:pPr>
        <w:jc w:val="both"/>
        <w:rPr>
          <w:lang w:val="en-GB"/>
        </w:rPr>
      </w:pPr>
    </w:p>
    <w:p w14:paraId="71D8359F" w14:textId="77777777" w:rsidR="00903D5E" w:rsidRDefault="00903D5E" w:rsidP="00903D5E">
      <w:pPr>
        <w:jc w:val="both"/>
        <w:rPr>
          <w:lang w:val="en-GB"/>
        </w:rPr>
      </w:pPr>
    </w:p>
    <w:p w14:paraId="0E8E16EB" w14:textId="77777777" w:rsidR="00903D5E" w:rsidRDefault="00903D5E" w:rsidP="00903D5E">
      <w:pPr>
        <w:jc w:val="both"/>
        <w:rPr>
          <w:lang w:val="en-GB"/>
        </w:rPr>
      </w:pPr>
    </w:p>
    <w:p w14:paraId="7C11E1A6" w14:textId="1C16BE0B" w:rsidR="00903D5E" w:rsidRPr="00BC1ABD" w:rsidRDefault="00903D5E" w:rsidP="00903D5E">
      <w:pPr>
        <w:pStyle w:val="Caption"/>
        <w:jc w:val="center"/>
        <w:rPr>
          <w:rFonts w:cs="Arial"/>
          <w:b/>
          <w:sz w:val="24"/>
          <w:szCs w:val="24"/>
          <w:lang w:val="en-GB"/>
        </w:rPr>
      </w:pPr>
      <w:bookmarkStart w:id="386" w:name="_Toc152931433"/>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82</w:t>
      </w:r>
      <w:r w:rsidRPr="00BC1ABD">
        <w:rPr>
          <w:lang w:val="en-GB"/>
        </w:rPr>
        <w:fldChar w:fldCharType="end"/>
      </w:r>
      <w:r w:rsidRPr="00BC1ABD">
        <w:rPr>
          <w:lang w:val="en-GB"/>
        </w:rPr>
        <w:t xml:space="preserve">: </w:t>
      </w:r>
      <w:r>
        <w:rPr>
          <w:lang w:val="en-GB"/>
        </w:rPr>
        <w:t>Coverage</w:t>
      </w:r>
      <w:r w:rsidR="00EA50C5">
        <w:rPr>
          <w:lang w:val="en-GB"/>
        </w:rPr>
        <w:t xml:space="preserve"> and take-up</w:t>
      </w:r>
      <w:r>
        <w:rPr>
          <w:lang w:val="en-GB"/>
        </w:rPr>
        <w:t xml:space="preserve"> map of Akhali Kselebi Group</w:t>
      </w:r>
      <w:r w:rsidR="00EA50C5">
        <w:rPr>
          <w:lang w:val="en-GB"/>
        </w:rPr>
        <w:t xml:space="preserve"> (</w:t>
      </w:r>
      <w:r w:rsidR="00F026B4">
        <w:rPr>
          <w:lang w:val="en-GB"/>
        </w:rPr>
        <w:t>FTTx</w:t>
      </w:r>
      <w:r w:rsidR="00EA50C5">
        <w:rPr>
          <w:lang w:val="en-GB"/>
        </w:rPr>
        <w:t>)</w:t>
      </w:r>
      <w:bookmarkEnd w:id="386"/>
      <w:r w:rsidRPr="00BC1ABD">
        <w:rPr>
          <w:lang w:val="en-GB"/>
        </w:rPr>
        <w:t xml:space="preserve"> </w:t>
      </w:r>
    </w:p>
    <w:p w14:paraId="550AAAEB" w14:textId="77777777" w:rsidR="00903D5E" w:rsidRDefault="00903D5E" w:rsidP="00903D5E">
      <w:pPr>
        <w:jc w:val="center"/>
        <w:rPr>
          <w:lang w:val="en-GB"/>
        </w:rPr>
      </w:pPr>
      <w:r w:rsidRPr="00401DEA">
        <w:rPr>
          <w:rFonts w:cs="Arial"/>
          <w:noProof/>
          <w:sz w:val="20"/>
          <w:szCs w:val="20"/>
          <w:lang w:val="sl-SI" w:eastAsia="sl-SI"/>
        </w:rPr>
        <w:drawing>
          <wp:inline distT="0" distB="0" distL="0" distR="0" wp14:anchorId="01E81241" wp14:editId="236AE97B">
            <wp:extent cx="9068334" cy="5260098"/>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9068334" cy="5260098"/>
                    </a:xfrm>
                    <a:prstGeom prst="rect">
                      <a:avLst/>
                    </a:prstGeom>
                  </pic:spPr>
                </pic:pic>
              </a:graphicData>
            </a:graphic>
          </wp:inline>
        </w:drawing>
      </w:r>
      <w:r>
        <w:rPr>
          <w:rFonts w:cs="Arial"/>
          <w:sz w:val="20"/>
          <w:szCs w:val="20"/>
          <w:lang w:val="en-GB"/>
        </w:rPr>
        <w:t xml:space="preserve">Source: </w:t>
      </w:r>
      <w:r w:rsidRPr="00BC1ABD">
        <w:rPr>
          <w:rFonts w:cs="Arial"/>
          <w:sz w:val="20"/>
          <w:szCs w:val="20"/>
          <w:lang w:val="en-GB"/>
        </w:rPr>
        <w:t>Answers to the Questionnaire on coverage and ComCom data</w:t>
      </w:r>
    </w:p>
    <w:p w14:paraId="154BDEE7" w14:textId="41AF8F89" w:rsidR="00903D5E" w:rsidRPr="00BC1ABD" w:rsidRDefault="003E04E3" w:rsidP="008E7C6B">
      <w:pPr>
        <w:pStyle w:val="Heading2"/>
        <w:spacing w:after="240"/>
        <w:rPr>
          <w:lang w:val="en-GB"/>
        </w:rPr>
      </w:pPr>
      <w:bookmarkStart w:id="387" w:name="_Toc149071453"/>
      <w:bookmarkStart w:id="388" w:name="_Toc169259018"/>
      <w:r w:rsidRPr="003E04E3">
        <w:rPr>
          <w:lang w:val="en-GB"/>
        </w:rPr>
        <w:t xml:space="preserve">Coverage and take-up map </w:t>
      </w:r>
      <w:r w:rsidR="00903D5E">
        <w:rPr>
          <w:lang w:val="en-GB"/>
        </w:rPr>
        <w:t>of Skytel</w:t>
      </w:r>
      <w:bookmarkEnd w:id="387"/>
      <w:bookmarkEnd w:id="388"/>
    </w:p>
    <w:p w14:paraId="1AB2FC1E" w14:textId="7DFFB87D" w:rsidR="00903D5E" w:rsidRPr="002C39C8" w:rsidRDefault="00903D5E" w:rsidP="00903D5E">
      <w:pPr>
        <w:jc w:val="both"/>
        <w:rPr>
          <w:sz w:val="24"/>
          <w:szCs w:val="24"/>
          <w:lang w:val="en-GB"/>
        </w:rPr>
      </w:pPr>
      <w:r w:rsidRPr="002C39C8">
        <w:rPr>
          <w:sz w:val="24"/>
          <w:szCs w:val="24"/>
          <w:lang w:val="en-GB"/>
        </w:rPr>
        <w:t xml:space="preserve">Skytel is the operator with the fourth largest </w:t>
      </w:r>
      <w:r w:rsidR="00E95462" w:rsidRPr="002C39C8">
        <w:rPr>
          <w:sz w:val="24"/>
          <w:szCs w:val="24"/>
          <w:lang w:val="en-GB"/>
        </w:rPr>
        <w:t xml:space="preserve">fibre </w:t>
      </w:r>
      <w:r w:rsidRPr="002C39C8">
        <w:rPr>
          <w:sz w:val="24"/>
          <w:szCs w:val="24"/>
          <w:lang w:val="en-GB"/>
        </w:rPr>
        <w:t xml:space="preserve">network in Georgia. It covers </w:t>
      </w:r>
      <w:r w:rsidR="00797E4F" w:rsidRPr="002C39C8">
        <w:rPr>
          <w:sz w:val="24"/>
          <w:szCs w:val="24"/>
          <w:lang w:val="en-GB"/>
        </w:rPr>
        <w:t xml:space="preserve">mostly </w:t>
      </w:r>
      <w:r w:rsidRPr="002C39C8">
        <w:rPr>
          <w:sz w:val="24"/>
          <w:szCs w:val="24"/>
          <w:lang w:val="en-GB"/>
        </w:rPr>
        <w:t xml:space="preserve">small rural settlements in Georgia. Skytel is </w:t>
      </w:r>
      <w:r w:rsidR="00797E4F" w:rsidRPr="002C39C8">
        <w:rPr>
          <w:sz w:val="24"/>
          <w:szCs w:val="24"/>
          <w:lang w:val="en-GB"/>
        </w:rPr>
        <w:t xml:space="preserve">also </w:t>
      </w:r>
      <w:r w:rsidRPr="002C39C8">
        <w:rPr>
          <w:sz w:val="24"/>
          <w:szCs w:val="24"/>
          <w:lang w:val="en-GB"/>
        </w:rPr>
        <w:t>present in Tbili</w:t>
      </w:r>
      <w:r w:rsidR="00797E4F" w:rsidRPr="002C39C8">
        <w:rPr>
          <w:sz w:val="24"/>
          <w:szCs w:val="24"/>
          <w:lang w:val="en-GB"/>
        </w:rPr>
        <w:t>si</w:t>
      </w:r>
      <w:r w:rsidRPr="002C39C8">
        <w:rPr>
          <w:sz w:val="24"/>
          <w:szCs w:val="24"/>
          <w:lang w:val="en-GB"/>
        </w:rPr>
        <w:t xml:space="preserve"> but </w:t>
      </w:r>
      <w:r w:rsidR="00FE2BC4">
        <w:rPr>
          <w:sz w:val="24"/>
          <w:szCs w:val="24"/>
          <w:lang w:val="en-GB"/>
        </w:rPr>
        <w:t xml:space="preserve">serving </w:t>
      </w:r>
      <w:r w:rsidRPr="002C39C8">
        <w:rPr>
          <w:sz w:val="24"/>
          <w:szCs w:val="24"/>
          <w:lang w:val="en-GB"/>
        </w:rPr>
        <w:t xml:space="preserve">only </w:t>
      </w:r>
      <w:r w:rsidR="00797E4F" w:rsidRPr="002C39C8">
        <w:rPr>
          <w:sz w:val="24"/>
          <w:szCs w:val="24"/>
          <w:lang w:val="en-GB"/>
        </w:rPr>
        <w:t>very small</w:t>
      </w:r>
      <w:r w:rsidRPr="002C39C8">
        <w:rPr>
          <w:sz w:val="24"/>
          <w:szCs w:val="24"/>
          <w:lang w:val="en-GB"/>
        </w:rPr>
        <w:t xml:space="preserve"> </w:t>
      </w:r>
      <w:r w:rsidR="00FE2BC4">
        <w:rPr>
          <w:sz w:val="24"/>
          <w:szCs w:val="24"/>
          <w:lang w:val="en-GB"/>
        </w:rPr>
        <w:t>number of active subscribers</w:t>
      </w:r>
      <w:r w:rsidRPr="002C39C8">
        <w:rPr>
          <w:sz w:val="24"/>
          <w:szCs w:val="24"/>
          <w:lang w:val="en-GB"/>
        </w:rPr>
        <w:t>.</w:t>
      </w:r>
      <w:r w:rsidR="00AE4CB1">
        <w:rPr>
          <w:sz w:val="24"/>
          <w:szCs w:val="24"/>
          <w:lang w:val="en-GB"/>
        </w:rPr>
        <w:t xml:space="preserve"> </w:t>
      </w:r>
      <w:r w:rsidRPr="002C39C8">
        <w:rPr>
          <w:sz w:val="24"/>
          <w:szCs w:val="24"/>
          <w:lang w:val="en-GB"/>
        </w:rPr>
        <w:t>The number of settlements where Skytel is present</w:t>
      </w:r>
      <w:r w:rsidR="00797E4F" w:rsidRPr="002C39C8">
        <w:rPr>
          <w:sz w:val="24"/>
          <w:szCs w:val="24"/>
          <w:lang w:val="en-GB"/>
        </w:rPr>
        <w:t xml:space="preserve"> is</w:t>
      </w:r>
      <w:r w:rsidRPr="002C39C8">
        <w:rPr>
          <w:sz w:val="24"/>
          <w:szCs w:val="24"/>
          <w:lang w:val="en-GB"/>
        </w:rPr>
        <w:t xml:space="preserve"> much higher compared to number of settlements where Silknet is present (but the total population covered is lower) and lower compared to Magticom. The total number of </w:t>
      </w:r>
      <w:r w:rsidR="00F026B4">
        <w:rPr>
          <w:sz w:val="24"/>
          <w:szCs w:val="24"/>
          <w:lang w:val="en-GB"/>
        </w:rPr>
        <w:t>FTTx</w:t>
      </w:r>
      <w:r w:rsidR="00592449" w:rsidRPr="002C39C8">
        <w:rPr>
          <w:sz w:val="24"/>
          <w:szCs w:val="24"/>
          <w:lang w:val="en-GB"/>
        </w:rPr>
        <w:t xml:space="preserve"> </w:t>
      </w:r>
      <w:r w:rsidRPr="002C39C8">
        <w:rPr>
          <w:sz w:val="24"/>
          <w:szCs w:val="24"/>
          <w:lang w:val="en-GB"/>
        </w:rPr>
        <w:t xml:space="preserve">subscribers is </w:t>
      </w:r>
      <w:r w:rsidR="00797E4F" w:rsidRPr="002C39C8">
        <w:rPr>
          <w:sz w:val="24"/>
          <w:szCs w:val="24"/>
          <w:lang w:val="en-GB"/>
        </w:rPr>
        <w:t xml:space="preserve">also </w:t>
      </w:r>
      <w:r w:rsidRPr="002C39C8">
        <w:rPr>
          <w:sz w:val="24"/>
          <w:szCs w:val="24"/>
          <w:lang w:val="en-GB"/>
        </w:rPr>
        <w:t xml:space="preserve">much lower </w:t>
      </w:r>
      <w:r w:rsidR="00797E4F" w:rsidRPr="002C39C8">
        <w:rPr>
          <w:sz w:val="24"/>
          <w:szCs w:val="24"/>
          <w:lang w:val="en-GB"/>
        </w:rPr>
        <w:t>than</w:t>
      </w:r>
      <w:r w:rsidRPr="002C39C8">
        <w:rPr>
          <w:sz w:val="24"/>
          <w:szCs w:val="24"/>
          <w:lang w:val="en-GB"/>
        </w:rPr>
        <w:t xml:space="preserve"> </w:t>
      </w:r>
      <w:r w:rsidR="001A02CA">
        <w:rPr>
          <w:sz w:val="24"/>
          <w:szCs w:val="24"/>
          <w:lang w:val="en-GB"/>
        </w:rPr>
        <w:t>Akhali Kselebi</w:t>
      </w:r>
      <w:r w:rsidRPr="002C39C8">
        <w:rPr>
          <w:sz w:val="24"/>
          <w:szCs w:val="24"/>
          <w:lang w:val="en-GB"/>
        </w:rPr>
        <w:t xml:space="preserve"> which covers only few settlements.</w:t>
      </w:r>
    </w:p>
    <w:p w14:paraId="5F7EC737" w14:textId="1A6B36D0" w:rsidR="00903D5E" w:rsidRPr="00DD7A45" w:rsidRDefault="00903D5E" w:rsidP="00903D5E">
      <w:pPr>
        <w:pStyle w:val="Caption"/>
        <w:jc w:val="center"/>
        <w:rPr>
          <w:rFonts w:cs="Arial"/>
          <w:b/>
          <w:sz w:val="24"/>
          <w:szCs w:val="24"/>
          <w:lang w:val="en-GB"/>
        </w:rPr>
      </w:pPr>
      <w:bookmarkStart w:id="389" w:name="_Toc152931434"/>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83</w:t>
      </w:r>
      <w:r w:rsidRPr="00BC1ABD">
        <w:rPr>
          <w:lang w:val="en-GB"/>
        </w:rPr>
        <w:fldChar w:fldCharType="end"/>
      </w:r>
      <w:r w:rsidRPr="00BC1ABD">
        <w:rPr>
          <w:lang w:val="en-GB"/>
        </w:rPr>
        <w:t xml:space="preserve">: </w:t>
      </w:r>
      <w:r>
        <w:rPr>
          <w:lang w:val="en-GB"/>
        </w:rPr>
        <w:t>Table of Skytel coverage</w:t>
      </w:r>
      <w:r w:rsidR="00EA50C5">
        <w:rPr>
          <w:lang w:val="en-GB"/>
        </w:rPr>
        <w:t xml:space="preserve"> and take-up (</w:t>
      </w:r>
      <w:r w:rsidR="00F026B4">
        <w:rPr>
          <w:lang w:val="en-GB"/>
        </w:rPr>
        <w:t>FTTx</w:t>
      </w:r>
      <w:r w:rsidR="00EA50C5">
        <w:rPr>
          <w:lang w:val="en-GB"/>
        </w:rPr>
        <w:t>)</w:t>
      </w:r>
      <w:bookmarkEnd w:id="389"/>
    </w:p>
    <w:tbl>
      <w:tblPr>
        <w:tblW w:w="12044" w:type="dxa"/>
        <w:jc w:val="center"/>
        <w:tblCellMar>
          <w:left w:w="70" w:type="dxa"/>
          <w:right w:w="70" w:type="dxa"/>
        </w:tblCellMar>
        <w:tblLook w:val="04A0" w:firstRow="1" w:lastRow="0" w:firstColumn="1" w:lastColumn="0" w:noHBand="0" w:noVBand="1"/>
      </w:tblPr>
      <w:tblGrid>
        <w:gridCol w:w="3681"/>
        <w:gridCol w:w="1899"/>
        <w:gridCol w:w="1440"/>
        <w:gridCol w:w="940"/>
        <w:gridCol w:w="1141"/>
        <w:gridCol w:w="1365"/>
        <w:gridCol w:w="1578"/>
      </w:tblGrid>
      <w:tr w:rsidR="00903D5E" w:rsidRPr="00712007" w14:paraId="77964AD0" w14:textId="77777777" w:rsidTr="006C273F">
        <w:trPr>
          <w:trHeight w:val="330"/>
          <w:jc w:val="center"/>
        </w:trPr>
        <w:tc>
          <w:tcPr>
            <w:tcW w:w="3681"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1DAD6B4A"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 </w:t>
            </w:r>
          </w:p>
        </w:tc>
        <w:tc>
          <w:tcPr>
            <w:tcW w:w="1899" w:type="dxa"/>
            <w:tcBorders>
              <w:top w:val="single" w:sz="12" w:space="0" w:color="auto"/>
              <w:left w:val="nil"/>
              <w:bottom w:val="single" w:sz="12" w:space="0" w:color="auto"/>
              <w:right w:val="single" w:sz="4" w:space="0" w:color="auto"/>
            </w:tcBorders>
            <w:shd w:val="clear" w:color="000000" w:fill="00B0F0"/>
            <w:noWrap/>
            <w:vAlign w:val="bottom"/>
            <w:hideMark/>
          </w:tcPr>
          <w:p w14:paraId="20F9B559"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No of settlements</w:t>
            </w:r>
          </w:p>
        </w:tc>
        <w:tc>
          <w:tcPr>
            <w:tcW w:w="1440" w:type="dxa"/>
            <w:tcBorders>
              <w:top w:val="single" w:sz="12" w:space="0" w:color="auto"/>
              <w:left w:val="nil"/>
              <w:bottom w:val="single" w:sz="12" w:space="0" w:color="auto"/>
              <w:right w:val="single" w:sz="4" w:space="0" w:color="auto"/>
            </w:tcBorders>
            <w:shd w:val="clear" w:color="000000" w:fill="00B0F0"/>
            <w:noWrap/>
            <w:vAlign w:val="bottom"/>
            <w:hideMark/>
          </w:tcPr>
          <w:p w14:paraId="26AEEB67"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Households</w:t>
            </w:r>
          </w:p>
        </w:tc>
        <w:tc>
          <w:tcPr>
            <w:tcW w:w="940" w:type="dxa"/>
            <w:tcBorders>
              <w:top w:val="single" w:sz="12" w:space="0" w:color="auto"/>
              <w:left w:val="nil"/>
              <w:bottom w:val="single" w:sz="12" w:space="0" w:color="auto"/>
              <w:right w:val="single" w:sz="4" w:space="0" w:color="auto"/>
            </w:tcBorders>
            <w:shd w:val="clear" w:color="000000" w:fill="00B0F0"/>
            <w:noWrap/>
            <w:vAlign w:val="bottom"/>
            <w:hideMark/>
          </w:tcPr>
          <w:p w14:paraId="1F89A09E"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 of HH</w:t>
            </w:r>
          </w:p>
        </w:tc>
        <w:tc>
          <w:tcPr>
            <w:tcW w:w="1141" w:type="dxa"/>
            <w:tcBorders>
              <w:top w:val="single" w:sz="12" w:space="0" w:color="auto"/>
              <w:left w:val="nil"/>
              <w:bottom w:val="single" w:sz="12" w:space="0" w:color="auto"/>
              <w:right w:val="single" w:sz="4" w:space="0" w:color="auto"/>
            </w:tcBorders>
            <w:shd w:val="clear" w:color="000000" w:fill="00B0F0"/>
            <w:noWrap/>
            <w:vAlign w:val="bottom"/>
            <w:hideMark/>
          </w:tcPr>
          <w:p w14:paraId="7DE38AD6"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Population</w:t>
            </w:r>
          </w:p>
        </w:tc>
        <w:tc>
          <w:tcPr>
            <w:tcW w:w="1365" w:type="dxa"/>
            <w:tcBorders>
              <w:top w:val="single" w:sz="12" w:space="0" w:color="auto"/>
              <w:left w:val="nil"/>
              <w:bottom w:val="single" w:sz="12" w:space="0" w:color="auto"/>
              <w:right w:val="single" w:sz="4" w:space="0" w:color="auto"/>
            </w:tcBorders>
            <w:shd w:val="clear" w:color="000000" w:fill="00B0F0"/>
            <w:noWrap/>
            <w:vAlign w:val="bottom"/>
            <w:hideMark/>
          </w:tcPr>
          <w:p w14:paraId="1D5231D9"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Subscriptions</w:t>
            </w:r>
          </w:p>
        </w:tc>
        <w:tc>
          <w:tcPr>
            <w:tcW w:w="1578" w:type="dxa"/>
            <w:tcBorders>
              <w:top w:val="single" w:sz="12" w:space="0" w:color="auto"/>
              <w:left w:val="nil"/>
              <w:bottom w:val="single" w:sz="12" w:space="0" w:color="auto"/>
              <w:right w:val="single" w:sz="12" w:space="0" w:color="auto"/>
            </w:tcBorders>
            <w:shd w:val="clear" w:color="000000" w:fill="00B0F0"/>
            <w:noWrap/>
            <w:vAlign w:val="bottom"/>
            <w:hideMark/>
          </w:tcPr>
          <w:p w14:paraId="754F2047" w14:textId="046B6078" w:rsidR="00903D5E" w:rsidRPr="00712007" w:rsidRDefault="009C1E1C" w:rsidP="006C273F">
            <w:pPr>
              <w:spacing w:after="0" w:line="240" w:lineRule="auto"/>
              <w:rPr>
                <w:rFonts w:eastAsia="Times New Roman" w:cs="Calibri"/>
                <w:b/>
                <w:bCs/>
                <w:color w:val="000000"/>
                <w:lang w:val="sl-SI" w:eastAsia="sl-SI"/>
              </w:rPr>
            </w:pPr>
            <w:r>
              <w:rPr>
                <w:rFonts w:eastAsia="Times New Roman" w:cs="Calibri"/>
                <w:b/>
                <w:bCs/>
                <w:color w:val="000000"/>
                <w:lang w:val="sl-SI" w:eastAsia="sl-SI"/>
              </w:rPr>
              <w:t>Premises</w:t>
            </w:r>
            <w:r w:rsidRPr="00712007">
              <w:rPr>
                <w:rFonts w:eastAsia="Times New Roman" w:cs="Calibri"/>
                <w:b/>
                <w:bCs/>
                <w:color w:val="000000"/>
                <w:lang w:val="sl-SI" w:eastAsia="sl-SI"/>
              </w:rPr>
              <w:t xml:space="preserve"> </w:t>
            </w:r>
            <w:r w:rsidR="00903D5E" w:rsidRPr="00712007">
              <w:rPr>
                <w:rFonts w:eastAsia="Times New Roman" w:cs="Calibri"/>
                <w:b/>
                <w:bCs/>
                <w:color w:val="000000"/>
                <w:lang w:val="sl-SI" w:eastAsia="sl-SI"/>
              </w:rPr>
              <w:t>passed</w:t>
            </w:r>
          </w:p>
        </w:tc>
      </w:tr>
      <w:tr w:rsidR="00903D5E" w:rsidRPr="00712007" w14:paraId="2BCB7966" w14:textId="77777777" w:rsidTr="006C273F">
        <w:trPr>
          <w:trHeight w:val="315"/>
          <w:jc w:val="center"/>
        </w:trPr>
        <w:tc>
          <w:tcPr>
            <w:tcW w:w="3681" w:type="dxa"/>
            <w:tcBorders>
              <w:top w:val="nil"/>
              <w:left w:val="single" w:sz="4" w:space="0" w:color="auto"/>
              <w:bottom w:val="single" w:sz="4" w:space="0" w:color="auto"/>
              <w:right w:val="single" w:sz="4" w:space="0" w:color="auto"/>
            </w:tcBorders>
            <w:shd w:val="clear" w:color="000000" w:fill="99FF99"/>
            <w:noWrap/>
            <w:vAlign w:val="bottom"/>
            <w:hideMark/>
          </w:tcPr>
          <w:p w14:paraId="5BC0F3B0"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Skytel present</w:t>
            </w:r>
          </w:p>
        </w:tc>
        <w:tc>
          <w:tcPr>
            <w:tcW w:w="1899" w:type="dxa"/>
            <w:tcBorders>
              <w:top w:val="nil"/>
              <w:left w:val="nil"/>
              <w:bottom w:val="single" w:sz="4" w:space="0" w:color="auto"/>
              <w:right w:val="single" w:sz="4" w:space="0" w:color="auto"/>
            </w:tcBorders>
            <w:shd w:val="clear" w:color="000000" w:fill="99FF99"/>
            <w:noWrap/>
            <w:vAlign w:val="bottom"/>
            <w:hideMark/>
          </w:tcPr>
          <w:p w14:paraId="145196F5"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212</w:t>
            </w:r>
          </w:p>
        </w:tc>
        <w:tc>
          <w:tcPr>
            <w:tcW w:w="1440" w:type="dxa"/>
            <w:tcBorders>
              <w:top w:val="nil"/>
              <w:left w:val="nil"/>
              <w:bottom w:val="single" w:sz="4" w:space="0" w:color="auto"/>
              <w:right w:val="single" w:sz="4" w:space="0" w:color="auto"/>
            </w:tcBorders>
            <w:shd w:val="clear" w:color="000000" w:fill="99FF99"/>
            <w:noWrap/>
            <w:vAlign w:val="bottom"/>
            <w:hideMark/>
          </w:tcPr>
          <w:p w14:paraId="1918FDB0"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688</w:t>
            </w:r>
            <w:r>
              <w:rPr>
                <w:rFonts w:eastAsia="Times New Roman" w:cs="Calibri"/>
                <w:color w:val="000000"/>
                <w:lang w:val="sl-SI" w:eastAsia="sl-SI"/>
              </w:rPr>
              <w:t>,</w:t>
            </w:r>
            <w:r w:rsidRPr="00712007">
              <w:rPr>
                <w:rFonts w:eastAsia="Times New Roman" w:cs="Calibri"/>
                <w:color w:val="000000"/>
                <w:lang w:val="sl-SI" w:eastAsia="sl-SI"/>
              </w:rPr>
              <w:t>504</w:t>
            </w:r>
          </w:p>
        </w:tc>
        <w:tc>
          <w:tcPr>
            <w:tcW w:w="940" w:type="dxa"/>
            <w:tcBorders>
              <w:top w:val="nil"/>
              <w:left w:val="nil"/>
              <w:bottom w:val="single" w:sz="4" w:space="0" w:color="auto"/>
              <w:right w:val="single" w:sz="4" w:space="0" w:color="auto"/>
            </w:tcBorders>
            <w:shd w:val="clear" w:color="000000" w:fill="99FF99"/>
            <w:noWrap/>
            <w:vAlign w:val="bottom"/>
            <w:hideMark/>
          </w:tcPr>
          <w:p w14:paraId="6EC903C1" w14:textId="77777777" w:rsidR="00903D5E" w:rsidRPr="0071200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55.</w:t>
            </w:r>
            <w:r w:rsidRPr="00712007">
              <w:rPr>
                <w:rFonts w:eastAsia="Times New Roman" w:cs="Calibri"/>
                <w:color w:val="000000"/>
                <w:lang w:val="sl-SI" w:eastAsia="sl-SI"/>
              </w:rPr>
              <w:t>0</w:t>
            </w:r>
          </w:p>
        </w:tc>
        <w:tc>
          <w:tcPr>
            <w:tcW w:w="1141" w:type="dxa"/>
            <w:tcBorders>
              <w:top w:val="nil"/>
              <w:left w:val="nil"/>
              <w:bottom w:val="single" w:sz="4" w:space="0" w:color="auto"/>
              <w:right w:val="single" w:sz="4" w:space="0" w:color="auto"/>
            </w:tcBorders>
            <w:shd w:val="clear" w:color="000000" w:fill="99FF99"/>
            <w:noWrap/>
            <w:vAlign w:val="bottom"/>
            <w:hideMark/>
          </w:tcPr>
          <w:p w14:paraId="30A1F382"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w:t>
            </w:r>
            <w:r>
              <w:rPr>
                <w:rFonts w:eastAsia="Times New Roman" w:cs="Calibri"/>
                <w:color w:val="000000"/>
                <w:lang w:val="sl-SI" w:eastAsia="sl-SI"/>
              </w:rPr>
              <w:t>,</w:t>
            </w:r>
            <w:r w:rsidRPr="00712007">
              <w:rPr>
                <w:rFonts w:eastAsia="Times New Roman" w:cs="Calibri"/>
                <w:color w:val="000000"/>
                <w:lang w:val="sl-SI" w:eastAsia="sl-SI"/>
              </w:rPr>
              <w:t>786</w:t>
            </w:r>
            <w:r>
              <w:rPr>
                <w:rFonts w:eastAsia="Times New Roman" w:cs="Calibri"/>
                <w:color w:val="000000"/>
                <w:lang w:val="sl-SI" w:eastAsia="sl-SI"/>
              </w:rPr>
              <w:t>,</w:t>
            </w:r>
            <w:r w:rsidRPr="00712007">
              <w:rPr>
                <w:rFonts w:eastAsia="Times New Roman" w:cs="Calibri"/>
                <w:color w:val="000000"/>
                <w:lang w:val="sl-SI" w:eastAsia="sl-SI"/>
              </w:rPr>
              <w:t>979</w:t>
            </w:r>
          </w:p>
        </w:tc>
        <w:tc>
          <w:tcPr>
            <w:tcW w:w="1365" w:type="dxa"/>
            <w:tcBorders>
              <w:top w:val="nil"/>
              <w:left w:val="nil"/>
              <w:bottom w:val="single" w:sz="4" w:space="0" w:color="auto"/>
              <w:right w:val="single" w:sz="4" w:space="0" w:color="auto"/>
            </w:tcBorders>
            <w:shd w:val="clear" w:color="000000" w:fill="99FF99"/>
            <w:noWrap/>
            <w:vAlign w:val="bottom"/>
            <w:hideMark/>
          </w:tcPr>
          <w:p w14:paraId="50078762"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13</w:t>
            </w:r>
            <w:r>
              <w:rPr>
                <w:rFonts w:eastAsia="Times New Roman" w:cs="Calibri"/>
                <w:color w:val="000000"/>
                <w:lang w:val="sl-SI" w:eastAsia="sl-SI"/>
              </w:rPr>
              <w:t>,</w:t>
            </w:r>
            <w:r w:rsidRPr="00712007">
              <w:rPr>
                <w:rFonts w:eastAsia="Times New Roman" w:cs="Calibri"/>
                <w:color w:val="000000"/>
                <w:lang w:val="sl-SI" w:eastAsia="sl-SI"/>
              </w:rPr>
              <w:t>136</w:t>
            </w:r>
          </w:p>
        </w:tc>
        <w:tc>
          <w:tcPr>
            <w:tcW w:w="1578" w:type="dxa"/>
            <w:tcBorders>
              <w:top w:val="nil"/>
              <w:left w:val="nil"/>
              <w:bottom w:val="single" w:sz="4" w:space="0" w:color="auto"/>
              <w:right w:val="single" w:sz="4" w:space="0" w:color="auto"/>
            </w:tcBorders>
            <w:shd w:val="clear" w:color="000000" w:fill="99FF99"/>
            <w:noWrap/>
            <w:vAlign w:val="bottom"/>
            <w:hideMark/>
          </w:tcPr>
          <w:p w14:paraId="4BE1AD8B"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44</w:t>
            </w:r>
            <w:r>
              <w:rPr>
                <w:rFonts w:eastAsia="Times New Roman" w:cs="Calibri"/>
                <w:color w:val="000000"/>
                <w:lang w:val="sl-SI" w:eastAsia="sl-SI"/>
              </w:rPr>
              <w:t>,</w:t>
            </w:r>
            <w:r w:rsidRPr="00712007">
              <w:rPr>
                <w:rFonts w:eastAsia="Times New Roman" w:cs="Calibri"/>
                <w:color w:val="000000"/>
                <w:lang w:val="sl-SI" w:eastAsia="sl-SI"/>
              </w:rPr>
              <w:t>045</w:t>
            </w:r>
          </w:p>
        </w:tc>
      </w:tr>
      <w:tr w:rsidR="00903D5E" w:rsidRPr="00712007" w14:paraId="76A27B1C" w14:textId="77777777" w:rsidTr="006C273F">
        <w:trPr>
          <w:trHeight w:val="300"/>
          <w:jc w:val="center"/>
        </w:trPr>
        <w:tc>
          <w:tcPr>
            <w:tcW w:w="3681" w:type="dxa"/>
            <w:tcBorders>
              <w:top w:val="nil"/>
              <w:left w:val="single" w:sz="4" w:space="0" w:color="auto"/>
              <w:bottom w:val="single" w:sz="4" w:space="0" w:color="auto"/>
              <w:right w:val="single" w:sz="4" w:space="0" w:color="auto"/>
            </w:tcBorders>
            <w:shd w:val="clear" w:color="000000" w:fill="99FF99"/>
            <w:noWrap/>
            <w:vAlign w:val="bottom"/>
            <w:hideMark/>
          </w:tcPr>
          <w:p w14:paraId="37FD17F8"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Skytel share 40% or more</w:t>
            </w:r>
          </w:p>
        </w:tc>
        <w:tc>
          <w:tcPr>
            <w:tcW w:w="1899" w:type="dxa"/>
            <w:tcBorders>
              <w:top w:val="nil"/>
              <w:left w:val="nil"/>
              <w:bottom w:val="single" w:sz="4" w:space="0" w:color="auto"/>
              <w:right w:val="single" w:sz="4" w:space="0" w:color="auto"/>
            </w:tcBorders>
            <w:shd w:val="clear" w:color="000000" w:fill="99FF99"/>
            <w:noWrap/>
            <w:vAlign w:val="bottom"/>
            <w:hideMark/>
          </w:tcPr>
          <w:p w14:paraId="038D5DBD"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140</w:t>
            </w:r>
          </w:p>
        </w:tc>
        <w:tc>
          <w:tcPr>
            <w:tcW w:w="1440" w:type="dxa"/>
            <w:tcBorders>
              <w:top w:val="nil"/>
              <w:left w:val="nil"/>
              <w:bottom w:val="single" w:sz="4" w:space="0" w:color="auto"/>
              <w:right w:val="single" w:sz="4" w:space="0" w:color="auto"/>
            </w:tcBorders>
            <w:shd w:val="clear" w:color="000000" w:fill="99FF99"/>
            <w:noWrap/>
            <w:vAlign w:val="bottom"/>
            <w:hideMark/>
          </w:tcPr>
          <w:p w14:paraId="6151CA90"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30</w:t>
            </w:r>
            <w:r>
              <w:rPr>
                <w:rFonts w:eastAsia="Times New Roman" w:cs="Calibri"/>
                <w:color w:val="000000"/>
                <w:lang w:val="sl-SI" w:eastAsia="sl-SI"/>
              </w:rPr>
              <w:t>,</w:t>
            </w:r>
            <w:r w:rsidRPr="00712007">
              <w:rPr>
                <w:rFonts w:eastAsia="Times New Roman" w:cs="Calibri"/>
                <w:color w:val="000000"/>
                <w:lang w:val="sl-SI" w:eastAsia="sl-SI"/>
              </w:rPr>
              <w:t>472</w:t>
            </w:r>
          </w:p>
        </w:tc>
        <w:tc>
          <w:tcPr>
            <w:tcW w:w="940" w:type="dxa"/>
            <w:tcBorders>
              <w:top w:val="nil"/>
              <w:left w:val="nil"/>
              <w:bottom w:val="single" w:sz="4" w:space="0" w:color="auto"/>
              <w:right w:val="single" w:sz="4" w:space="0" w:color="auto"/>
            </w:tcBorders>
            <w:shd w:val="clear" w:color="000000" w:fill="99FF99"/>
            <w:noWrap/>
            <w:vAlign w:val="bottom"/>
            <w:hideMark/>
          </w:tcPr>
          <w:p w14:paraId="19D4EB47" w14:textId="77777777" w:rsidR="00903D5E" w:rsidRPr="0071200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2.</w:t>
            </w:r>
            <w:r w:rsidRPr="00712007">
              <w:rPr>
                <w:rFonts w:eastAsia="Times New Roman" w:cs="Calibri"/>
                <w:color w:val="000000"/>
                <w:lang w:val="sl-SI" w:eastAsia="sl-SI"/>
              </w:rPr>
              <w:t>4</w:t>
            </w:r>
          </w:p>
        </w:tc>
        <w:tc>
          <w:tcPr>
            <w:tcW w:w="1141" w:type="dxa"/>
            <w:tcBorders>
              <w:top w:val="nil"/>
              <w:left w:val="nil"/>
              <w:bottom w:val="single" w:sz="4" w:space="0" w:color="auto"/>
              <w:right w:val="single" w:sz="4" w:space="0" w:color="auto"/>
            </w:tcBorders>
            <w:shd w:val="clear" w:color="000000" w:fill="99FF99"/>
            <w:noWrap/>
            <w:vAlign w:val="bottom"/>
            <w:hideMark/>
          </w:tcPr>
          <w:p w14:paraId="1852CB07"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98</w:t>
            </w:r>
            <w:r>
              <w:rPr>
                <w:rFonts w:eastAsia="Times New Roman" w:cs="Calibri"/>
                <w:color w:val="000000"/>
                <w:lang w:val="sl-SI" w:eastAsia="sl-SI"/>
              </w:rPr>
              <w:t>,</w:t>
            </w:r>
            <w:r w:rsidRPr="00712007">
              <w:rPr>
                <w:rFonts w:eastAsia="Times New Roman" w:cs="Calibri"/>
                <w:color w:val="000000"/>
                <w:lang w:val="sl-SI" w:eastAsia="sl-SI"/>
              </w:rPr>
              <w:t>373</w:t>
            </w:r>
          </w:p>
        </w:tc>
        <w:tc>
          <w:tcPr>
            <w:tcW w:w="1365" w:type="dxa"/>
            <w:tcBorders>
              <w:top w:val="nil"/>
              <w:left w:val="nil"/>
              <w:bottom w:val="single" w:sz="4" w:space="0" w:color="auto"/>
              <w:right w:val="single" w:sz="4" w:space="0" w:color="auto"/>
            </w:tcBorders>
            <w:shd w:val="clear" w:color="000000" w:fill="99FF99"/>
            <w:noWrap/>
            <w:vAlign w:val="bottom"/>
            <w:hideMark/>
          </w:tcPr>
          <w:p w14:paraId="3B4382EA"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2</w:t>
            </w:r>
            <w:r>
              <w:rPr>
                <w:rFonts w:eastAsia="Times New Roman" w:cs="Calibri"/>
                <w:color w:val="000000"/>
                <w:lang w:val="sl-SI" w:eastAsia="sl-SI"/>
              </w:rPr>
              <w:t>,</w:t>
            </w:r>
            <w:r w:rsidRPr="00712007">
              <w:rPr>
                <w:rFonts w:eastAsia="Times New Roman" w:cs="Calibri"/>
                <w:color w:val="000000"/>
                <w:lang w:val="sl-SI" w:eastAsia="sl-SI"/>
              </w:rPr>
              <w:t>414</w:t>
            </w:r>
          </w:p>
        </w:tc>
        <w:tc>
          <w:tcPr>
            <w:tcW w:w="1578" w:type="dxa"/>
            <w:tcBorders>
              <w:top w:val="nil"/>
              <w:left w:val="nil"/>
              <w:bottom w:val="single" w:sz="4" w:space="0" w:color="auto"/>
              <w:right w:val="single" w:sz="4" w:space="0" w:color="auto"/>
            </w:tcBorders>
            <w:shd w:val="clear" w:color="000000" w:fill="99FF99"/>
            <w:noWrap/>
            <w:vAlign w:val="bottom"/>
            <w:hideMark/>
          </w:tcPr>
          <w:p w14:paraId="28022DC4"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4</w:t>
            </w:r>
            <w:r>
              <w:rPr>
                <w:rFonts w:eastAsia="Times New Roman" w:cs="Calibri"/>
                <w:color w:val="000000"/>
                <w:lang w:val="sl-SI" w:eastAsia="sl-SI"/>
              </w:rPr>
              <w:t>,</w:t>
            </w:r>
            <w:r w:rsidRPr="00712007">
              <w:rPr>
                <w:rFonts w:eastAsia="Times New Roman" w:cs="Calibri"/>
                <w:color w:val="000000"/>
                <w:lang w:val="sl-SI" w:eastAsia="sl-SI"/>
              </w:rPr>
              <w:t>988</w:t>
            </w:r>
          </w:p>
        </w:tc>
      </w:tr>
      <w:tr w:rsidR="00903D5E" w:rsidRPr="00712007" w14:paraId="314A3735" w14:textId="77777777" w:rsidTr="006C273F">
        <w:trPr>
          <w:trHeight w:val="300"/>
          <w:jc w:val="center"/>
        </w:trPr>
        <w:tc>
          <w:tcPr>
            <w:tcW w:w="3681" w:type="dxa"/>
            <w:tcBorders>
              <w:top w:val="nil"/>
              <w:left w:val="single" w:sz="4" w:space="0" w:color="auto"/>
              <w:bottom w:val="single" w:sz="4" w:space="0" w:color="auto"/>
              <w:right w:val="single" w:sz="4" w:space="0" w:color="auto"/>
            </w:tcBorders>
            <w:shd w:val="clear" w:color="000000" w:fill="99FF99"/>
            <w:noWrap/>
            <w:vAlign w:val="bottom"/>
            <w:hideMark/>
          </w:tcPr>
          <w:p w14:paraId="5259E93E"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Only Skytel present</w:t>
            </w:r>
          </w:p>
        </w:tc>
        <w:tc>
          <w:tcPr>
            <w:tcW w:w="1899" w:type="dxa"/>
            <w:tcBorders>
              <w:top w:val="nil"/>
              <w:left w:val="nil"/>
              <w:bottom w:val="single" w:sz="4" w:space="0" w:color="auto"/>
              <w:right w:val="single" w:sz="4" w:space="0" w:color="auto"/>
            </w:tcBorders>
            <w:shd w:val="clear" w:color="000000" w:fill="99FF99"/>
            <w:noWrap/>
            <w:vAlign w:val="bottom"/>
            <w:hideMark/>
          </w:tcPr>
          <w:p w14:paraId="5E55C3F7"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104</w:t>
            </w:r>
          </w:p>
        </w:tc>
        <w:tc>
          <w:tcPr>
            <w:tcW w:w="1440" w:type="dxa"/>
            <w:tcBorders>
              <w:top w:val="nil"/>
              <w:left w:val="nil"/>
              <w:bottom w:val="single" w:sz="4" w:space="0" w:color="auto"/>
              <w:right w:val="single" w:sz="4" w:space="0" w:color="auto"/>
            </w:tcBorders>
            <w:shd w:val="clear" w:color="000000" w:fill="99FF99"/>
            <w:noWrap/>
            <w:vAlign w:val="bottom"/>
            <w:hideMark/>
          </w:tcPr>
          <w:p w14:paraId="1B4BCFC5"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18</w:t>
            </w:r>
            <w:r>
              <w:rPr>
                <w:rFonts w:eastAsia="Times New Roman" w:cs="Calibri"/>
                <w:color w:val="000000"/>
                <w:lang w:val="sl-SI" w:eastAsia="sl-SI"/>
              </w:rPr>
              <w:t>,</w:t>
            </w:r>
            <w:r w:rsidRPr="00712007">
              <w:rPr>
                <w:rFonts w:eastAsia="Times New Roman" w:cs="Calibri"/>
                <w:color w:val="000000"/>
                <w:lang w:val="sl-SI" w:eastAsia="sl-SI"/>
              </w:rPr>
              <w:t>485</w:t>
            </w:r>
          </w:p>
        </w:tc>
        <w:tc>
          <w:tcPr>
            <w:tcW w:w="940" w:type="dxa"/>
            <w:tcBorders>
              <w:top w:val="nil"/>
              <w:left w:val="nil"/>
              <w:bottom w:val="single" w:sz="4" w:space="0" w:color="auto"/>
              <w:right w:val="single" w:sz="4" w:space="0" w:color="auto"/>
            </w:tcBorders>
            <w:shd w:val="clear" w:color="000000" w:fill="99FF99"/>
            <w:noWrap/>
            <w:vAlign w:val="bottom"/>
            <w:hideMark/>
          </w:tcPr>
          <w:p w14:paraId="466E87C4" w14:textId="77777777" w:rsidR="00903D5E" w:rsidRPr="0071200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1.</w:t>
            </w:r>
            <w:r w:rsidRPr="00712007">
              <w:rPr>
                <w:rFonts w:eastAsia="Times New Roman" w:cs="Calibri"/>
                <w:color w:val="000000"/>
                <w:lang w:val="sl-SI" w:eastAsia="sl-SI"/>
              </w:rPr>
              <w:t>5</w:t>
            </w:r>
          </w:p>
        </w:tc>
        <w:tc>
          <w:tcPr>
            <w:tcW w:w="1141" w:type="dxa"/>
            <w:tcBorders>
              <w:top w:val="nil"/>
              <w:left w:val="nil"/>
              <w:bottom w:val="single" w:sz="4" w:space="0" w:color="auto"/>
              <w:right w:val="single" w:sz="4" w:space="0" w:color="auto"/>
            </w:tcBorders>
            <w:shd w:val="clear" w:color="000000" w:fill="99FF99"/>
            <w:noWrap/>
            <w:vAlign w:val="bottom"/>
            <w:hideMark/>
          </w:tcPr>
          <w:p w14:paraId="195B43D2"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58</w:t>
            </w:r>
            <w:r>
              <w:rPr>
                <w:rFonts w:eastAsia="Times New Roman" w:cs="Calibri"/>
                <w:color w:val="000000"/>
                <w:lang w:val="sl-SI" w:eastAsia="sl-SI"/>
              </w:rPr>
              <w:t>,</w:t>
            </w:r>
            <w:r w:rsidRPr="00712007">
              <w:rPr>
                <w:rFonts w:eastAsia="Times New Roman" w:cs="Calibri"/>
                <w:color w:val="000000"/>
                <w:lang w:val="sl-SI" w:eastAsia="sl-SI"/>
              </w:rPr>
              <w:t>557</w:t>
            </w:r>
          </w:p>
        </w:tc>
        <w:tc>
          <w:tcPr>
            <w:tcW w:w="1365" w:type="dxa"/>
            <w:tcBorders>
              <w:top w:val="nil"/>
              <w:left w:val="nil"/>
              <w:bottom w:val="single" w:sz="4" w:space="0" w:color="auto"/>
              <w:right w:val="single" w:sz="4" w:space="0" w:color="auto"/>
            </w:tcBorders>
            <w:shd w:val="clear" w:color="000000" w:fill="99FF99"/>
            <w:noWrap/>
            <w:vAlign w:val="bottom"/>
            <w:hideMark/>
          </w:tcPr>
          <w:p w14:paraId="5D458C0E"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6</w:t>
            </w:r>
            <w:r>
              <w:rPr>
                <w:rFonts w:eastAsia="Times New Roman" w:cs="Calibri"/>
                <w:color w:val="000000"/>
                <w:lang w:val="sl-SI" w:eastAsia="sl-SI"/>
              </w:rPr>
              <w:t>,</w:t>
            </w:r>
            <w:r w:rsidRPr="00712007">
              <w:rPr>
                <w:rFonts w:eastAsia="Times New Roman" w:cs="Calibri"/>
                <w:color w:val="000000"/>
                <w:lang w:val="sl-SI" w:eastAsia="sl-SI"/>
              </w:rPr>
              <w:t>614</w:t>
            </w:r>
          </w:p>
        </w:tc>
        <w:tc>
          <w:tcPr>
            <w:tcW w:w="1578" w:type="dxa"/>
            <w:tcBorders>
              <w:top w:val="nil"/>
              <w:left w:val="nil"/>
              <w:bottom w:val="single" w:sz="4" w:space="0" w:color="auto"/>
              <w:right w:val="single" w:sz="4" w:space="0" w:color="auto"/>
            </w:tcBorders>
            <w:shd w:val="clear" w:color="000000" w:fill="99FF99"/>
            <w:noWrap/>
            <w:vAlign w:val="bottom"/>
            <w:hideMark/>
          </w:tcPr>
          <w:p w14:paraId="501ADAD7"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15</w:t>
            </w:r>
            <w:r>
              <w:rPr>
                <w:rFonts w:eastAsia="Times New Roman" w:cs="Calibri"/>
                <w:color w:val="000000"/>
                <w:lang w:val="sl-SI" w:eastAsia="sl-SI"/>
              </w:rPr>
              <w:t>,</w:t>
            </w:r>
            <w:r w:rsidRPr="00712007">
              <w:rPr>
                <w:rFonts w:eastAsia="Times New Roman" w:cs="Calibri"/>
                <w:color w:val="000000"/>
                <w:lang w:val="sl-SI" w:eastAsia="sl-SI"/>
              </w:rPr>
              <w:t>506</w:t>
            </w:r>
          </w:p>
        </w:tc>
      </w:tr>
    </w:tbl>
    <w:p w14:paraId="0734C293" w14:textId="77777777" w:rsidR="00903D5E" w:rsidRDefault="00903D5E" w:rsidP="00903D5E">
      <w:pPr>
        <w:jc w:val="center"/>
        <w:rPr>
          <w:lang w:val="en-GB"/>
        </w:rPr>
      </w:pPr>
      <w:r>
        <w:rPr>
          <w:rFonts w:cs="Arial"/>
          <w:sz w:val="20"/>
          <w:szCs w:val="20"/>
          <w:lang w:val="en-GB"/>
        </w:rPr>
        <w:t xml:space="preserve">Source: </w:t>
      </w:r>
      <w:r w:rsidRPr="00BC1ABD">
        <w:rPr>
          <w:rFonts w:cs="Arial"/>
          <w:sz w:val="20"/>
          <w:szCs w:val="20"/>
          <w:lang w:val="en-GB"/>
        </w:rPr>
        <w:t>Answers to the Questionnaire on coverage and ComCom data</w:t>
      </w:r>
    </w:p>
    <w:p w14:paraId="0E193E79" w14:textId="77777777" w:rsidR="00903D5E" w:rsidRDefault="00903D5E" w:rsidP="00903D5E">
      <w:pPr>
        <w:jc w:val="both"/>
        <w:rPr>
          <w:lang w:val="en-GB"/>
        </w:rPr>
      </w:pPr>
    </w:p>
    <w:p w14:paraId="797E5CDA" w14:textId="77777777" w:rsidR="00903D5E" w:rsidRDefault="00903D5E" w:rsidP="00903D5E">
      <w:pPr>
        <w:jc w:val="both"/>
        <w:rPr>
          <w:lang w:val="en-GB"/>
        </w:rPr>
      </w:pPr>
    </w:p>
    <w:p w14:paraId="7FBD2089" w14:textId="77777777" w:rsidR="00903D5E" w:rsidRDefault="00903D5E" w:rsidP="00903D5E">
      <w:pPr>
        <w:jc w:val="both"/>
        <w:rPr>
          <w:lang w:val="en-GB"/>
        </w:rPr>
      </w:pPr>
    </w:p>
    <w:p w14:paraId="15962607" w14:textId="77777777" w:rsidR="00903D5E" w:rsidRDefault="00903D5E" w:rsidP="00903D5E">
      <w:pPr>
        <w:jc w:val="both"/>
        <w:rPr>
          <w:lang w:val="en-GB"/>
        </w:rPr>
      </w:pPr>
    </w:p>
    <w:p w14:paraId="3C3D9091" w14:textId="77777777" w:rsidR="00903D5E" w:rsidRDefault="00903D5E" w:rsidP="00903D5E">
      <w:pPr>
        <w:jc w:val="both"/>
        <w:rPr>
          <w:lang w:val="en-GB"/>
        </w:rPr>
      </w:pPr>
    </w:p>
    <w:p w14:paraId="20DFE318" w14:textId="08D577EE" w:rsidR="00903D5E" w:rsidRPr="00D237AF" w:rsidRDefault="00903D5E" w:rsidP="00903D5E">
      <w:pPr>
        <w:pStyle w:val="Caption"/>
        <w:jc w:val="center"/>
        <w:rPr>
          <w:rFonts w:cs="Arial"/>
          <w:b/>
          <w:sz w:val="24"/>
          <w:szCs w:val="24"/>
          <w:lang w:val="en-GB"/>
        </w:rPr>
      </w:pPr>
      <w:bookmarkStart w:id="390" w:name="_Toc152931435"/>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84</w:t>
      </w:r>
      <w:r w:rsidRPr="00BC1ABD">
        <w:rPr>
          <w:lang w:val="en-GB"/>
        </w:rPr>
        <w:fldChar w:fldCharType="end"/>
      </w:r>
      <w:r w:rsidRPr="00BC1ABD">
        <w:rPr>
          <w:lang w:val="en-GB"/>
        </w:rPr>
        <w:t xml:space="preserve">: </w:t>
      </w:r>
      <w:r>
        <w:rPr>
          <w:lang w:val="en-GB"/>
        </w:rPr>
        <w:t>Coverage</w:t>
      </w:r>
      <w:r w:rsidR="00EA50C5">
        <w:rPr>
          <w:lang w:val="en-GB"/>
        </w:rPr>
        <w:t xml:space="preserve"> and take-up</w:t>
      </w:r>
      <w:r>
        <w:rPr>
          <w:lang w:val="en-GB"/>
        </w:rPr>
        <w:t xml:space="preserve"> map of Skytel</w:t>
      </w:r>
      <w:r w:rsidR="00EA50C5">
        <w:rPr>
          <w:lang w:val="en-GB"/>
        </w:rPr>
        <w:t xml:space="preserve"> (</w:t>
      </w:r>
      <w:r w:rsidR="00F026B4">
        <w:rPr>
          <w:lang w:val="en-GB"/>
        </w:rPr>
        <w:t>FTTx</w:t>
      </w:r>
      <w:r w:rsidR="00EA50C5">
        <w:rPr>
          <w:lang w:val="en-GB"/>
        </w:rPr>
        <w:t>)</w:t>
      </w:r>
      <w:r w:rsidRPr="00BC1ABD">
        <w:rPr>
          <w:lang w:val="en-GB"/>
        </w:rPr>
        <w:t xml:space="preserve"> </w:t>
      </w:r>
      <w:r w:rsidRPr="00712007">
        <w:rPr>
          <w:noProof/>
          <w:lang w:eastAsia="sl-SI"/>
        </w:rPr>
        <w:drawing>
          <wp:inline distT="0" distB="0" distL="0" distR="0" wp14:anchorId="0BFB9653" wp14:editId="4DC297A9">
            <wp:extent cx="9071182" cy="5389123"/>
            <wp:effectExtent l="0" t="0" r="0" b="254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079889" cy="5394295"/>
                    </a:xfrm>
                    <a:prstGeom prst="rect">
                      <a:avLst/>
                    </a:prstGeom>
                  </pic:spPr>
                </pic:pic>
              </a:graphicData>
            </a:graphic>
          </wp:inline>
        </w:drawing>
      </w:r>
      <w:r>
        <w:rPr>
          <w:rFonts w:cs="Arial"/>
          <w:sz w:val="20"/>
          <w:szCs w:val="20"/>
          <w:lang w:val="en-GB"/>
        </w:rPr>
        <w:t xml:space="preserve">Source: </w:t>
      </w:r>
      <w:r w:rsidRPr="00BC1ABD">
        <w:rPr>
          <w:rFonts w:cs="Arial"/>
          <w:sz w:val="20"/>
          <w:szCs w:val="20"/>
          <w:lang w:val="en-GB"/>
        </w:rPr>
        <w:t>Answers to the Questionnaire on coverage and ComCom data</w:t>
      </w:r>
      <w:bookmarkEnd w:id="390"/>
    </w:p>
    <w:p w14:paraId="4817D015" w14:textId="347DB615" w:rsidR="00903D5E" w:rsidRPr="00BC1ABD" w:rsidRDefault="003E04E3" w:rsidP="008E7C6B">
      <w:pPr>
        <w:pStyle w:val="Heading2"/>
        <w:spacing w:after="240"/>
        <w:rPr>
          <w:lang w:val="en-GB"/>
        </w:rPr>
      </w:pPr>
      <w:bookmarkStart w:id="391" w:name="_Toc149071454"/>
      <w:bookmarkStart w:id="392" w:name="_Toc169259019"/>
      <w:r w:rsidRPr="003E04E3">
        <w:rPr>
          <w:lang w:val="en-GB"/>
        </w:rPr>
        <w:t xml:space="preserve">Coverage and take-up map </w:t>
      </w:r>
      <w:r w:rsidR="00903D5E">
        <w:rPr>
          <w:lang w:val="en-GB"/>
        </w:rPr>
        <w:t xml:space="preserve">of </w:t>
      </w:r>
      <w:r w:rsidR="008078C1">
        <w:rPr>
          <w:lang w:val="en-GB"/>
        </w:rPr>
        <w:t xml:space="preserve">the </w:t>
      </w:r>
      <w:r w:rsidR="00903D5E">
        <w:rPr>
          <w:lang w:val="en-GB"/>
        </w:rPr>
        <w:t>other operators together</w:t>
      </w:r>
      <w:bookmarkEnd w:id="391"/>
      <w:bookmarkEnd w:id="392"/>
    </w:p>
    <w:p w14:paraId="54969097" w14:textId="3F386A4B" w:rsidR="00903D5E" w:rsidRPr="002C39C8" w:rsidRDefault="00797E4F" w:rsidP="00903D5E">
      <w:pPr>
        <w:jc w:val="both"/>
        <w:rPr>
          <w:sz w:val="24"/>
          <w:szCs w:val="24"/>
          <w:lang w:val="en-GB"/>
        </w:rPr>
      </w:pPr>
      <w:r w:rsidRPr="002C39C8">
        <w:rPr>
          <w:sz w:val="24"/>
          <w:szCs w:val="24"/>
          <w:lang w:val="en-GB"/>
        </w:rPr>
        <w:t xml:space="preserve">The remaining </w:t>
      </w:r>
      <w:r w:rsidR="00F026B4">
        <w:rPr>
          <w:sz w:val="24"/>
          <w:szCs w:val="24"/>
          <w:lang w:val="en-GB"/>
        </w:rPr>
        <w:t>FTTx</w:t>
      </w:r>
      <w:r w:rsidR="00903D5E" w:rsidRPr="002C39C8">
        <w:rPr>
          <w:sz w:val="24"/>
          <w:szCs w:val="24"/>
          <w:lang w:val="en-GB"/>
        </w:rPr>
        <w:t xml:space="preserve"> operators</w:t>
      </w:r>
      <w:r w:rsidR="003B42DD">
        <w:rPr>
          <w:sz w:val="24"/>
          <w:szCs w:val="24"/>
          <w:lang w:val="en-GB"/>
        </w:rPr>
        <w:t xml:space="preserve"> (31 operator)</w:t>
      </w:r>
      <w:r w:rsidR="00903D5E" w:rsidRPr="002C39C8">
        <w:rPr>
          <w:sz w:val="24"/>
          <w:szCs w:val="24"/>
          <w:lang w:val="en-GB"/>
        </w:rPr>
        <w:t xml:space="preserve"> </w:t>
      </w:r>
      <w:r w:rsidRPr="002C39C8">
        <w:rPr>
          <w:sz w:val="24"/>
          <w:szCs w:val="24"/>
          <w:lang w:val="en-GB"/>
        </w:rPr>
        <w:t>are in</w:t>
      </w:r>
      <w:r w:rsidR="00903D5E" w:rsidRPr="002C39C8">
        <w:rPr>
          <w:sz w:val="24"/>
          <w:szCs w:val="24"/>
          <w:lang w:val="en-GB"/>
        </w:rPr>
        <w:t xml:space="preserve"> a group of mostly small</w:t>
      </w:r>
      <w:r w:rsidRPr="002C39C8">
        <w:rPr>
          <w:sz w:val="24"/>
          <w:szCs w:val="24"/>
          <w:lang w:val="en-GB"/>
        </w:rPr>
        <w:t xml:space="preserve"> firms with only a small and localised presence,</w:t>
      </w:r>
      <w:r w:rsidR="00903D5E" w:rsidRPr="002C39C8">
        <w:rPr>
          <w:sz w:val="24"/>
          <w:szCs w:val="24"/>
          <w:lang w:val="en-GB"/>
        </w:rPr>
        <w:t xml:space="preserve"> cover</w:t>
      </w:r>
      <w:r w:rsidRPr="002C39C8">
        <w:rPr>
          <w:sz w:val="24"/>
          <w:szCs w:val="24"/>
          <w:lang w:val="en-GB"/>
        </w:rPr>
        <w:t>ing</w:t>
      </w:r>
      <w:r w:rsidR="00903D5E" w:rsidRPr="002C39C8">
        <w:rPr>
          <w:sz w:val="24"/>
          <w:szCs w:val="24"/>
          <w:lang w:val="en-GB"/>
        </w:rPr>
        <w:t xml:space="preserve"> mostly small rural settlements in Georgia. Some of them are present in Tbilisi</w:t>
      </w:r>
      <w:r w:rsidRPr="002C39C8">
        <w:rPr>
          <w:sz w:val="24"/>
          <w:szCs w:val="24"/>
          <w:lang w:val="en-GB"/>
        </w:rPr>
        <w:t xml:space="preserve"> also</w:t>
      </w:r>
      <w:r w:rsidR="00903D5E" w:rsidRPr="002C39C8">
        <w:rPr>
          <w:sz w:val="24"/>
          <w:szCs w:val="24"/>
          <w:lang w:val="en-GB"/>
        </w:rPr>
        <w:t xml:space="preserve"> but </w:t>
      </w:r>
      <w:r w:rsidR="001A19E2">
        <w:rPr>
          <w:sz w:val="24"/>
          <w:szCs w:val="24"/>
          <w:lang w:val="en-GB"/>
        </w:rPr>
        <w:t xml:space="preserve">serving all together less than </w:t>
      </w:r>
      <w:r w:rsidR="00903D5E" w:rsidRPr="002C39C8">
        <w:rPr>
          <w:sz w:val="24"/>
          <w:szCs w:val="24"/>
          <w:lang w:val="en-GB"/>
        </w:rPr>
        <w:t>2%</w:t>
      </w:r>
      <w:r w:rsidR="001A19E2">
        <w:rPr>
          <w:sz w:val="24"/>
          <w:szCs w:val="24"/>
          <w:lang w:val="en-GB"/>
        </w:rPr>
        <w:t xml:space="preserve"> of active subscribers</w:t>
      </w:r>
      <w:r w:rsidR="00903D5E" w:rsidRPr="002C39C8">
        <w:rPr>
          <w:sz w:val="24"/>
          <w:szCs w:val="24"/>
          <w:lang w:val="en-GB"/>
        </w:rPr>
        <w:t>.</w:t>
      </w:r>
      <w:r w:rsidRPr="002C39C8">
        <w:rPr>
          <w:sz w:val="24"/>
          <w:szCs w:val="24"/>
          <w:lang w:val="en-GB"/>
        </w:rPr>
        <w:t xml:space="preserve"> These</w:t>
      </w:r>
      <w:r w:rsidR="00903D5E" w:rsidRPr="002C39C8">
        <w:rPr>
          <w:sz w:val="24"/>
          <w:szCs w:val="24"/>
          <w:lang w:val="en-GB"/>
        </w:rPr>
        <w:t xml:space="preserve"> operators are </w:t>
      </w:r>
      <w:r w:rsidRPr="002C39C8">
        <w:rPr>
          <w:sz w:val="24"/>
          <w:szCs w:val="24"/>
          <w:lang w:val="en-GB"/>
        </w:rPr>
        <w:t xml:space="preserve">also </w:t>
      </w:r>
      <w:r w:rsidR="00903D5E" w:rsidRPr="002C39C8">
        <w:rPr>
          <w:sz w:val="24"/>
          <w:szCs w:val="24"/>
          <w:lang w:val="en-GB"/>
        </w:rPr>
        <w:t>present in other larger cities (Batumi, Rustavi and Kutaisi)</w:t>
      </w:r>
      <w:r w:rsidRPr="002C39C8">
        <w:rPr>
          <w:sz w:val="24"/>
          <w:szCs w:val="24"/>
          <w:lang w:val="en-GB"/>
        </w:rPr>
        <w:t xml:space="preserve"> </w:t>
      </w:r>
      <w:r w:rsidR="00903D5E" w:rsidRPr="002C39C8">
        <w:rPr>
          <w:sz w:val="24"/>
          <w:szCs w:val="24"/>
          <w:lang w:val="en-GB"/>
        </w:rPr>
        <w:t xml:space="preserve">but again </w:t>
      </w:r>
      <w:r w:rsidR="001A19E2">
        <w:rPr>
          <w:sz w:val="24"/>
          <w:szCs w:val="24"/>
          <w:lang w:val="en-GB"/>
        </w:rPr>
        <w:t xml:space="preserve">serving </w:t>
      </w:r>
      <w:r w:rsidR="00903D5E" w:rsidRPr="002C39C8">
        <w:rPr>
          <w:sz w:val="24"/>
          <w:szCs w:val="24"/>
          <w:lang w:val="en-GB"/>
        </w:rPr>
        <w:t xml:space="preserve">insignificant </w:t>
      </w:r>
      <w:r w:rsidR="001A19E2">
        <w:rPr>
          <w:sz w:val="24"/>
          <w:szCs w:val="24"/>
          <w:lang w:val="en-GB"/>
        </w:rPr>
        <w:t>number of active subscribers</w:t>
      </w:r>
      <w:r w:rsidR="00903D5E" w:rsidRPr="002C39C8">
        <w:rPr>
          <w:sz w:val="24"/>
          <w:szCs w:val="24"/>
          <w:lang w:val="en-GB"/>
        </w:rPr>
        <w:t xml:space="preserve">. The number of settlements where </w:t>
      </w:r>
      <w:r w:rsidRPr="002C39C8">
        <w:rPr>
          <w:sz w:val="24"/>
          <w:szCs w:val="24"/>
          <w:lang w:val="en-GB"/>
        </w:rPr>
        <w:t xml:space="preserve">collectively these </w:t>
      </w:r>
      <w:r w:rsidR="00903D5E" w:rsidRPr="002C39C8">
        <w:rPr>
          <w:sz w:val="24"/>
          <w:szCs w:val="24"/>
          <w:lang w:val="en-GB"/>
        </w:rPr>
        <w:t>small operator</w:t>
      </w:r>
      <w:r w:rsidRPr="002C39C8">
        <w:rPr>
          <w:sz w:val="24"/>
          <w:szCs w:val="24"/>
          <w:lang w:val="en-GB"/>
        </w:rPr>
        <w:t>s</w:t>
      </w:r>
      <w:r w:rsidR="00903D5E" w:rsidRPr="002C39C8">
        <w:rPr>
          <w:sz w:val="24"/>
          <w:szCs w:val="24"/>
          <w:lang w:val="en-GB"/>
        </w:rPr>
        <w:t xml:space="preserve"> are present</w:t>
      </w:r>
      <w:r w:rsidRPr="002C39C8">
        <w:rPr>
          <w:sz w:val="24"/>
          <w:szCs w:val="24"/>
          <w:lang w:val="en-GB"/>
        </w:rPr>
        <w:t xml:space="preserve"> </w:t>
      </w:r>
      <w:r w:rsidR="00903D5E" w:rsidRPr="002C39C8">
        <w:rPr>
          <w:sz w:val="24"/>
          <w:szCs w:val="24"/>
          <w:lang w:val="en-GB"/>
        </w:rPr>
        <w:t xml:space="preserve">is higher </w:t>
      </w:r>
      <w:r w:rsidRPr="002C39C8">
        <w:rPr>
          <w:sz w:val="24"/>
          <w:szCs w:val="24"/>
          <w:lang w:val="en-GB"/>
        </w:rPr>
        <w:t>than the number of settlements</w:t>
      </w:r>
      <w:r w:rsidR="00903D5E" w:rsidRPr="002C39C8">
        <w:rPr>
          <w:sz w:val="24"/>
          <w:szCs w:val="24"/>
          <w:lang w:val="en-GB"/>
        </w:rPr>
        <w:t xml:space="preserve"> covered by Syktel and is lower only compared to Magticom. The total number of </w:t>
      </w:r>
      <w:r w:rsidR="00F026B4">
        <w:rPr>
          <w:sz w:val="24"/>
          <w:szCs w:val="24"/>
          <w:lang w:val="en-GB"/>
        </w:rPr>
        <w:t>FTTx</w:t>
      </w:r>
      <w:r w:rsidR="00903D5E" w:rsidRPr="002C39C8">
        <w:rPr>
          <w:sz w:val="24"/>
          <w:szCs w:val="24"/>
          <w:lang w:val="en-GB"/>
        </w:rPr>
        <w:t xml:space="preserve"> subscribers is lower compared to </w:t>
      </w:r>
      <w:r w:rsidR="001A02CA">
        <w:rPr>
          <w:sz w:val="24"/>
          <w:szCs w:val="24"/>
          <w:lang w:val="en-GB"/>
        </w:rPr>
        <w:t>Akhali</w:t>
      </w:r>
      <w:r w:rsidR="001D094F">
        <w:rPr>
          <w:sz w:val="24"/>
          <w:szCs w:val="24"/>
          <w:lang w:val="en-GB"/>
        </w:rPr>
        <w:t xml:space="preserve"> </w:t>
      </w:r>
      <w:r w:rsidR="001A02CA">
        <w:rPr>
          <w:sz w:val="24"/>
          <w:szCs w:val="24"/>
          <w:lang w:val="en-GB"/>
        </w:rPr>
        <w:t>Kselebi</w:t>
      </w:r>
      <w:r w:rsidRPr="002C39C8">
        <w:rPr>
          <w:sz w:val="24"/>
          <w:szCs w:val="24"/>
          <w:lang w:val="en-GB"/>
        </w:rPr>
        <w:t>,</w:t>
      </w:r>
      <w:r w:rsidR="00903D5E" w:rsidRPr="002C39C8">
        <w:rPr>
          <w:sz w:val="24"/>
          <w:szCs w:val="24"/>
          <w:lang w:val="en-GB"/>
        </w:rPr>
        <w:t xml:space="preserve"> but higher than Skytel.</w:t>
      </w:r>
    </w:p>
    <w:p w14:paraId="2F35DE54" w14:textId="476EB1F7" w:rsidR="00903D5E" w:rsidRPr="00DD7A45" w:rsidRDefault="00903D5E" w:rsidP="00903D5E">
      <w:pPr>
        <w:pStyle w:val="Caption"/>
        <w:jc w:val="center"/>
        <w:rPr>
          <w:rFonts w:cs="Arial"/>
          <w:b/>
          <w:sz w:val="24"/>
          <w:szCs w:val="24"/>
          <w:lang w:val="en-GB"/>
        </w:rPr>
      </w:pPr>
      <w:bookmarkStart w:id="393" w:name="_Toc152931436"/>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85</w:t>
      </w:r>
      <w:r w:rsidRPr="00BC1ABD">
        <w:rPr>
          <w:lang w:val="en-GB"/>
        </w:rPr>
        <w:fldChar w:fldCharType="end"/>
      </w:r>
      <w:r w:rsidRPr="00BC1ABD">
        <w:rPr>
          <w:lang w:val="en-GB"/>
        </w:rPr>
        <w:t xml:space="preserve">: </w:t>
      </w:r>
      <w:r>
        <w:rPr>
          <w:lang w:val="en-GB"/>
        </w:rPr>
        <w:t xml:space="preserve">Table of </w:t>
      </w:r>
      <w:r w:rsidR="00797E4F">
        <w:rPr>
          <w:lang w:val="en-GB"/>
        </w:rPr>
        <w:t>other operator</w:t>
      </w:r>
      <w:r>
        <w:rPr>
          <w:lang w:val="en-GB"/>
        </w:rPr>
        <w:t xml:space="preserve"> coverage</w:t>
      </w:r>
      <w:r w:rsidR="00EA50C5">
        <w:rPr>
          <w:lang w:val="en-GB"/>
        </w:rPr>
        <w:t xml:space="preserve"> and take-up (</w:t>
      </w:r>
      <w:r w:rsidR="00F026B4">
        <w:rPr>
          <w:lang w:val="en-GB"/>
        </w:rPr>
        <w:t>FTTx</w:t>
      </w:r>
      <w:r w:rsidR="00EA50C5">
        <w:rPr>
          <w:lang w:val="en-GB"/>
        </w:rPr>
        <w:t>)</w:t>
      </w:r>
      <w:bookmarkEnd w:id="393"/>
    </w:p>
    <w:tbl>
      <w:tblPr>
        <w:tblW w:w="12328" w:type="dxa"/>
        <w:jc w:val="center"/>
        <w:tblCellMar>
          <w:left w:w="70" w:type="dxa"/>
          <w:right w:w="70" w:type="dxa"/>
        </w:tblCellMar>
        <w:tblLook w:val="04A0" w:firstRow="1" w:lastRow="0" w:firstColumn="1" w:lastColumn="0" w:noHBand="0" w:noVBand="1"/>
      </w:tblPr>
      <w:tblGrid>
        <w:gridCol w:w="3681"/>
        <w:gridCol w:w="1899"/>
        <w:gridCol w:w="1440"/>
        <w:gridCol w:w="940"/>
        <w:gridCol w:w="1141"/>
        <w:gridCol w:w="1365"/>
        <w:gridCol w:w="1862"/>
      </w:tblGrid>
      <w:tr w:rsidR="00903D5E" w:rsidRPr="00712007" w14:paraId="76DA9D66" w14:textId="77777777" w:rsidTr="006C273F">
        <w:trPr>
          <w:trHeight w:val="330"/>
          <w:jc w:val="center"/>
        </w:trPr>
        <w:tc>
          <w:tcPr>
            <w:tcW w:w="3681" w:type="dxa"/>
            <w:tcBorders>
              <w:top w:val="single" w:sz="12" w:space="0" w:color="auto"/>
              <w:left w:val="single" w:sz="4" w:space="0" w:color="auto"/>
              <w:bottom w:val="single" w:sz="12" w:space="0" w:color="auto"/>
              <w:right w:val="single" w:sz="4" w:space="0" w:color="auto"/>
            </w:tcBorders>
            <w:shd w:val="clear" w:color="000000" w:fill="00B0F0"/>
            <w:noWrap/>
            <w:vAlign w:val="bottom"/>
            <w:hideMark/>
          </w:tcPr>
          <w:p w14:paraId="409EFE74"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 </w:t>
            </w:r>
          </w:p>
        </w:tc>
        <w:tc>
          <w:tcPr>
            <w:tcW w:w="1899" w:type="dxa"/>
            <w:tcBorders>
              <w:top w:val="single" w:sz="12" w:space="0" w:color="auto"/>
              <w:left w:val="nil"/>
              <w:bottom w:val="single" w:sz="12" w:space="0" w:color="auto"/>
              <w:right w:val="single" w:sz="4" w:space="0" w:color="auto"/>
            </w:tcBorders>
            <w:shd w:val="clear" w:color="000000" w:fill="00B0F0"/>
            <w:noWrap/>
            <w:vAlign w:val="bottom"/>
            <w:hideMark/>
          </w:tcPr>
          <w:p w14:paraId="2E947BFD"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No of settlements</w:t>
            </w:r>
          </w:p>
        </w:tc>
        <w:tc>
          <w:tcPr>
            <w:tcW w:w="1440" w:type="dxa"/>
            <w:tcBorders>
              <w:top w:val="single" w:sz="12" w:space="0" w:color="auto"/>
              <w:left w:val="nil"/>
              <w:bottom w:val="single" w:sz="12" w:space="0" w:color="auto"/>
              <w:right w:val="single" w:sz="4" w:space="0" w:color="auto"/>
            </w:tcBorders>
            <w:shd w:val="clear" w:color="000000" w:fill="00B0F0"/>
            <w:noWrap/>
            <w:vAlign w:val="bottom"/>
            <w:hideMark/>
          </w:tcPr>
          <w:p w14:paraId="11655634"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Households</w:t>
            </w:r>
          </w:p>
        </w:tc>
        <w:tc>
          <w:tcPr>
            <w:tcW w:w="940" w:type="dxa"/>
            <w:tcBorders>
              <w:top w:val="single" w:sz="12" w:space="0" w:color="auto"/>
              <w:left w:val="nil"/>
              <w:bottom w:val="single" w:sz="12" w:space="0" w:color="auto"/>
              <w:right w:val="single" w:sz="4" w:space="0" w:color="auto"/>
            </w:tcBorders>
            <w:shd w:val="clear" w:color="000000" w:fill="00B0F0"/>
            <w:noWrap/>
            <w:vAlign w:val="bottom"/>
            <w:hideMark/>
          </w:tcPr>
          <w:p w14:paraId="77A8D2B1"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 of HH</w:t>
            </w:r>
          </w:p>
        </w:tc>
        <w:tc>
          <w:tcPr>
            <w:tcW w:w="1141" w:type="dxa"/>
            <w:tcBorders>
              <w:top w:val="single" w:sz="12" w:space="0" w:color="auto"/>
              <w:left w:val="nil"/>
              <w:bottom w:val="single" w:sz="12" w:space="0" w:color="auto"/>
              <w:right w:val="single" w:sz="4" w:space="0" w:color="auto"/>
            </w:tcBorders>
            <w:shd w:val="clear" w:color="000000" w:fill="00B0F0"/>
            <w:noWrap/>
            <w:vAlign w:val="bottom"/>
            <w:hideMark/>
          </w:tcPr>
          <w:p w14:paraId="22A7CD49"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Population</w:t>
            </w:r>
          </w:p>
        </w:tc>
        <w:tc>
          <w:tcPr>
            <w:tcW w:w="1365" w:type="dxa"/>
            <w:tcBorders>
              <w:top w:val="single" w:sz="12" w:space="0" w:color="auto"/>
              <w:left w:val="nil"/>
              <w:bottom w:val="single" w:sz="12" w:space="0" w:color="auto"/>
              <w:right w:val="single" w:sz="4" w:space="0" w:color="auto"/>
            </w:tcBorders>
            <w:shd w:val="clear" w:color="000000" w:fill="00B0F0"/>
            <w:noWrap/>
            <w:vAlign w:val="bottom"/>
            <w:hideMark/>
          </w:tcPr>
          <w:p w14:paraId="1A7B1C19" w14:textId="77777777" w:rsidR="00903D5E" w:rsidRPr="00712007" w:rsidRDefault="00903D5E" w:rsidP="006C273F">
            <w:pPr>
              <w:spacing w:after="0" w:line="240" w:lineRule="auto"/>
              <w:rPr>
                <w:rFonts w:eastAsia="Times New Roman" w:cs="Calibri"/>
                <w:b/>
                <w:bCs/>
                <w:color w:val="000000"/>
                <w:lang w:val="sl-SI" w:eastAsia="sl-SI"/>
              </w:rPr>
            </w:pPr>
            <w:r w:rsidRPr="00712007">
              <w:rPr>
                <w:rFonts w:eastAsia="Times New Roman" w:cs="Calibri"/>
                <w:b/>
                <w:bCs/>
                <w:color w:val="000000"/>
                <w:lang w:val="sl-SI" w:eastAsia="sl-SI"/>
              </w:rPr>
              <w:t>Subscriptions</w:t>
            </w:r>
          </w:p>
        </w:tc>
        <w:tc>
          <w:tcPr>
            <w:tcW w:w="1862" w:type="dxa"/>
            <w:tcBorders>
              <w:top w:val="single" w:sz="12" w:space="0" w:color="auto"/>
              <w:left w:val="nil"/>
              <w:bottom w:val="single" w:sz="12" w:space="0" w:color="auto"/>
              <w:right w:val="single" w:sz="12" w:space="0" w:color="auto"/>
            </w:tcBorders>
            <w:shd w:val="clear" w:color="000000" w:fill="00B0F0"/>
            <w:noWrap/>
            <w:vAlign w:val="bottom"/>
            <w:hideMark/>
          </w:tcPr>
          <w:p w14:paraId="7FF1B5DB" w14:textId="2660827C" w:rsidR="00903D5E" w:rsidRPr="00712007" w:rsidRDefault="009C1E1C" w:rsidP="006C273F">
            <w:pPr>
              <w:spacing w:after="0" w:line="240" w:lineRule="auto"/>
              <w:rPr>
                <w:rFonts w:eastAsia="Times New Roman" w:cs="Calibri"/>
                <w:b/>
                <w:bCs/>
                <w:color w:val="000000"/>
                <w:lang w:val="sl-SI" w:eastAsia="sl-SI"/>
              </w:rPr>
            </w:pPr>
            <w:r>
              <w:rPr>
                <w:rFonts w:eastAsia="Times New Roman" w:cs="Calibri"/>
                <w:b/>
                <w:bCs/>
                <w:color w:val="000000"/>
                <w:lang w:val="sl-SI" w:eastAsia="sl-SI"/>
              </w:rPr>
              <w:t>Premises</w:t>
            </w:r>
            <w:r w:rsidRPr="00712007">
              <w:rPr>
                <w:rFonts w:eastAsia="Times New Roman" w:cs="Calibri"/>
                <w:b/>
                <w:bCs/>
                <w:color w:val="000000"/>
                <w:lang w:val="sl-SI" w:eastAsia="sl-SI"/>
              </w:rPr>
              <w:t xml:space="preserve"> </w:t>
            </w:r>
            <w:r w:rsidR="00903D5E" w:rsidRPr="00712007">
              <w:rPr>
                <w:rFonts w:eastAsia="Times New Roman" w:cs="Calibri"/>
                <w:b/>
                <w:bCs/>
                <w:color w:val="000000"/>
                <w:lang w:val="sl-SI" w:eastAsia="sl-SI"/>
              </w:rPr>
              <w:t>passed</w:t>
            </w:r>
            <w:r w:rsidR="00903D5E">
              <w:rPr>
                <w:rStyle w:val="FootnoteReference"/>
                <w:rFonts w:eastAsia="Times New Roman" w:cs="Calibri"/>
                <w:b/>
                <w:bCs/>
                <w:color w:val="000000"/>
                <w:lang w:val="sl-SI" w:eastAsia="sl-SI"/>
              </w:rPr>
              <w:footnoteReference w:id="116"/>
            </w:r>
          </w:p>
        </w:tc>
      </w:tr>
      <w:tr w:rsidR="00903D5E" w:rsidRPr="00712007" w14:paraId="05CC7D6F" w14:textId="77777777" w:rsidTr="006C273F">
        <w:trPr>
          <w:trHeight w:val="315"/>
          <w:jc w:val="center"/>
        </w:trPr>
        <w:tc>
          <w:tcPr>
            <w:tcW w:w="3681" w:type="dxa"/>
            <w:tcBorders>
              <w:top w:val="nil"/>
              <w:left w:val="single" w:sz="4" w:space="0" w:color="auto"/>
              <w:bottom w:val="single" w:sz="4" w:space="0" w:color="auto"/>
              <w:right w:val="single" w:sz="4" w:space="0" w:color="auto"/>
            </w:tcBorders>
            <w:shd w:val="clear" w:color="000000" w:fill="FFFFCC"/>
            <w:noWrap/>
            <w:vAlign w:val="bottom"/>
            <w:hideMark/>
          </w:tcPr>
          <w:p w14:paraId="3BD54239"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Other operators present</w:t>
            </w:r>
          </w:p>
        </w:tc>
        <w:tc>
          <w:tcPr>
            <w:tcW w:w="1899" w:type="dxa"/>
            <w:tcBorders>
              <w:top w:val="nil"/>
              <w:left w:val="nil"/>
              <w:bottom w:val="single" w:sz="4" w:space="0" w:color="auto"/>
              <w:right w:val="single" w:sz="4" w:space="0" w:color="auto"/>
            </w:tcBorders>
            <w:shd w:val="clear" w:color="000000" w:fill="FFFFCC"/>
            <w:noWrap/>
            <w:vAlign w:val="bottom"/>
            <w:hideMark/>
          </w:tcPr>
          <w:p w14:paraId="7F5A5B65"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385</w:t>
            </w:r>
          </w:p>
        </w:tc>
        <w:tc>
          <w:tcPr>
            <w:tcW w:w="1440" w:type="dxa"/>
            <w:tcBorders>
              <w:top w:val="nil"/>
              <w:left w:val="nil"/>
              <w:bottom w:val="single" w:sz="4" w:space="0" w:color="auto"/>
              <w:right w:val="single" w:sz="4" w:space="0" w:color="auto"/>
            </w:tcBorders>
            <w:shd w:val="clear" w:color="000000" w:fill="FFFFCC"/>
            <w:noWrap/>
            <w:vAlign w:val="bottom"/>
            <w:hideMark/>
          </w:tcPr>
          <w:p w14:paraId="487137F6"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812</w:t>
            </w:r>
            <w:r>
              <w:rPr>
                <w:rFonts w:eastAsia="Times New Roman" w:cs="Calibri"/>
                <w:color w:val="000000"/>
                <w:lang w:val="sl-SI" w:eastAsia="sl-SI"/>
              </w:rPr>
              <w:t>,</w:t>
            </w:r>
            <w:r w:rsidRPr="00712007">
              <w:rPr>
                <w:rFonts w:eastAsia="Times New Roman" w:cs="Calibri"/>
                <w:color w:val="000000"/>
                <w:lang w:val="sl-SI" w:eastAsia="sl-SI"/>
              </w:rPr>
              <w:t>816</w:t>
            </w:r>
          </w:p>
        </w:tc>
        <w:tc>
          <w:tcPr>
            <w:tcW w:w="940" w:type="dxa"/>
            <w:tcBorders>
              <w:top w:val="nil"/>
              <w:left w:val="nil"/>
              <w:bottom w:val="single" w:sz="4" w:space="0" w:color="auto"/>
              <w:right w:val="single" w:sz="4" w:space="0" w:color="auto"/>
            </w:tcBorders>
            <w:shd w:val="clear" w:color="000000" w:fill="FFFFCC"/>
            <w:noWrap/>
            <w:vAlign w:val="bottom"/>
            <w:hideMark/>
          </w:tcPr>
          <w:p w14:paraId="3A7CC563" w14:textId="77777777" w:rsidR="00903D5E" w:rsidRPr="0071200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64.</w:t>
            </w:r>
            <w:r w:rsidRPr="00712007">
              <w:rPr>
                <w:rFonts w:eastAsia="Times New Roman" w:cs="Calibri"/>
                <w:color w:val="000000"/>
                <w:lang w:val="sl-SI" w:eastAsia="sl-SI"/>
              </w:rPr>
              <w:t>9</w:t>
            </w:r>
          </w:p>
        </w:tc>
        <w:tc>
          <w:tcPr>
            <w:tcW w:w="1141" w:type="dxa"/>
            <w:tcBorders>
              <w:top w:val="nil"/>
              <w:left w:val="nil"/>
              <w:bottom w:val="single" w:sz="4" w:space="0" w:color="auto"/>
              <w:right w:val="single" w:sz="4" w:space="0" w:color="auto"/>
            </w:tcBorders>
            <w:shd w:val="clear" w:color="000000" w:fill="FFFFCC"/>
            <w:noWrap/>
            <w:vAlign w:val="bottom"/>
            <w:hideMark/>
          </w:tcPr>
          <w:p w14:paraId="5FAD4BD1"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2</w:t>
            </w:r>
            <w:r>
              <w:rPr>
                <w:rFonts w:eastAsia="Times New Roman" w:cs="Calibri"/>
                <w:color w:val="000000"/>
                <w:lang w:val="sl-SI" w:eastAsia="sl-SI"/>
              </w:rPr>
              <w:t>,</w:t>
            </w:r>
            <w:r w:rsidRPr="00712007">
              <w:rPr>
                <w:rFonts w:eastAsia="Times New Roman" w:cs="Calibri"/>
                <w:color w:val="000000"/>
                <w:lang w:val="sl-SI" w:eastAsia="sl-SI"/>
              </w:rPr>
              <w:t>222</w:t>
            </w:r>
            <w:r>
              <w:rPr>
                <w:rFonts w:eastAsia="Times New Roman" w:cs="Calibri"/>
                <w:color w:val="000000"/>
                <w:lang w:val="sl-SI" w:eastAsia="sl-SI"/>
              </w:rPr>
              <w:t>,</w:t>
            </w:r>
            <w:r w:rsidRPr="00712007">
              <w:rPr>
                <w:rFonts w:eastAsia="Times New Roman" w:cs="Calibri"/>
                <w:color w:val="000000"/>
                <w:lang w:val="sl-SI" w:eastAsia="sl-SI"/>
              </w:rPr>
              <w:t>215</w:t>
            </w:r>
          </w:p>
        </w:tc>
        <w:tc>
          <w:tcPr>
            <w:tcW w:w="1365" w:type="dxa"/>
            <w:tcBorders>
              <w:top w:val="nil"/>
              <w:left w:val="nil"/>
              <w:bottom w:val="single" w:sz="4" w:space="0" w:color="auto"/>
              <w:right w:val="single" w:sz="4" w:space="0" w:color="auto"/>
            </w:tcBorders>
            <w:shd w:val="clear" w:color="000000" w:fill="FFFFCC"/>
            <w:noWrap/>
            <w:vAlign w:val="bottom"/>
            <w:hideMark/>
          </w:tcPr>
          <w:p w14:paraId="16427D80"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40</w:t>
            </w:r>
            <w:r>
              <w:rPr>
                <w:rFonts w:eastAsia="Times New Roman" w:cs="Calibri"/>
                <w:color w:val="000000"/>
                <w:lang w:val="sl-SI" w:eastAsia="sl-SI"/>
              </w:rPr>
              <w:t>,</w:t>
            </w:r>
            <w:r w:rsidRPr="00712007">
              <w:rPr>
                <w:rFonts w:eastAsia="Times New Roman" w:cs="Calibri"/>
                <w:color w:val="000000"/>
                <w:lang w:val="sl-SI" w:eastAsia="sl-SI"/>
              </w:rPr>
              <w:t>530</w:t>
            </w:r>
          </w:p>
        </w:tc>
        <w:tc>
          <w:tcPr>
            <w:tcW w:w="1862" w:type="dxa"/>
            <w:tcBorders>
              <w:top w:val="nil"/>
              <w:left w:val="nil"/>
              <w:bottom w:val="single" w:sz="4" w:space="0" w:color="auto"/>
              <w:right w:val="single" w:sz="4" w:space="0" w:color="auto"/>
            </w:tcBorders>
            <w:shd w:val="clear" w:color="000000" w:fill="FFFFCC"/>
            <w:noWrap/>
            <w:vAlign w:val="bottom"/>
            <w:hideMark/>
          </w:tcPr>
          <w:p w14:paraId="0FD5528C"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30</w:t>
            </w:r>
            <w:r>
              <w:rPr>
                <w:rFonts w:eastAsia="Times New Roman" w:cs="Calibri"/>
                <w:color w:val="000000"/>
                <w:lang w:val="sl-SI" w:eastAsia="sl-SI"/>
              </w:rPr>
              <w:t>,</w:t>
            </w:r>
            <w:r w:rsidRPr="00712007">
              <w:rPr>
                <w:rFonts w:eastAsia="Times New Roman" w:cs="Calibri"/>
                <w:color w:val="000000"/>
                <w:lang w:val="sl-SI" w:eastAsia="sl-SI"/>
              </w:rPr>
              <w:t>186</w:t>
            </w:r>
          </w:p>
        </w:tc>
      </w:tr>
      <w:tr w:rsidR="00903D5E" w:rsidRPr="00712007" w14:paraId="51BE0CC3" w14:textId="77777777" w:rsidTr="006C273F">
        <w:trPr>
          <w:trHeight w:val="300"/>
          <w:jc w:val="center"/>
        </w:trPr>
        <w:tc>
          <w:tcPr>
            <w:tcW w:w="3681" w:type="dxa"/>
            <w:tcBorders>
              <w:top w:val="nil"/>
              <w:left w:val="single" w:sz="4" w:space="0" w:color="auto"/>
              <w:bottom w:val="single" w:sz="4" w:space="0" w:color="auto"/>
              <w:right w:val="single" w:sz="4" w:space="0" w:color="auto"/>
            </w:tcBorders>
            <w:shd w:val="clear" w:color="000000" w:fill="FFFFCC"/>
            <w:noWrap/>
            <w:vAlign w:val="bottom"/>
            <w:hideMark/>
          </w:tcPr>
          <w:p w14:paraId="10F4C420"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Other operators share more than 40%</w:t>
            </w:r>
          </w:p>
        </w:tc>
        <w:tc>
          <w:tcPr>
            <w:tcW w:w="1899" w:type="dxa"/>
            <w:tcBorders>
              <w:top w:val="nil"/>
              <w:left w:val="nil"/>
              <w:bottom w:val="single" w:sz="4" w:space="0" w:color="auto"/>
              <w:right w:val="single" w:sz="4" w:space="0" w:color="auto"/>
            </w:tcBorders>
            <w:shd w:val="clear" w:color="000000" w:fill="FFFFCC"/>
            <w:noWrap/>
            <w:vAlign w:val="bottom"/>
            <w:hideMark/>
          </w:tcPr>
          <w:p w14:paraId="1914A6F7"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314</w:t>
            </w:r>
          </w:p>
        </w:tc>
        <w:tc>
          <w:tcPr>
            <w:tcW w:w="1440" w:type="dxa"/>
            <w:tcBorders>
              <w:top w:val="nil"/>
              <w:left w:val="nil"/>
              <w:bottom w:val="single" w:sz="4" w:space="0" w:color="auto"/>
              <w:right w:val="single" w:sz="4" w:space="0" w:color="auto"/>
            </w:tcBorders>
            <w:shd w:val="clear" w:color="000000" w:fill="FFFFCC"/>
            <w:noWrap/>
            <w:vAlign w:val="bottom"/>
            <w:hideMark/>
          </w:tcPr>
          <w:p w14:paraId="48561311"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57</w:t>
            </w:r>
            <w:r>
              <w:rPr>
                <w:rFonts w:eastAsia="Times New Roman" w:cs="Calibri"/>
                <w:color w:val="000000"/>
                <w:lang w:val="sl-SI" w:eastAsia="sl-SI"/>
              </w:rPr>
              <w:t>,</w:t>
            </w:r>
            <w:r w:rsidRPr="00712007">
              <w:rPr>
                <w:rFonts w:eastAsia="Times New Roman" w:cs="Calibri"/>
                <w:color w:val="000000"/>
                <w:lang w:val="sl-SI" w:eastAsia="sl-SI"/>
              </w:rPr>
              <w:t>282</w:t>
            </w:r>
          </w:p>
        </w:tc>
        <w:tc>
          <w:tcPr>
            <w:tcW w:w="940" w:type="dxa"/>
            <w:tcBorders>
              <w:top w:val="nil"/>
              <w:left w:val="nil"/>
              <w:bottom w:val="single" w:sz="4" w:space="0" w:color="auto"/>
              <w:right w:val="single" w:sz="4" w:space="0" w:color="auto"/>
            </w:tcBorders>
            <w:shd w:val="clear" w:color="000000" w:fill="FFFFCC"/>
            <w:noWrap/>
            <w:vAlign w:val="bottom"/>
            <w:hideMark/>
          </w:tcPr>
          <w:p w14:paraId="29265C01" w14:textId="77777777" w:rsidR="00903D5E" w:rsidRPr="0071200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4.</w:t>
            </w:r>
            <w:r w:rsidRPr="00712007">
              <w:rPr>
                <w:rFonts w:eastAsia="Times New Roman" w:cs="Calibri"/>
                <w:color w:val="000000"/>
                <w:lang w:val="sl-SI" w:eastAsia="sl-SI"/>
              </w:rPr>
              <w:t>6</w:t>
            </w:r>
          </w:p>
        </w:tc>
        <w:tc>
          <w:tcPr>
            <w:tcW w:w="1141" w:type="dxa"/>
            <w:tcBorders>
              <w:top w:val="nil"/>
              <w:left w:val="nil"/>
              <w:bottom w:val="single" w:sz="4" w:space="0" w:color="auto"/>
              <w:right w:val="single" w:sz="4" w:space="0" w:color="auto"/>
            </w:tcBorders>
            <w:shd w:val="clear" w:color="000000" w:fill="FFFFCC"/>
            <w:noWrap/>
            <w:vAlign w:val="bottom"/>
            <w:hideMark/>
          </w:tcPr>
          <w:p w14:paraId="3FA44A43"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209</w:t>
            </w:r>
            <w:r>
              <w:rPr>
                <w:rFonts w:eastAsia="Times New Roman" w:cs="Calibri"/>
                <w:color w:val="000000"/>
                <w:lang w:val="sl-SI" w:eastAsia="sl-SI"/>
              </w:rPr>
              <w:t>,</w:t>
            </w:r>
            <w:r w:rsidRPr="00712007">
              <w:rPr>
                <w:rFonts w:eastAsia="Times New Roman" w:cs="Calibri"/>
                <w:color w:val="000000"/>
                <w:lang w:val="sl-SI" w:eastAsia="sl-SI"/>
              </w:rPr>
              <w:t>407</w:t>
            </w:r>
          </w:p>
        </w:tc>
        <w:tc>
          <w:tcPr>
            <w:tcW w:w="1365" w:type="dxa"/>
            <w:tcBorders>
              <w:top w:val="nil"/>
              <w:left w:val="nil"/>
              <w:bottom w:val="single" w:sz="4" w:space="0" w:color="auto"/>
              <w:right w:val="single" w:sz="4" w:space="0" w:color="auto"/>
            </w:tcBorders>
            <w:shd w:val="clear" w:color="000000" w:fill="FFFFCC"/>
            <w:noWrap/>
            <w:vAlign w:val="bottom"/>
            <w:hideMark/>
          </w:tcPr>
          <w:p w14:paraId="1CC1B326"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3</w:t>
            </w:r>
            <w:r>
              <w:rPr>
                <w:rFonts w:eastAsia="Times New Roman" w:cs="Calibri"/>
                <w:color w:val="000000"/>
                <w:lang w:val="sl-SI" w:eastAsia="sl-SI"/>
              </w:rPr>
              <w:t>,</w:t>
            </w:r>
            <w:r w:rsidRPr="00712007">
              <w:rPr>
                <w:rFonts w:eastAsia="Times New Roman" w:cs="Calibri"/>
                <w:color w:val="000000"/>
                <w:lang w:val="sl-SI" w:eastAsia="sl-SI"/>
              </w:rPr>
              <w:t>059</w:t>
            </w:r>
          </w:p>
        </w:tc>
        <w:tc>
          <w:tcPr>
            <w:tcW w:w="1862" w:type="dxa"/>
            <w:tcBorders>
              <w:top w:val="nil"/>
              <w:left w:val="nil"/>
              <w:bottom w:val="single" w:sz="4" w:space="0" w:color="auto"/>
              <w:right w:val="single" w:sz="4" w:space="0" w:color="auto"/>
            </w:tcBorders>
            <w:shd w:val="clear" w:color="000000" w:fill="FFFFCC"/>
            <w:noWrap/>
            <w:vAlign w:val="bottom"/>
            <w:hideMark/>
          </w:tcPr>
          <w:p w14:paraId="4E02853B"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13</w:t>
            </w:r>
            <w:r>
              <w:rPr>
                <w:rFonts w:eastAsia="Times New Roman" w:cs="Calibri"/>
                <w:color w:val="000000"/>
                <w:lang w:val="sl-SI" w:eastAsia="sl-SI"/>
              </w:rPr>
              <w:t>,</w:t>
            </w:r>
            <w:r w:rsidRPr="00712007">
              <w:rPr>
                <w:rFonts w:eastAsia="Times New Roman" w:cs="Calibri"/>
                <w:color w:val="000000"/>
                <w:lang w:val="sl-SI" w:eastAsia="sl-SI"/>
              </w:rPr>
              <w:t>006</w:t>
            </w:r>
          </w:p>
        </w:tc>
      </w:tr>
      <w:tr w:rsidR="00903D5E" w:rsidRPr="00712007" w14:paraId="20C1A9D2" w14:textId="77777777" w:rsidTr="006C273F">
        <w:trPr>
          <w:trHeight w:val="300"/>
          <w:jc w:val="center"/>
        </w:trPr>
        <w:tc>
          <w:tcPr>
            <w:tcW w:w="3681" w:type="dxa"/>
            <w:tcBorders>
              <w:top w:val="nil"/>
              <w:left w:val="single" w:sz="4" w:space="0" w:color="auto"/>
              <w:bottom w:val="single" w:sz="4" w:space="0" w:color="auto"/>
              <w:right w:val="single" w:sz="4" w:space="0" w:color="auto"/>
            </w:tcBorders>
            <w:shd w:val="clear" w:color="000000" w:fill="FFFFCC"/>
            <w:noWrap/>
            <w:vAlign w:val="bottom"/>
            <w:hideMark/>
          </w:tcPr>
          <w:p w14:paraId="02FC7700" w14:textId="77777777" w:rsidR="00903D5E" w:rsidRPr="00712007" w:rsidRDefault="00903D5E" w:rsidP="006C273F">
            <w:pPr>
              <w:spacing w:after="0" w:line="240" w:lineRule="auto"/>
              <w:rPr>
                <w:rFonts w:eastAsia="Times New Roman" w:cs="Calibri"/>
                <w:color w:val="000000"/>
                <w:lang w:val="sl-SI" w:eastAsia="sl-SI"/>
              </w:rPr>
            </w:pPr>
            <w:r w:rsidRPr="00712007">
              <w:rPr>
                <w:rFonts w:eastAsia="Times New Roman" w:cs="Calibri"/>
                <w:color w:val="000000"/>
                <w:lang w:val="sl-SI" w:eastAsia="sl-SI"/>
              </w:rPr>
              <w:t>Only other operators present</w:t>
            </w:r>
          </w:p>
        </w:tc>
        <w:tc>
          <w:tcPr>
            <w:tcW w:w="1899" w:type="dxa"/>
            <w:tcBorders>
              <w:top w:val="nil"/>
              <w:left w:val="nil"/>
              <w:bottom w:val="single" w:sz="4" w:space="0" w:color="auto"/>
              <w:right w:val="single" w:sz="4" w:space="0" w:color="auto"/>
            </w:tcBorders>
            <w:shd w:val="clear" w:color="000000" w:fill="FFFFCC"/>
            <w:noWrap/>
            <w:vAlign w:val="bottom"/>
            <w:hideMark/>
          </w:tcPr>
          <w:p w14:paraId="2A6DEC87"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268</w:t>
            </w:r>
          </w:p>
        </w:tc>
        <w:tc>
          <w:tcPr>
            <w:tcW w:w="1440" w:type="dxa"/>
            <w:tcBorders>
              <w:top w:val="nil"/>
              <w:left w:val="nil"/>
              <w:bottom w:val="single" w:sz="4" w:space="0" w:color="auto"/>
              <w:right w:val="single" w:sz="4" w:space="0" w:color="auto"/>
            </w:tcBorders>
            <w:shd w:val="clear" w:color="000000" w:fill="FFFFCC"/>
            <w:noWrap/>
            <w:vAlign w:val="bottom"/>
            <w:hideMark/>
          </w:tcPr>
          <w:p w14:paraId="5617D35B"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39</w:t>
            </w:r>
            <w:r>
              <w:rPr>
                <w:rFonts w:eastAsia="Times New Roman" w:cs="Calibri"/>
                <w:color w:val="000000"/>
                <w:lang w:val="sl-SI" w:eastAsia="sl-SI"/>
              </w:rPr>
              <w:t>,</w:t>
            </w:r>
            <w:r w:rsidRPr="00712007">
              <w:rPr>
                <w:rFonts w:eastAsia="Times New Roman" w:cs="Calibri"/>
                <w:color w:val="000000"/>
                <w:lang w:val="sl-SI" w:eastAsia="sl-SI"/>
              </w:rPr>
              <w:t>123</w:t>
            </w:r>
          </w:p>
        </w:tc>
        <w:tc>
          <w:tcPr>
            <w:tcW w:w="940" w:type="dxa"/>
            <w:tcBorders>
              <w:top w:val="nil"/>
              <w:left w:val="nil"/>
              <w:bottom w:val="single" w:sz="4" w:space="0" w:color="auto"/>
              <w:right w:val="single" w:sz="4" w:space="0" w:color="auto"/>
            </w:tcBorders>
            <w:shd w:val="clear" w:color="000000" w:fill="FFFFCC"/>
            <w:noWrap/>
            <w:vAlign w:val="bottom"/>
            <w:hideMark/>
          </w:tcPr>
          <w:p w14:paraId="6B143282" w14:textId="77777777" w:rsidR="00903D5E" w:rsidRPr="00712007" w:rsidRDefault="00903D5E" w:rsidP="006C273F">
            <w:pPr>
              <w:spacing w:after="0" w:line="240" w:lineRule="auto"/>
              <w:jc w:val="right"/>
              <w:rPr>
                <w:rFonts w:eastAsia="Times New Roman" w:cs="Calibri"/>
                <w:color w:val="000000"/>
                <w:lang w:val="sl-SI" w:eastAsia="sl-SI"/>
              </w:rPr>
            </w:pPr>
            <w:r>
              <w:rPr>
                <w:rFonts w:eastAsia="Times New Roman" w:cs="Calibri"/>
                <w:color w:val="000000"/>
                <w:lang w:val="sl-SI" w:eastAsia="sl-SI"/>
              </w:rPr>
              <w:t>3.</w:t>
            </w:r>
            <w:r w:rsidRPr="00712007">
              <w:rPr>
                <w:rFonts w:eastAsia="Times New Roman" w:cs="Calibri"/>
                <w:color w:val="000000"/>
                <w:lang w:val="sl-SI" w:eastAsia="sl-SI"/>
              </w:rPr>
              <w:t>1</w:t>
            </w:r>
          </w:p>
        </w:tc>
        <w:tc>
          <w:tcPr>
            <w:tcW w:w="1141" w:type="dxa"/>
            <w:tcBorders>
              <w:top w:val="nil"/>
              <w:left w:val="nil"/>
              <w:bottom w:val="single" w:sz="4" w:space="0" w:color="auto"/>
              <w:right w:val="single" w:sz="4" w:space="0" w:color="auto"/>
            </w:tcBorders>
            <w:shd w:val="clear" w:color="000000" w:fill="FFFFCC"/>
            <w:noWrap/>
            <w:vAlign w:val="bottom"/>
            <w:hideMark/>
          </w:tcPr>
          <w:p w14:paraId="00E28703"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145</w:t>
            </w:r>
            <w:r>
              <w:rPr>
                <w:rFonts w:eastAsia="Times New Roman" w:cs="Calibri"/>
                <w:color w:val="000000"/>
                <w:lang w:val="sl-SI" w:eastAsia="sl-SI"/>
              </w:rPr>
              <w:t>,</w:t>
            </w:r>
            <w:r w:rsidRPr="00712007">
              <w:rPr>
                <w:rFonts w:eastAsia="Times New Roman" w:cs="Calibri"/>
                <w:color w:val="000000"/>
                <w:lang w:val="sl-SI" w:eastAsia="sl-SI"/>
              </w:rPr>
              <w:t>121</w:t>
            </w:r>
          </w:p>
        </w:tc>
        <w:tc>
          <w:tcPr>
            <w:tcW w:w="1365" w:type="dxa"/>
            <w:tcBorders>
              <w:top w:val="nil"/>
              <w:left w:val="nil"/>
              <w:bottom w:val="single" w:sz="4" w:space="0" w:color="auto"/>
              <w:right w:val="single" w:sz="4" w:space="0" w:color="auto"/>
            </w:tcBorders>
            <w:shd w:val="clear" w:color="000000" w:fill="FFFFCC"/>
            <w:noWrap/>
            <w:vAlign w:val="bottom"/>
            <w:hideMark/>
          </w:tcPr>
          <w:p w14:paraId="0D623338"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20</w:t>
            </w:r>
            <w:r>
              <w:rPr>
                <w:rFonts w:eastAsia="Times New Roman" w:cs="Calibri"/>
                <w:color w:val="000000"/>
                <w:lang w:val="sl-SI" w:eastAsia="sl-SI"/>
              </w:rPr>
              <w:t>,</w:t>
            </w:r>
            <w:r w:rsidRPr="00712007">
              <w:rPr>
                <w:rFonts w:eastAsia="Times New Roman" w:cs="Calibri"/>
                <w:color w:val="000000"/>
                <w:lang w:val="sl-SI" w:eastAsia="sl-SI"/>
              </w:rPr>
              <w:t>235</w:t>
            </w:r>
          </w:p>
        </w:tc>
        <w:tc>
          <w:tcPr>
            <w:tcW w:w="1862" w:type="dxa"/>
            <w:tcBorders>
              <w:top w:val="nil"/>
              <w:left w:val="nil"/>
              <w:bottom w:val="single" w:sz="4" w:space="0" w:color="auto"/>
              <w:right w:val="single" w:sz="4" w:space="0" w:color="auto"/>
            </w:tcBorders>
            <w:shd w:val="clear" w:color="000000" w:fill="FFFFCC"/>
            <w:noWrap/>
            <w:vAlign w:val="bottom"/>
            <w:hideMark/>
          </w:tcPr>
          <w:p w14:paraId="0B539682" w14:textId="77777777" w:rsidR="00903D5E" w:rsidRPr="00712007" w:rsidRDefault="00903D5E" w:rsidP="006C273F">
            <w:pPr>
              <w:spacing w:after="0" w:line="240" w:lineRule="auto"/>
              <w:jc w:val="right"/>
              <w:rPr>
                <w:rFonts w:eastAsia="Times New Roman" w:cs="Calibri"/>
                <w:color w:val="000000"/>
                <w:lang w:val="sl-SI" w:eastAsia="sl-SI"/>
              </w:rPr>
            </w:pPr>
            <w:r w:rsidRPr="00712007">
              <w:rPr>
                <w:rFonts w:eastAsia="Times New Roman" w:cs="Calibri"/>
                <w:color w:val="000000"/>
                <w:lang w:val="sl-SI" w:eastAsia="sl-SI"/>
              </w:rPr>
              <w:t>11</w:t>
            </w:r>
            <w:r>
              <w:rPr>
                <w:rFonts w:eastAsia="Times New Roman" w:cs="Calibri"/>
                <w:color w:val="000000"/>
                <w:lang w:val="sl-SI" w:eastAsia="sl-SI"/>
              </w:rPr>
              <w:t>,</w:t>
            </w:r>
            <w:r w:rsidRPr="00712007">
              <w:rPr>
                <w:rFonts w:eastAsia="Times New Roman" w:cs="Calibri"/>
                <w:color w:val="000000"/>
                <w:lang w:val="sl-SI" w:eastAsia="sl-SI"/>
              </w:rPr>
              <w:t>716</w:t>
            </w:r>
          </w:p>
        </w:tc>
      </w:tr>
    </w:tbl>
    <w:p w14:paraId="409C9C0B" w14:textId="77777777" w:rsidR="00903D5E" w:rsidRDefault="00903D5E" w:rsidP="00903D5E">
      <w:pPr>
        <w:jc w:val="center"/>
        <w:rPr>
          <w:lang w:val="en-GB"/>
        </w:rPr>
      </w:pPr>
      <w:r>
        <w:rPr>
          <w:rFonts w:cs="Arial"/>
          <w:sz w:val="20"/>
          <w:szCs w:val="20"/>
          <w:lang w:val="en-GB"/>
        </w:rPr>
        <w:t xml:space="preserve">Source: </w:t>
      </w:r>
      <w:r w:rsidRPr="00BC1ABD">
        <w:rPr>
          <w:rFonts w:cs="Arial"/>
          <w:sz w:val="20"/>
          <w:szCs w:val="20"/>
          <w:lang w:val="en-GB"/>
        </w:rPr>
        <w:t>Answers to the Questionnaire on coverage and ComCom data</w:t>
      </w:r>
    </w:p>
    <w:p w14:paraId="531B1D69" w14:textId="77777777" w:rsidR="00903D5E" w:rsidRDefault="00903D5E" w:rsidP="00903D5E">
      <w:pPr>
        <w:jc w:val="both"/>
        <w:rPr>
          <w:lang w:val="en-GB"/>
        </w:rPr>
      </w:pPr>
    </w:p>
    <w:p w14:paraId="52442B59" w14:textId="77777777" w:rsidR="00903D5E" w:rsidRDefault="00903D5E" w:rsidP="00903D5E">
      <w:pPr>
        <w:jc w:val="both"/>
        <w:rPr>
          <w:lang w:val="en-GB"/>
        </w:rPr>
      </w:pPr>
    </w:p>
    <w:p w14:paraId="1C3FC5E2" w14:textId="77777777" w:rsidR="00903D5E" w:rsidRDefault="00903D5E" w:rsidP="00903D5E">
      <w:pPr>
        <w:jc w:val="both"/>
        <w:rPr>
          <w:lang w:val="en-GB"/>
        </w:rPr>
      </w:pPr>
    </w:p>
    <w:p w14:paraId="55972CB1" w14:textId="77777777" w:rsidR="00903D5E" w:rsidRDefault="00903D5E" w:rsidP="00903D5E">
      <w:pPr>
        <w:jc w:val="both"/>
        <w:rPr>
          <w:lang w:val="en-GB"/>
        </w:rPr>
      </w:pPr>
    </w:p>
    <w:p w14:paraId="239A67FB" w14:textId="77777777" w:rsidR="00903D5E" w:rsidRDefault="00903D5E" w:rsidP="00903D5E">
      <w:pPr>
        <w:jc w:val="both"/>
        <w:rPr>
          <w:lang w:val="en-GB"/>
        </w:rPr>
      </w:pPr>
    </w:p>
    <w:p w14:paraId="7593CE50" w14:textId="627D8BDE" w:rsidR="00903D5E" w:rsidRDefault="00903D5E" w:rsidP="00903D5E">
      <w:pPr>
        <w:pStyle w:val="Caption"/>
        <w:jc w:val="center"/>
        <w:rPr>
          <w:rFonts w:cs="Arial"/>
          <w:sz w:val="20"/>
          <w:szCs w:val="20"/>
          <w:lang w:val="en-GB"/>
        </w:rPr>
      </w:pPr>
      <w:bookmarkStart w:id="394" w:name="_Toc152931437"/>
      <w:r w:rsidRPr="00BC1ABD">
        <w:rPr>
          <w:lang w:val="en-GB"/>
        </w:rPr>
        <w:t xml:space="preserve">Figure </w:t>
      </w:r>
      <w:r w:rsidRPr="00BC1ABD">
        <w:rPr>
          <w:lang w:val="en-GB"/>
        </w:rPr>
        <w:fldChar w:fldCharType="begin"/>
      </w:r>
      <w:r w:rsidRPr="00BC1ABD">
        <w:rPr>
          <w:lang w:val="en-GB"/>
        </w:rPr>
        <w:instrText xml:space="preserve"> SEQ Figure \* ARABIC </w:instrText>
      </w:r>
      <w:r w:rsidRPr="00BC1ABD">
        <w:rPr>
          <w:lang w:val="en-GB"/>
        </w:rPr>
        <w:fldChar w:fldCharType="separate"/>
      </w:r>
      <w:r w:rsidR="00ED2C35">
        <w:rPr>
          <w:noProof/>
          <w:lang w:val="en-GB"/>
        </w:rPr>
        <w:t>86</w:t>
      </w:r>
      <w:r w:rsidRPr="00BC1ABD">
        <w:rPr>
          <w:lang w:val="en-GB"/>
        </w:rPr>
        <w:fldChar w:fldCharType="end"/>
      </w:r>
      <w:r w:rsidRPr="00BC1ABD">
        <w:rPr>
          <w:lang w:val="en-GB"/>
        </w:rPr>
        <w:t xml:space="preserve">: </w:t>
      </w:r>
      <w:r>
        <w:rPr>
          <w:lang w:val="en-GB"/>
        </w:rPr>
        <w:t xml:space="preserve">Coverage </w:t>
      </w:r>
      <w:r w:rsidR="00EA50C5">
        <w:rPr>
          <w:lang w:val="en-GB"/>
        </w:rPr>
        <w:t xml:space="preserve">and take-up </w:t>
      </w:r>
      <w:r>
        <w:rPr>
          <w:lang w:val="en-GB"/>
        </w:rPr>
        <w:t>map of other operators</w:t>
      </w:r>
      <w:r w:rsidR="00EA50C5">
        <w:rPr>
          <w:lang w:val="en-GB"/>
        </w:rPr>
        <w:t xml:space="preserve"> (</w:t>
      </w:r>
      <w:r w:rsidR="00F026B4">
        <w:rPr>
          <w:lang w:val="en-GB"/>
        </w:rPr>
        <w:t>FTTx</w:t>
      </w:r>
      <w:r w:rsidR="00EA50C5">
        <w:rPr>
          <w:lang w:val="en-GB"/>
        </w:rPr>
        <w:t>)</w:t>
      </w:r>
      <w:r w:rsidRPr="006802D9">
        <w:rPr>
          <w:noProof/>
          <w:lang w:eastAsia="sl-SI"/>
        </w:rPr>
        <w:t xml:space="preserve"> </w:t>
      </w:r>
      <w:r w:rsidRPr="006802D9">
        <w:rPr>
          <w:noProof/>
          <w:lang w:eastAsia="sl-SI"/>
        </w:rPr>
        <w:drawing>
          <wp:inline distT="0" distB="0" distL="0" distR="0" wp14:anchorId="3D41205C" wp14:editId="5B134779">
            <wp:extent cx="8848725" cy="5314280"/>
            <wp:effectExtent l="0" t="0" r="0" b="12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861976" cy="5322238"/>
                    </a:xfrm>
                    <a:prstGeom prst="rect">
                      <a:avLst/>
                    </a:prstGeom>
                  </pic:spPr>
                </pic:pic>
              </a:graphicData>
            </a:graphic>
          </wp:inline>
        </w:drawing>
      </w:r>
      <w:r>
        <w:rPr>
          <w:rFonts w:cs="Arial"/>
          <w:sz w:val="20"/>
          <w:szCs w:val="20"/>
          <w:lang w:val="en-GB"/>
        </w:rPr>
        <w:t xml:space="preserve">Source: </w:t>
      </w:r>
      <w:r w:rsidRPr="00BC1ABD">
        <w:rPr>
          <w:rFonts w:cs="Arial"/>
          <w:sz w:val="20"/>
          <w:szCs w:val="20"/>
          <w:lang w:val="en-GB"/>
        </w:rPr>
        <w:t>Answers to the Questionnaire on coverage and ComCom data</w:t>
      </w:r>
      <w:bookmarkEnd w:id="394"/>
    </w:p>
    <w:p w14:paraId="425ED3DD" w14:textId="77777777" w:rsidR="00903D5E" w:rsidRPr="00BC1ABD" w:rsidRDefault="00903D5E" w:rsidP="008E7C6B">
      <w:pPr>
        <w:pStyle w:val="Heading2"/>
        <w:spacing w:after="240"/>
        <w:rPr>
          <w:lang w:val="en-GB"/>
        </w:rPr>
      </w:pPr>
      <w:bookmarkStart w:id="395" w:name="_Toc149071455"/>
      <w:bookmarkStart w:id="396" w:name="_Toc169259020"/>
      <w:r>
        <w:rPr>
          <w:lang w:val="en-GB"/>
        </w:rPr>
        <w:t>Conclusion</w:t>
      </w:r>
      <w:bookmarkEnd w:id="395"/>
      <w:bookmarkEnd w:id="396"/>
    </w:p>
    <w:p w14:paraId="4AF2A86A" w14:textId="7868AEC7" w:rsidR="00903D5E" w:rsidRPr="008E7C6B" w:rsidRDefault="00903D5E" w:rsidP="00903D5E">
      <w:pPr>
        <w:jc w:val="both"/>
        <w:rPr>
          <w:sz w:val="24"/>
          <w:szCs w:val="24"/>
          <w:lang w:val="en-GB"/>
        </w:rPr>
      </w:pPr>
      <w:r w:rsidRPr="008E7C6B">
        <w:rPr>
          <w:sz w:val="24"/>
          <w:szCs w:val="24"/>
          <w:lang w:val="en-GB"/>
        </w:rPr>
        <w:t xml:space="preserve">Magticom is the </w:t>
      </w:r>
      <w:r w:rsidR="000C31B2" w:rsidRPr="008E7C6B">
        <w:rPr>
          <w:sz w:val="24"/>
          <w:szCs w:val="24"/>
          <w:lang w:val="en-GB"/>
        </w:rPr>
        <w:t>operator,</w:t>
      </w:r>
      <w:r w:rsidRPr="008E7C6B">
        <w:rPr>
          <w:sz w:val="24"/>
          <w:szCs w:val="24"/>
          <w:lang w:val="en-GB"/>
        </w:rPr>
        <w:t xml:space="preserve"> which </w:t>
      </w:r>
      <w:r w:rsidR="001B4C13" w:rsidRPr="008E7C6B">
        <w:rPr>
          <w:sz w:val="24"/>
          <w:szCs w:val="24"/>
          <w:lang w:val="en-GB"/>
        </w:rPr>
        <w:t xml:space="preserve">is present in the highest number of settlements, </w:t>
      </w:r>
      <w:r w:rsidRPr="008E7C6B">
        <w:rPr>
          <w:sz w:val="24"/>
          <w:szCs w:val="24"/>
          <w:lang w:val="en-GB"/>
        </w:rPr>
        <w:t>has the largest number of subscribers</w:t>
      </w:r>
      <w:r w:rsidR="001B4C13" w:rsidRPr="008E7C6B">
        <w:rPr>
          <w:sz w:val="24"/>
          <w:szCs w:val="24"/>
          <w:lang w:val="en-GB"/>
        </w:rPr>
        <w:t xml:space="preserve"> </w:t>
      </w:r>
      <w:r w:rsidR="001A19E2">
        <w:rPr>
          <w:sz w:val="24"/>
          <w:szCs w:val="24"/>
          <w:lang w:val="en-GB"/>
        </w:rPr>
        <w:t>serving</w:t>
      </w:r>
      <w:r w:rsidRPr="008E7C6B">
        <w:rPr>
          <w:sz w:val="24"/>
          <w:szCs w:val="24"/>
          <w:lang w:val="en-GB"/>
        </w:rPr>
        <w:t xml:space="preserve"> over 40%</w:t>
      </w:r>
      <w:r w:rsidR="001A19E2">
        <w:rPr>
          <w:sz w:val="24"/>
          <w:szCs w:val="24"/>
          <w:lang w:val="en-GB"/>
        </w:rPr>
        <w:t xml:space="preserve"> of active subscribers</w:t>
      </w:r>
      <w:r w:rsidRPr="008E7C6B">
        <w:rPr>
          <w:sz w:val="24"/>
          <w:szCs w:val="24"/>
          <w:lang w:val="en-GB"/>
        </w:rPr>
        <w:t xml:space="preserve"> in the highest number of settlements</w:t>
      </w:r>
      <w:r w:rsidR="001B4C13" w:rsidRPr="008E7C6B">
        <w:rPr>
          <w:sz w:val="24"/>
          <w:szCs w:val="24"/>
          <w:lang w:val="en-GB"/>
        </w:rPr>
        <w:t>, It is also the operator with the</w:t>
      </w:r>
      <w:r w:rsidRPr="008E7C6B">
        <w:rPr>
          <w:sz w:val="24"/>
          <w:szCs w:val="24"/>
          <w:lang w:val="en-GB"/>
        </w:rPr>
        <w:t xml:space="preserve"> highest number of settlements</w:t>
      </w:r>
      <w:r w:rsidR="001B4C13" w:rsidRPr="008E7C6B">
        <w:rPr>
          <w:sz w:val="24"/>
          <w:szCs w:val="24"/>
          <w:lang w:val="en-GB"/>
        </w:rPr>
        <w:t xml:space="preserve"> in which it is the only </w:t>
      </w:r>
      <w:r w:rsidR="00F026B4">
        <w:rPr>
          <w:sz w:val="24"/>
          <w:szCs w:val="24"/>
          <w:lang w:val="en-GB"/>
        </w:rPr>
        <w:t>FTTx</w:t>
      </w:r>
      <w:r w:rsidR="001B4C13" w:rsidRPr="008E7C6B">
        <w:rPr>
          <w:sz w:val="24"/>
          <w:szCs w:val="24"/>
          <w:lang w:val="en-GB"/>
        </w:rPr>
        <w:t xml:space="preserve"> operator</w:t>
      </w:r>
      <w:r w:rsidRPr="008E7C6B">
        <w:rPr>
          <w:sz w:val="24"/>
          <w:szCs w:val="24"/>
          <w:lang w:val="en-GB"/>
        </w:rPr>
        <w:t>.</w:t>
      </w:r>
    </w:p>
    <w:p w14:paraId="5A33D042" w14:textId="29CCAA0A" w:rsidR="00903D5E" w:rsidRPr="008E7C6B" w:rsidRDefault="00903D5E" w:rsidP="00903D5E">
      <w:pPr>
        <w:jc w:val="both"/>
        <w:rPr>
          <w:sz w:val="24"/>
          <w:szCs w:val="24"/>
          <w:lang w:val="en-GB"/>
        </w:rPr>
      </w:pPr>
      <w:r w:rsidRPr="008E7C6B">
        <w:rPr>
          <w:sz w:val="24"/>
          <w:szCs w:val="24"/>
          <w:lang w:val="en-GB"/>
        </w:rPr>
        <w:t xml:space="preserve">Silknet is the second largest operator but with </w:t>
      </w:r>
      <w:r w:rsidR="001B4C13" w:rsidRPr="008E7C6B">
        <w:rPr>
          <w:sz w:val="24"/>
          <w:szCs w:val="24"/>
          <w:lang w:val="en-GB"/>
        </w:rPr>
        <w:t xml:space="preserve">a </w:t>
      </w:r>
      <w:r w:rsidRPr="008E7C6B">
        <w:rPr>
          <w:sz w:val="24"/>
          <w:szCs w:val="24"/>
          <w:lang w:val="en-GB"/>
        </w:rPr>
        <w:t>much smaller number of subscribers and</w:t>
      </w:r>
      <w:r w:rsidR="001B4C13" w:rsidRPr="008E7C6B">
        <w:rPr>
          <w:sz w:val="24"/>
          <w:szCs w:val="24"/>
          <w:lang w:val="en-GB"/>
        </w:rPr>
        <w:t xml:space="preserve"> a</w:t>
      </w:r>
      <w:r w:rsidRPr="008E7C6B">
        <w:rPr>
          <w:sz w:val="24"/>
          <w:szCs w:val="24"/>
          <w:lang w:val="en-GB"/>
        </w:rPr>
        <w:t xml:space="preserve"> much smaller coverage. Silknet is the only operator in only two small settlements</w:t>
      </w:r>
      <w:r w:rsidR="001B4C13" w:rsidRPr="008E7C6B">
        <w:rPr>
          <w:sz w:val="24"/>
          <w:szCs w:val="24"/>
          <w:lang w:val="en-GB"/>
        </w:rPr>
        <w:t xml:space="preserve">, collectively with only </w:t>
      </w:r>
      <w:r w:rsidRPr="008E7C6B">
        <w:rPr>
          <w:sz w:val="24"/>
          <w:szCs w:val="24"/>
          <w:lang w:val="en-GB"/>
        </w:rPr>
        <w:t xml:space="preserve">501 inhabitants. Its </w:t>
      </w:r>
      <w:r w:rsidR="00F026B4">
        <w:rPr>
          <w:sz w:val="24"/>
          <w:szCs w:val="24"/>
          <w:lang w:val="en-GB"/>
        </w:rPr>
        <w:t>FTTx</w:t>
      </w:r>
      <w:r w:rsidRPr="008E7C6B">
        <w:rPr>
          <w:sz w:val="24"/>
          <w:szCs w:val="24"/>
          <w:lang w:val="en-GB"/>
        </w:rPr>
        <w:t xml:space="preserve"> network is almost totally in areas where Magticom is </w:t>
      </w:r>
      <w:r w:rsidR="001B4C13" w:rsidRPr="008E7C6B">
        <w:rPr>
          <w:sz w:val="24"/>
          <w:szCs w:val="24"/>
          <w:lang w:val="en-GB"/>
        </w:rPr>
        <w:t xml:space="preserve">also </w:t>
      </w:r>
      <w:r w:rsidRPr="008E7C6B">
        <w:rPr>
          <w:sz w:val="24"/>
          <w:szCs w:val="24"/>
          <w:lang w:val="en-GB"/>
        </w:rPr>
        <w:t>present</w:t>
      </w:r>
      <w:r w:rsidR="001B4C13" w:rsidRPr="008E7C6B">
        <w:rPr>
          <w:sz w:val="24"/>
          <w:szCs w:val="24"/>
          <w:lang w:val="en-GB"/>
        </w:rPr>
        <w:t>.</w:t>
      </w:r>
    </w:p>
    <w:p w14:paraId="10C96772" w14:textId="7D27239C" w:rsidR="00903D5E" w:rsidRPr="008E7C6B" w:rsidRDefault="001A02CA" w:rsidP="00903D5E">
      <w:pPr>
        <w:jc w:val="both"/>
        <w:rPr>
          <w:sz w:val="24"/>
          <w:szCs w:val="24"/>
          <w:lang w:val="en-GB"/>
        </w:rPr>
      </w:pPr>
      <w:r>
        <w:rPr>
          <w:sz w:val="24"/>
          <w:szCs w:val="24"/>
          <w:lang w:val="en-GB"/>
        </w:rPr>
        <w:t>Akhali Kselebi</w:t>
      </w:r>
      <w:r w:rsidR="00903D5E" w:rsidRPr="008E7C6B">
        <w:rPr>
          <w:sz w:val="24"/>
          <w:szCs w:val="24"/>
          <w:lang w:val="en-GB"/>
        </w:rPr>
        <w:t xml:space="preserve"> is mostly concentrated in </w:t>
      </w:r>
      <w:r w:rsidR="001B4C13" w:rsidRPr="008E7C6B">
        <w:rPr>
          <w:sz w:val="24"/>
          <w:szCs w:val="24"/>
          <w:lang w:val="en-GB"/>
        </w:rPr>
        <w:t xml:space="preserve">the </w:t>
      </w:r>
      <w:r w:rsidR="00903D5E" w:rsidRPr="008E7C6B">
        <w:rPr>
          <w:sz w:val="24"/>
          <w:szCs w:val="24"/>
          <w:lang w:val="en-GB"/>
        </w:rPr>
        <w:t>larg</w:t>
      </w:r>
      <w:r w:rsidR="001B4C13" w:rsidRPr="008E7C6B">
        <w:rPr>
          <w:sz w:val="24"/>
          <w:szCs w:val="24"/>
          <w:lang w:val="en-GB"/>
        </w:rPr>
        <w:t>er</w:t>
      </w:r>
      <w:r w:rsidR="00903D5E" w:rsidRPr="008E7C6B">
        <w:rPr>
          <w:sz w:val="24"/>
          <w:szCs w:val="24"/>
          <w:lang w:val="en-GB"/>
        </w:rPr>
        <w:t xml:space="preserve"> settlements, but it is weak in Tbilisi. </w:t>
      </w:r>
      <w:r w:rsidR="001B4C13" w:rsidRPr="008E7C6B">
        <w:rPr>
          <w:sz w:val="24"/>
          <w:szCs w:val="24"/>
          <w:lang w:val="en-GB"/>
        </w:rPr>
        <w:t xml:space="preserve">Like Silknet, </w:t>
      </w:r>
      <w:r>
        <w:rPr>
          <w:sz w:val="24"/>
          <w:szCs w:val="24"/>
          <w:lang w:val="en-GB"/>
        </w:rPr>
        <w:t>Akhali Kselebi</w:t>
      </w:r>
      <w:r w:rsidR="001B4C13" w:rsidRPr="008E7C6B">
        <w:rPr>
          <w:sz w:val="24"/>
          <w:szCs w:val="24"/>
          <w:lang w:val="en-GB"/>
        </w:rPr>
        <w:t xml:space="preserve"> has its</w:t>
      </w:r>
      <w:r w:rsidR="00903D5E" w:rsidRPr="008E7C6B">
        <w:rPr>
          <w:sz w:val="24"/>
          <w:szCs w:val="24"/>
          <w:lang w:val="en-GB"/>
        </w:rPr>
        <w:t xml:space="preserve"> </w:t>
      </w:r>
      <w:r w:rsidR="00F026B4">
        <w:rPr>
          <w:sz w:val="24"/>
          <w:szCs w:val="24"/>
          <w:lang w:val="en-GB"/>
        </w:rPr>
        <w:t>FTTx</w:t>
      </w:r>
      <w:r w:rsidR="00903D5E" w:rsidRPr="008E7C6B">
        <w:rPr>
          <w:sz w:val="24"/>
          <w:szCs w:val="24"/>
          <w:lang w:val="en-GB"/>
        </w:rPr>
        <w:t xml:space="preserve"> network almost totally in areas where Magticom is </w:t>
      </w:r>
      <w:r w:rsidR="001B4C13" w:rsidRPr="008E7C6B">
        <w:rPr>
          <w:sz w:val="24"/>
          <w:szCs w:val="24"/>
          <w:lang w:val="en-GB"/>
        </w:rPr>
        <w:t xml:space="preserve">also </w:t>
      </w:r>
      <w:r w:rsidR="00903D5E" w:rsidRPr="008E7C6B">
        <w:rPr>
          <w:sz w:val="24"/>
          <w:szCs w:val="24"/>
          <w:lang w:val="en-GB"/>
        </w:rPr>
        <w:t>present</w:t>
      </w:r>
      <w:r w:rsidR="001B4C13" w:rsidRPr="008E7C6B">
        <w:rPr>
          <w:sz w:val="24"/>
          <w:szCs w:val="24"/>
          <w:lang w:val="en-GB"/>
        </w:rPr>
        <w:t>.</w:t>
      </w:r>
    </w:p>
    <w:p w14:paraId="53737F0F" w14:textId="5E410DF1" w:rsidR="001B4C13" w:rsidRDefault="00903D5E" w:rsidP="00903D5E">
      <w:pPr>
        <w:jc w:val="both"/>
        <w:rPr>
          <w:sz w:val="24"/>
          <w:szCs w:val="24"/>
          <w:lang w:val="en-GB"/>
        </w:rPr>
      </w:pPr>
      <w:r w:rsidRPr="008E7C6B">
        <w:rPr>
          <w:sz w:val="24"/>
          <w:szCs w:val="24"/>
          <w:lang w:val="en-GB"/>
        </w:rPr>
        <w:t xml:space="preserve">Skytel and </w:t>
      </w:r>
      <w:r w:rsidR="001B4C13" w:rsidRPr="008E7C6B">
        <w:rPr>
          <w:sz w:val="24"/>
          <w:szCs w:val="24"/>
          <w:lang w:val="en-GB"/>
        </w:rPr>
        <w:t xml:space="preserve">a </w:t>
      </w:r>
      <w:r w:rsidRPr="008E7C6B">
        <w:rPr>
          <w:sz w:val="24"/>
          <w:szCs w:val="24"/>
          <w:lang w:val="en-GB"/>
        </w:rPr>
        <w:t>group of small</w:t>
      </w:r>
      <w:r w:rsidR="001B4C13" w:rsidRPr="008E7C6B">
        <w:rPr>
          <w:sz w:val="24"/>
          <w:szCs w:val="24"/>
          <w:lang w:val="en-GB"/>
        </w:rPr>
        <w:t>er</w:t>
      </w:r>
      <w:r w:rsidRPr="008E7C6B">
        <w:rPr>
          <w:sz w:val="24"/>
          <w:szCs w:val="24"/>
          <w:lang w:val="en-GB"/>
        </w:rPr>
        <w:t xml:space="preserve"> operators are focused mostly on rural </w:t>
      </w:r>
      <w:r w:rsidR="001B4C13" w:rsidRPr="008E7C6B">
        <w:rPr>
          <w:sz w:val="24"/>
          <w:szCs w:val="24"/>
          <w:lang w:val="en-GB"/>
        </w:rPr>
        <w:t>settlements</w:t>
      </w:r>
      <w:r w:rsidRPr="008E7C6B">
        <w:rPr>
          <w:sz w:val="24"/>
          <w:szCs w:val="24"/>
          <w:lang w:val="en-GB"/>
        </w:rPr>
        <w:t xml:space="preserve">. But even </w:t>
      </w:r>
      <w:r w:rsidR="001B4C13" w:rsidRPr="008E7C6B">
        <w:rPr>
          <w:sz w:val="24"/>
          <w:szCs w:val="24"/>
          <w:lang w:val="en-GB"/>
        </w:rPr>
        <w:t xml:space="preserve">collectively these </w:t>
      </w:r>
      <w:r w:rsidRPr="008E7C6B">
        <w:rPr>
          <w:sz w:val="24"/>
          <w:szCs w:val="24"/>
          <w:lang w:val="en-GB"/>
        </w:rPr>
        <w:t xml:space="preserve">are present in </w:t>
      </w:r>
      <w:r w:rsidR="001B4C13" w:rsidRPr="008E7C6B">
        <w:rPr>
          <w:sz w:val="24"/>
          <w:szCs w:val="24"/>
          <w:lang w:val="en-GB"/>
        </w:rPr>
        <w:t xml:space="preserve">a </w:t>
      </w:r>
      <w:r w:rsidRPr="008E7C6B">
        <w:rPr>
          <w:sz w:val="24"/>
          <w:szCs w:val="24"/>
          <w:lang w:val="en-GB"/>
        </w:rPr>
        <w:t>smaller number of settl</w:t>
      </w:r>
      <w:r w:rsidR="001B4C13" w:rsidRPr="008E7C6B">
        <w:rPr>
          <w:sz w:val="24"/>
          <w:szCs w:val="24"/>
          <w:lang w:val="en-GB"/>
        </w:rPr>
        <w:t>e</w:t>
      </w:r>
      <w:r w:rsidRPr="008E7C6B">
        <w:rPr>
          <w:sz w:val="24"/>
          <w:szCs w:val="24"/>
          <w:lang w:val="en-GB"/>
        </w:rPr>
        <w:t xml:space="preserve">ments </w:t>
      </w:r>
      <w:r w:rsidR="001B4C13" w:rsidRPr="008E7C6B">
        <w:rPr>
          <w:sz w:val="24"/>
          <w:szCs w:val="24"/>
          <w:lang w:val="en-GB"/>
        </w:rPr>
        <w:t>compared to</w:t>
      </w:r>
      <w:r w:rsidRPr="008E7C6B">
        <w:rPr>
          <w:sz w:val="24"/>
          <w:szCs w:val="24"/>
          <w:lang w:val="en-GB"/>
        </w:rPr>
        <w:t xml:space="preserve"> Magticom and their combined number of subscriptions is</w:t>
      </w:r>
      <w:r w:rsidR="001B4C13" w:rsidRPr="008E7C6B">
        <w:rPr>
          <w:sz w:val="24"/>
          <w:szCs w:val="24"/>
          <w:lang w:val="en-GB"/>
        </w:rPr>
        <w:t xml:space="preserve"> significantly</w:t>
      </w:r>
      <w:r w:rsidRPr="008E7C6B">
        <w:rPr>
          <w:sz w:val="24"/>
          <w:szCs w:val="24"/>
          <w:lang w:val="en-GB"/>
        </w:rPr>
        <w:t xml:space="preserve"> lower than Magticom’s.</w:t>
      </w:r>
    </w:p>
    <w:p w14:paraId="674AA49B" w14:textId="77777777" w:rsidR="00A14B3B" w:rsidRDefault="00A14B3B" w:rsidP="00903D5E">
      <w:pPr>
        <w:jc w:val="both"/>
        <w:rPr>
          <w:sz w:val="24"/>
          <w:szCs w:val="24"/>
          <w:lang w:val="en-GB"/>
        </w:rPr>
      </w:pPr>
    </w:p>
    <w:p w14:paraId="68356D87" w14:textId="77777777" w:rsidR="00A14B3B" w:rsidRDefault="00A14B3B" w:rsidP="00903D5E">
      <w:pPr>
        <w:jc w:val="both"/>
        <w:rPr>
          <w:sz w:val="24"/>
          <w:szCs w:val="24"/>
          <w:lang w:val="en-GB"/>
        </w:rPr>
      </w:pPr>
    </w:p>
    <w:p w14:paraId="78A74577" w14:textId="77777777" w:rsidR="00A14B3B" w:rsidRDefault="00A14B3B" w:rsidP="00903D5E">
      <w:pPr>
        <w:jc w:val="both"/>
        <w:rPr>
          <w:sz w:val="24"/>
          <w:szCs w:val="24"/>
          <w:lang w:val="en-GB"/>
        </w:rPr>
      </w:pPr>
    </w:p>
    <w:p w14:paraId="3B43B885" w14:textId="77777777" w:rsidR="00A14B3B" w:rsidRDefault="00A14B3B" w:rsidP="00903D5E">
      <w:pPr>
        <w:jc w:val="both"/>
        <w:rPr>
          <w:sz w:val="24"/>
          <w:szCs w:val="24"/>
          <w:lang w:val="en-GB"/>
        </w:rPr>
      </w:pPr>
    </w:p>
    <w:p w14:paraId="22501479" w14:textId="77777777" w:rsidR="00A14B3B" w:rsidRDefault="00A14B3B" w:rsidP="00903D5E">
      <w:pPr>
        <w:jc w:val="both"/>
        <w:rPr>
          <w:sz w:val="24"/>
          <w:szCs w:val="24"/>
          <w:lang w:val="en-GB"/>
        </w:rPr>
      </w:pPr>
    </w:p>
    <w:p w14:paraId="07A345B2" w14:textId="77777777" w:rsidR="00A14B3B" w:rsidRDefault="00A14B3B" w:rsidP="00903D5E">
      <w:pPr>
        <w:jc w:val="both"/>
        <w:rPr>
          <w:sz w:val="24"/>
          <w:szCs w:val="24"/>
          <w:lang w:val="en-GB"/>
        </w:rPr>
      </w:pPr>
    </w:p>
    <w:p w14:paraId="52D3D9FE" w14:textId="77777777" w:rsidR="00A14B3B" w:rsidRDefault="00A14B3B" w:rsidP="00903D5E">
      <w:pPr>
        <w:jc w:val="both"/>
        <w:rPr>
          <w:sz w:val="24"/>
          <w:szCs w:val="24"/>
          <w:lang w:val="en-GB"/>
        </w:rPr>
      </w:pPr>
    </w:p>
    <w:p w14:paraId="6482AE6D" w14:textId="77777777" w:rsidR="00A14B3B" w:rsidRDefault="00A14B3B" w:rsidP="00903D5E">
      <w:pPr>
        <w:jc w:val="both"/>
        <w:rPr>
          <w:sz w:val="24"/>
          <w:szCs w:val="24"/>
          <w:lang w:val="en-GB"/>
        </w:rPr>
      </w:pPr>
    </w:p>
    <w:p w14:paraId="032F2F6E" w14:textId="77777777" w:rsidR="00A14B3B" w:rsidRDefault="00A14B3B" w:rsidP="00903D5E">
      <w:pPr>
        <w:jc w:val="both"/>
        <w:rPr>
          <w:sz w:val="24"/>
          <w:szCs w:val="24"/>
          <w:lang w:val="en-GB"/>
        </w:rPr>
      </w:pPr>
    </w:p>
    <w:p w14:paraId="205A3D67" w14:textId="77777777" w:rsidR="00A14B3B" w:rsidRDefault="00A14B3B" w:rsidP="00903D5E">
      <w:pPr>
        <w:jc w:val="both"/>
        <w:rPr>
          <w:sz w:val="24"/>
          <w:szCs w:val="24"/>
          <w:lang w:val="en-GB"/>
        </w:rPr>
        <w:sectPr w:rsidR="00A14B3B" w:rsidSect="0073442C">
          <w:pgSz w:w="16838" w:h="11906" w:orient="landscape"/>
          <w:pgMar w:top="1418" w:right="1418" w:bottom="1418" w:left="1134" w:header="709" w:footer="709" w:gutter="0"/>
          <w:cols w:space="708"/>
          <w:docGrid w:linePitch="360"/>
        </w:sectPr>
      </w:pPr>
    </w:p>
    <w:p w14:paraId="57C82289" w14:textId="07FF5248" w:rsidR="000004F9" w:rsidRDefault="00BC77CF" w:rsidP="00BC77CF">
      <w:pPr>
        <w:pStyle w:val="Heading1"/>
        <w:rPr>
          <w:lang w:val="en-GB"/>
        </w:rPr>
      </w:pPr>
      <w:bookmarkStart w:id="397" w:name="_Toc169259021"/>
      <w:r w:rsidRPr="00ED2C35">
        <w:rPr>
          <w:lang w:val="en-GB"/>
        </w:rPr>
        <w:t>Annex 2: List of abbreviations</w:t>
      </w:r>
      <w:bookmarkEnd w:id="397"/>
    </w:p>
    <w:p w14:paraId="5FC090F7" w14:textId="26C02FA4" w:rsidR="00ED2C35" w:rsidRPr="00ED2C35" w:rsidRDefault="00ED2C35" w:rsidP="00ED2C35">
      <w:pPr>
        <w:pStyle w:val="Caption"/>
        <w:jc w:val="center"/>
        <w:rPr>
          <w:lang w:val="en-GB"/>
        </w:rPr>
      </w:pPr>
      <w:bookmarkStart w:id="398" w:name="_Toc152931438"/>
      <w:r w:rsidRPr="00ED2C35">
        <w:rPr>
          <w:lang w:val="en-GB"/>
        </w:rPr>
        <w:t xml:space="preserve">Figure </w:t>
      </w:r>
      <w:r w:rsidRPr="00ED2C35">
        <w:rPr>
          <w:lang w:val="en-GB"/>
        </w:rPr>
        <w:fldChar w:fldCharType="begin"/>
      </w:r>
      <w:r w:rsidRPr="00ED2C35">
        <w:rPr>
          <w:lang w:val="en-GB"/>
        </w:rPr>
        <w:instrText xml:space="preserve"> SEQ Figure \* ARABIC </w:instrText>
      </w:r>
      <w:r w:rsidRPr="00ED2C35">
        <w:rPr>
          <w:lang w:val="en-GB"/>
        </w:rPr>
        <w:fldChar w:fldCharType="separate"/>
      </w:r>
      <w:r w:rsidRPr="00ED2C35">
        <w:rPr>
          <w:noProof/>
          <w:lang w:val="en-GB"/>
        </w:rPr>
        <w:t>87</w:t>
      </w:r>
      <w:r w:rsidRPr="00ED2C35">
        <w:rPr>
          <w:lang w:val="en-GB"/>
        </w:rPr>
        <w:fldChar w:fldCharType="end"/>
      </w:r>
      <w:r w:rsidRPr="00ED2C35">
        <w:rPr>
          <w:lang w:val="en-GB"/>
        </w:rPr>
        <w:t>: List of abbreviations</w:t>
      </w:r>
      <w:bookmarkEnd w:id="398"/>
    </w:p>
    <w:tbl>
      <w:tblPr>
        <w:tblStyle w:val="TableGrid"/>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970"/>
        <w:gridCol w:w="6662"/>
      </w:tblGrid>
      <w:tr w:rsidR="00ED2C35" w:rsidRPr="00ED2C35" w14:paraId="3685BFFF" w14:textId="77777777" w:rsidTr="00ED2C35">
        <w:trPr>
          <w:cnfStyle w:val="100000000000" w:firstRow="1" w:lastRow="0" w:firstColumn="0" w:lastColumn="0" w:oddVBand="0" w:evenVBand="0" w:oddHBand="0" w:evenHBand="0" w:firstRowFirstColumn="0" w:firstRowLastColumn="0" w:lastRowFirstColumn="0" w:lastRowLastColumn="0"/>
          <w:tblHeader/>
          <w:jc w:val="center"/>
        </w:trPr>
        <w:tc>
          <w:tcPr>
            <w:tcW w:w="1970" w:type="dxa"/>
            <w:tcBorders>
              <w:top w:val="single" w:sz="12" w:space="0" w:color="auto"/>
              <w:left w:val="single" w:sz="12" w:space="0" w:color="auto"/>
              <w:bottom w:val="single" w:sz="12" w:space="0" w:color="auto"/>
            </w:tcBorders>
            <w:shd w:val="clear" w:color="auto" w:fill="D9D9D9"/>
          </w:tcPr>
          <w:p w14:paraId="54A38BF3" w14:textId="77777777" w:rsidR="00ED2C35" w:rsidRPr="00ED2C35" w:rsidRDefault="00ED2C35" w:rsidP="00ED2C35">
            <w:pPr>
              <w:spacing w:after="120" w:line="252" w:lineRule="auto"/>
              <w:jc w:val="center"/>
              <w:rPr>
                <w:rFonts w:cs="Calibri"/>
                <w:bCs/>
                <w:iCs/>
                <w:szCs w:val="22"/>
                <w:lang w:val="en-GB" w:eastAsia="en-US"/>
              </w:rPr>
            </w:pPr>
            <w:r w:rsidRPr="00ED2C35">
              <w:rPr>
                <w:rFonts w:cs="Calibri"/>
                <w:bCs/>
                <w:iCs/>
                <w:szCs w:val="22"/>
                <w:lang w:val="en-GB" w:eastAsia="en-US"/>
              </w:rPr>
              <w:t>Acronym</w:t>
            </w:r>
          </w:p>
        </w:tc>
        <w:tc>
          <w:tcPr>
            <w:tcW w:w="6662" w:type="dxa"/>
            <w:tcBorders>
              <w:top w:val="single" w:sz="12" w:space="0" w:color="auto"/>
              <w:bottom w:val="single" w:sz="12" w:space="0" w:color="auto"/>
              <w:right w:val="single" w:sz="12" w:space="0" w:color="auto"/>
            </w:tcBorders>
            <w:shd w:val="clear" w:color="auto" w:fill="D9D9D9"/>
          </w:tcPr>
          <w:p w14:paraId="213CDA0C" w14:textId="77777777" w:rsidR="00ED2C35" w:rsidRPr="00ED2C35" w:rsidRDefault="00ED2C35" w:rsidP="00ED2C35">
            <w:pPr>
              <w:spacing w:after="120" w:line="252" w:lineRule="auto"/>
              <w:jc w:val="center"/>
              <w:rPr>
                <w:rFonts w:cs="Calibri"/>
                <w:bCs/>
                <w:iCs/>
                <w:szCs w:val="22"/>
                <w:lang w:val="en-GB" w:eastAsia="en-US"/>
              </w:rPr>
            </w:pPr>
            <w:r w:rsidRPr="00ED2C35">
              <w:rPr>
                <w:rFonts w:cs="Calibri"/>
                <w:bCs/>
                <w:iCs/>
                <w:szCs w:val="22"/>
                <w:lang w:val="en-GB" w:eastAsia="en-US"/>
              </w:rPr>
              <w:t>Explanation</w:t>
            </w:r>
          </w:p>
        </w:tc>
      </w:tr>
      <w:tr w:rsidR="00ED2C35" w:rsidRPr="00355738" w14:paraId="08869927" w14:textId="77777777" w:rsidTr="006C273F">
        <w:trPr>
          <w:jc w:val="center"/>
        </w:trPr>
        <w:tc>
          <w:tcPr>
            <w:tcW w:w="1970" w:type="dxa"/>
            <w:tcBorders>
              <w:top w:val="single" w:sz="12" w:space="0" w:color="auto"/>
              <w:left w:val="single" w:sz="12" w:space="0" w:color="auto"/>
              <w:bottom w:val="single" w:sz="6" w:space="0" w:color="auto"/>
            </w:tcBorders>
          </w:tcPr>
          <w:p w14:paraId="442377F9"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5G</w:t>
            </w:r>
          </w:p>
        </w:tc>
        <w:tc>
          <w:tcPr>
            <w:tcW w:w="6662" w:type="dxa"/>
            <w:tcBorders>
              <w:top w:val="single" w:sz="12" w:space="0" w:color="auto"/>
              <w:bottom w:val="single" w:sz="6" w:space="0" w:color="auto"/>
              <w:right w:val="single" w:sz="12" w:space="0" w:color="auto"/>
            </w:tcBorders>
          </w:tcPr>
          <w:p w14:paraId="1FBE593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5</w:t>
            </w:r>
            <w:r w:rsidRPr="00ED2C35">
              <w:rPr>
                <w:rFonts w:cs="Calibri"/>
                <w:bCs/>
                <w:iCs/>
                <w:szCs w:val="22"/>
                <w:vertAlign w:val="superscript"/>
                <w:lang w:val="en-GB" w:eastAsia="en-US"/>
              </w:rPr>
              <w:t>th</w:t>
            </w:r>
            <w:r w:rsidRPr="00ED2C35">
              <w:rPr>
                <w:rFonts w:cs="Calibri"/>
                <w:bCs/>
                <w:iCs/>
                <w:szCs w:val="22"/>
                <w:lang w:val="en-GB" w:eastAsia="en-US"/>
              </w:rPr>
              <w:t xml:space="preserve"> Generation mobile network </w:t>
            </w:r>
          </w:p>
          <w:p w14:paraId="64721B1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5G is a new global wireless (mobile network) standard. 5G is designed to connect virtually everyone and everything together including machines, objects, and devices.</w:t>
            </w:r>
          </w:p>
        </w:tc>
      </w:tr>
      <w:tr w:rsidR="00ED2C35" w:rsidRPr="00ED2C35" w14:paraId="305B786E" w14:textId="77777777" w:rsidTr="006C273F">
        <w:trPr>
          <w:jc w:val="center"/>
        </w:trPr>
        <w:tc>
          <w:tcPr>
            <w:tcW w:w="1970" w:type="dxa"/>
            <w:tcBorders>
              <w:top w:val="single" w:sz="6" w:space="0" w:color="auto"/>
              <w:left w:val="single" w:sz="12" w:space="0" w:color="auto"/>
              <w:bottom w:val="single" w:sz="6" w:space="0" w:color="auto"/>
            </w:tcBorders>
          </w:tcPr>
          <w:p w14:paraId="2EAE257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4G</w:t>
            </w:r>
          </w:p>
        </w:tc>
        <w:tc>
          <w:tcPr>
            <w:tcW w:w="6662" w:type="dxa"/>
            <w:tcBorders>
              <w:top w:val="single" w:sz="6" w:space="0" w:color="auto"/>
              <w:bottom w:val="single" w:sz="6" w:space="0" w:color="auto"/>
              <w:right w:val="single" w:sz="12" w:space="0" w:color="auto"/>
            </w:tcBorders>
          </w:tcPr>
          <w:p w14:paraId="69DF2356"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4</w:t>
            </w:r>
            <w:r w:rsidRPr="00ED2C35">
              <w:rPr>
                <w:rFonts w:cs="Calibri"/>
                <w:bCs/>
                <w:iCs/>
                <w:szCs w:val="22"/>
                <w:vertAlign w:val="superscript"/>
                <w:lang w:val="en-GB" w:eastAsia="en-US"/>
              </w:rPr>
              <w:t>th</w:t>
            </w:r>
            <w:r w:rsidRPr="00ED2C35">
              <w:rPr>
                <w:rFonts w:cs="Calibri"/>
                <w:bCs/>
                <w:iCs/>
                <w:szCs w:val="22"/>
                <w:lang w:val="en-GB" w:eastAsia="en-US"/>
              </w:rPr>
              <w:t xml:space="preserve"> Generation mobile network</w:t>
            </w:r>
          </w:p>
        </w:tc>
      </w:tr>
      <w:tr w:rsidR="00ED2C35" w:rsidRPr="00ED2C35" w14:paraId="234013C6" w14:textId="77777777" w:rsidTr="006C273F">
        <w:trPr>
          <w:jc w:val="center"/>
        </w:trPr>
        <w:tc>
          <w:tcPr>
            <w:tcW w:w="1970" w:type="dxa"/>
            <w:tcBorders>
              <w:top w:val="single" w:sz="6" w:space="0" w:color="auto"/>
              <w:left w:val="single" w:sz="12" w:space="0" w:color="auto"/>
              <w:bottom w:val="single" w:sz="6" w:space="0" w:color="auto"/>
            </w:tcBorders>
          </w:tcPr>
          <w:p w14:paraId="4027D3CD"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3G</w:t>
            </w:r>
          </w:p>
        </w:tc>
        <w:tc>
          <w:tcPr>
            <w:tcW w:w="6662" w:type="dxa"/>
            <w:tcBorders>
              <w:top w:val="single" w:sz="6" w:space="0" w:color="auto"/>
              <w:bottom w:val="single" w:sz="6" w:space="0" w:color="auto"/>
              <w:right w:val="single" w:sz="12" w:space="0" w:color="auto"/>
            </w:tcBorders>
          </w:tcPr>
          <w:p w14:paraId="52F5300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3</w:t>
            </w:r>
            <w:r w:rsidRPr="00ED2C35">
              <w:rPr>
                <w:rFonts w:cs="Calibri"/>
                <w:bCs/>
                <w:iCs/>
                <w:szCs w:val="22"/>
                <w:vertAlign w:val="superscript"/>
                <w:lang w:val="en-GB" w:eastAsia="en-US"/>
              </w:rPr>
              <w:t>rd</w:t>
            </w:r>
            <w:r w:rsidRPr="00ED2C35">
              <w:rPr>
                <w:rFonts w:cs="Calibri"/>
                <w:bCs/>
                <w:iCs/>
                <w:szCs w:val="22"/>
                <w:lang w:val="en-GB" w:eastAsia="en-US"/>
              </w:rPr>
              <w:t xml:space="preserve"> Generation mobile network</w:t>
            </w:r>
          </w:p>
        </w:tc>
      </w:tr>
      <w:tr w:rsidR="00ED2C35" w:rsidRPr="00ED2C35" w14:paraId="20AEF742" w14:textId="77777777" w:rsidTr="006C273F">
        <w:trPr>
          <w:jc w:val="center"/>
        </w:trPr>
        <w:tc>
          <w:tcPr>
            <w:tcW w:w="1970" w:type="dxa"/>
            <w:tcBorders>
              <w:top w:val="single" w:sz="6" w:space="0" w:color="auto"/>
              <w:left w:val="single" w:sz="12" w:space="0" w:color="auto"/>
              <w:bottom w:val="single" w:sz="6" w:space="0" w:color="auto"/>
            </w:tcBorders>
          </w:tcPr>
          <w:p w14:paraId="6C43523E"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2G</w:t>
            </w:r>
          </w:p>
        </w:tc>
        <w:tc>
          <w:tcPr>
            <w:tcW w:w="6662" w:type="dxa"/>
            <w:tcBorders>
              <w:top w:val="single" w:sz="6" w:space="0" w:color="auto"/>
              <w:bottom w:val="single" w:sz="6" w:space="0" w:color="auto"/>
              <w:right w:val="single" w:sz="12" w:space="0" w:color="auto"/>
            </w:tcBorders>
          </w:tcPr>
          <w:p w14:paraId="6DB70104" w14:textId="618E2044"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2</w:t>
            </w:r>
            <w:r w:rsidRPr="00ED2C35">
              <w:rPr>
                <w:rFonts w:cs="Calibri"/>
                <w:bCs/>
                <w:iCs/>
                <w:szCs w:val="22"/>
                <w:vertAlign w:val="superscript"/>
                <w:lang w:val="en-GB" w:eastAsia="en-US"/>
              </w:rPr>
              <w:t>nd</w:t>
            </w:r>
            <w:r w:rsidR="00195B2F">
              <w:rPr>
                <w:rFonts w:cs="Calibri"/>
                <w:bCs/>
                <w:iCs/>
                <w:szCs w:val="22"/>
                <w:lang w:val="en-GB" w:eastAsia="en-US"/>
              </w:rPr>
              <w:t xml:space="preserve"> </w:t>
            </w:r>
            <w:r w:rsidRPr="00ED2C35">
              <w:rPr>
                <w:rFonts w:cs="Calibri"/>
                <w:bCs/>
                <w:iCs/>
                <w:szCs w:val="22"/>
                <w:lang w:val="en-GB" w:eastAsia="en-US"/>
              </w:rPr>
              <w:t>Generation mobile network</w:t>
            </w:r>
          </w:p>
        </w:tc>
      </w:tr>
      <w:tr w:rsidR="00ED2C35" w:rsidRPr="00355738" w14:paraId="110C50D0" w14:textId="77777777" w:rsidTr="006C273F">
        <w:trPr>
          <w:jc w:val="center"/>
        </w:trPr>
        <w:tc>
          <w:tcPr>
            <w:tcW w:w="1970" w:type="dxa"/>
            <w:tcBorders>
              <w:top w:val="single" w:sz="6" w:space="0" w:color="auto"/>
              <w:left w:val="single" w:sz="12" w:space="0" w:color="auto"/>
              <w:bottom w:val="single" w:sz="6" w:space="0" w:color="auto"/>
            </w:tcBorders>
          </w:tcPr>
          <w:p w14:paraId="73505BBE"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AA</w:t>
            </w:r>
          </w:p>
        </w:tc>
        <w:tc>
          <w:tcPr>
            <w:tcW w:w="6662" w:type="dxa"/>
            <w:tcBorders>
              <w:top w:val="single" w:sz="6" w:space="0" w:color="auto"/>
              <w:bottom w:val="single" w:sz="6" w:space="0" w:color="auto"/>
              <w:right w:val="single" w:sz="12" w:space="0" w:color="auto"/>
            </w:tcBorders>
          </w:tcPr>
          <w:p w14:paraId="6CDC6DC6" w14:textId="44E1CCF5" w:rsidR="00ED2C35" w:rsidRPr="00ED2C35" w:rsidRDefault="00ED2C35" w:rsidP="00ED2C35">
            <w:pPr>
              <w:spacing w:after="120" w:line="252" w:lineRule="auto"/>
              <w:rPr>
                <w:rFonts w:cs="Calibri"/>
                <w:bCs/>
                <w:iCs/>
                <w:szCs w:val="22"/>
                <w:lang w:val="en-GB" w:eastAsia="en-US"/>
              </w:rPr>
            </w:pPr>
            <w:r w:rsidRPr="00E517D9">
              <w:rPr>
                <w:lang w:val="en-US"/>
              </w:rPr>
              <w:t>Association Agreement</w:t>
            </w:r>
          </w:p>
          <w:p w14:paraId="5F6C388B" w14:textId="2916DF51" w:rsidR="00ED2C35" w:rsidRPr="00ED2C35" w:rsidRDefault="00ED2C35">
            <w:pPr>
              <w:spacing w:after="120" w:line="252" w:lineRule="auto"/>
              <w:rPr>
                <w:rFonts w:cs="Calibri"/>
                <w:bCs/>
                <w:iCs/>
                <w:szCs w:val="22"/>
                <w:lang w:val="en-GB" w:eastAsia="en-US"/>
              </w:rPr>
            </w:pPr>
            <w:r w:rsidRPr="00ED2C35">
              <w:rPr>
                <w:rFonts w:cs="Calibri"/>
                <w:bCs/>
                <w:iCs/>
                <w:szCs w:val="22"/>
                <w:lang w:val="en-GB" w:eastAsia="en-US"/>
              </w:rPr>
              <w:t>EU-Georgia Association Agreement, signed in June 2014.</w:t>
            </w:r>
          </w:p>
          <w:p w14:paraId="55C210D3" w14:textId="70BB48AC" w:rsidR="00ED2C35" w:rsidRPr="00ED2C35" w:rsidRDefault="004B7613" w:rsidP="009A6A62">
            <w:pPr>
              <w:spacing w:after="120" w:line="252" w:lineRule="auto"/>
              <w:rPr>
                <w:rFonts w:cs="Calibri"/>
                <w:bCs/>
                <w:iCs/>
                <w:szCs w:val="22"/>
                <w:lang w:val="en-GB" w:eastAsia="en-US"/>
              </w:rPr>
            </w:pPr>
            <w:hyperlink r:id="rId58" w:history="1">
              <w:r w:rsidR="00ED2C35" w:rsidRPr="00ED2C35">
                <w:rPr>
                  <w:rFonts w:cs="Calibri"/>
                  <w:bCs/>
                  <w:iCs/>
                  <w:color w:val="0000FF"/>
                  <w:szCs w:val="22"/>
                  <w:u w:val="single"/>
                  <w:lang w:val="en-GB" w:eastAsia="en-US"/>
                </w:rPr>
                <w:t>https://old.infocenter.gov.ge/eng-euinfo-the-association-agreement/</w:t>
              </w:r>
            </w:hyperlink>
            <w:r w:rsidR="00ED2C35" w:rsidRPr="00ED2C35">
              <w:rPr>
                <w:rFonts w:cs="Calibri"/>
                <w:bCs/>
                <w:iCs/>
                <w:szCs w:val="22"/>
                <w:lang w:val="en-GB" w:eastAsia="en-US"/>
              </w:rPr>
              <w:t xml:space="preserve"> </w:t>
            </w:r>
          </w:p>
        </w:tc>
      </w:tr>
      <w:tr w:rsidR="00ED2C35" w:rsidRPr="00355738" w14:paraId="7B039185" w14:textId="77777777" w:rsidTr="006C273F">
        <w:trPr>
          <w:jc w:val="center"/>
        </w:trPr>
        <w:tc>
          <w:tcPr>
            <w:tcW w:w="1970" w:type="dxa"/>
            <w:tcBorders>
              <w:top w:val="single" w:sz="6" w:space="0" w:color="auto"/>
              <w:left w:val="single" w:sz="12" w:space="0" w:color="auto"/>
              <w:bottom w:val="single" w:sz="6" w:space="0" w:color="auto"/>
            </w:tcBorders>
          </w:tcPr>
          <w:p w14:paraId="2084ED18"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BEREC</w:t>
            </w:r>
          </w:p>
        </w:tc>
        <w:tc>
          <w:tcPr>
            <w:tcW w:w="6662" w:type="dxa"/>
            <w:tcBorders>
              <w:top w:val="single" w:sz="6" w:space="0" w:color="auto"/>
              <w:bottom w:val="single" w:sz="6" w:space="0" w:color="auto"/>
              <w:right w:val="single" w:sz="12" w:space="0" w:color="auto"/>
            </w:tcBorders>
          </w:tcPr>
          <w:p w14:paraId="268867AB"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Body of European Regulators for Electronic Communications</w:t>
            </w:r>
          </w:p>
          <w:p w14:paraId="59FDDC91" w14:textId="77777777" w:rsidR="00ED2C35" w:rsidRPr="00ED2C35" w:rsidRDefault="00ED2C35" w:rsidP="00ED2C35">
            <w:pPr>
              <w:spacing w:after="120" w:line="252" w:lineRule="auto"/>
              <w:rPr>
                <w:rFonts w:cs="Calibri"/>
                <w:bCs/>
                <w:iCs/>
                <w:szCs w:val="22"/>
                <w:lang w:val="en-GB" w:eastAsia="en-US"/>
              </w:rPr>
            </w:pPr>
            <w:r w:rsidRPr="00ED2C35">
              <w:rPr>
                <w:szCs w:val="22"/>
                <w:lang w:val="en-GB" w:eastAsia="en-US"/>
              </w:rPr>
              <w:t xml:space="preserve">BEREC aims at fostering the independent, consistent and high-quality regulation of digital markets for the benefit of Europe and its citizens. </w:t>
            </w:r>
          </w:p>
        </w:tc>
      </w:tr>
      <w:tr w:rsidR="00ED2C35" w:rsidRPr="00355738" w14:paraId="784AB91D" w14:textId="77777777" w:rsidTr="006C273F">
        <w:trPr>
          <w:jc w:val="center"/>
        </w:trPr>
        <w:tc>
          <w:tcPr>
            <w:tcW w:w="1970" w:type="dxa"/>
            <w:tcBorders>
              <w:top w:val="single" w:sz="6" w:space="0" w:color="auto"/>
              <w:left w:val="single" w:sz="12" w:space="0" w:color="auto"/>
              <w:bottom w:val="single" w:sz="6" w:space="0" w:color="auto"/>
            </w:tcBorders>
          </w:tcPr>
          <w:p w14:paraId="52F29C44"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DESI</w:t>
            </w:r>
          </w:p>
        </w:tc>
        <w:tc>
          <w:tcPr>
            <w:tcW w:w="6662" w:type="dxa"/>
            <w:tcBorders>
              <w:top w:val="single" w:sz="6" w:space="0" w:color="auto"/>
              <w:bottom w:val="single" w:sz="6" w:space="0" w:color="auto"/>
              <w:right w:val="single" w:sz="12" w:space="0" w:color="auto"/>
            </w:tcBorders>
          </w:tcPr>
          <w:p w14:paraId="4061CDC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The Digital Economy and Society Index</w:t>
            </w:r>
          </w:p>
          <w:p w14:paraId="031FDC1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DESI summarises indicators on Europe’s digital performance and tracks the progress of EU countries.</w:t>
            </w:r>
          </w:p>
        </w:tc>
      </w:tr>
      <w:tr w:rsidR="00ED2C35" w:rsidRPr="00355738" w14:paraId="2BBDE207" w14:textId="77777777" w:rsidTr="006C273F">
        <w:trPr>
          <w:jc w:val="center"/>
        </w:trPr>
        <w:tc>
          <w:tcPr>
            <w:tcW w:w="1970" w:type="dxa"/>
            <w:tcBorders>
              <w:top w:val="single" w:sz="6" w:space="0" w:color="auto"/>
              <w:left w:val="single" w:sz="12" w:space="0" w:color="auto"/>
              <w:bottom w:val="single" w:sz="6" w:space="0" w:color="auto"/>
            </w:tcBorders>
          </w:tcPr>
          <w:p w14:paraId="65AC832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DOCSIS</w:t>
            </w:r>
          </w:p>
        </w:tc>
        <w:tc>
          <w:tcPr>
            <w:tcW w:w="6662" w:type="dxa"/>
            <w:tcBorders>
              <w:top w:val="single" w:sz="6" w:space="0" w:color="auto"/>
              <w:bottom w:val="single" w:sz="6" w:space="0" w:color="auto"/>
              <w:right w:val="single" w:sz="12" w:space="0" w:color="auto"/>
            </w:tcBorders>
          </w:tcPr>
          <w:p w14:paraId="263126A6"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Data Over Cable Service Interface Specifications </w:t>
            </w:r>
          </w:p>
          <w:p w14:paraId="46A464DA" w14:textId="26DA518E"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DOCSIS is a globally-recogni</w:t>
            </w:r>
            <w:r w:rsidR="00041519">
              <w:rPr>
                <w:rFonts w:cs="Calibri"/>
                <w:bCs/>
                <w:iCs/>
                <w:szCs w:val="22"/>
                <w:lang w:val="en-GB" w:eastAsia="en-US"/>
              </w:rPr>
              <w:t>s</w:t>
            </w:r>
            <w:r w:rsidRPr="00ED2C35">
              <w:rPr>
                <w:rFonts w:cs="Calibri"/>
                <w:bCs/>
                <w:iCs/>
                <w:szCs w:val="22"/>
                <w:lang w:val="en-GB" w:eastAsia="en-US"/>
              </w:rPr>
              <w:t>ed telecommunications standard that enables high-bandwidth data transfer via existing coaxial cable systems that were originally used in the transmission of cable television program signals.</w:t>
            </w:r>
          </w:p>
        </w:tc>
      </w:tr>
      <w:tr w:rsidR="00ED2C35" w:rsidRPr="00355738" w14:paraId="51AA1253" w14:textId="77777777" w:rsidTr="006C273F">
        <w:trPr>
          <w:jc w:val="center"/>
        </w:trPr>
        <w:tc>
          <w:tcPr>
            <w:tcW w:w="1970" w:type="dxa"/>
            <w:tcBorders>
              <w:top w:val="single" w:sz="6" w:space="0" w:color="auto"/>
              <w:left w:val="single" w:sz="12" w:space="0" w:color="auto"/>
              <w:bottom w:val="single" w:sz="6" w:space="0" w:color="auto"/>
            </w:tcBorders>
          </w:tcPr>
          <w:p w14:paraId="2E94F06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EECC</w:t>
            </w:r>
          </w:p>
        </w:tc>
        <w:tc>
          <w:tcPr>
            <w:tcW w:w="6662" w:type="dxa"/>
            <w:tcBorders>
              <w:top w:val="single" w:sz="6" w:space="0" w:color="auto"/>
              <w:bottom w:val="single" w:sz="6" w:space="0" w:color="auto"/>
              <w:right w:val="single" w:sz="12" w:space="0" w:color="auto"/>
            </w:tcBorders>
          </w:tcPr>
          <w:p w14:paraId="22D83CD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EU Electronic Communications Code</w:t>
            </w:r>
          </w:p>
          <w:p w14:paraId="5CA2191B" w14:textId="2478AFA4" w:rsidR="00ED2C35" w:rsidRPr="00ED2C35" w:rsidRDefault="00ED2C35" w:rsidP="00ED2C35">
            <w:pPr>
              <w:spacing w:after="120" w:line="252" w:lineRule="auto"/>
              <w:rPr>
                <w:rFonts w:cs="Calibri"/>
                <w:bCs/>
                <w:iCs/>
                <w:szCs w:val="22"/>
                <w:lang w:val="en-GB" w:eastAsia="en-US"/>
              </w:rPr>
            </w:pPr>
            <w:r w:rsidRPr="00E517D9">
              <w:rPr>
                <w:lang w:val="en-US"/>
              </w:rPr>
              <w:t>DIRECTIVE</w:t>
            </w:r>
            <w:r w:rsidRPr="00ED2C35">
              <w:rPr>
                <w:rFonts w:cs="Calibri"/>
                <w:bCs/>
                <w:iCs/>
                <w:szCs w:val="22"/>
                <w:lang w:val="en-GB" w:eastAsia="en-US"/>
              </w:rPr>
              <w:t xml:space="preserve"> (EU) 2018/1972 OF THE EUROPEAN PARLIAMENT AND OF THE COUNCIL</w:t>
            </w:r>
            <w:r w:rsidR="00195B2F">
              <w:rPr>
                <w:rFonts w:cs="Calibri"/>
                <w:bCs/>
                <w:iCs/>
                <w:szCs w:val="22"/>
                <w:lang w:val="en-GB" w:eastAsia="en-US"/>
              </w:rPr>
              <w:t xml:space="preserve"> </w:t>
            </w:r>
            <w:r w:rsidRPr="00ED2C35">
              <w:rPr>
                <w:rFonts w:cs="Calibri"/>
                <w:bCs/>
                <w:iCs/>
                <w:szCs w:val="22"/>
                <w:lang w:val="en-GB" w:eastAsia="en-US"/>
              </w:rPr>
              <w:t xml:space="preserve">of 11 December 2018 </w:t>
            </w:r>
            <w:hyperlink r:id="rId59" w:history="1">
              <w:r w:rsidRPr="00ED2C35">
                <w:rPr>
                  <w:rFonts w:cs="Calibri"/>
                  <w:bCs/>
                  <w:iCs/>
                  <w:color w:val="0000FF"/>
                  <w:szCs w:val="22"/>
                  <w:u w:val="single"/>
                  <w:lang w:val="en-GB" w:eastAsia="en-US"/>
                </w:rPr>
                <w:t>https://eur-lex.europa.eu/legal-content/EN/TXT/?uri=CELEX%3A32018L1972</w:t>
              </w:r>
            </w:hyperlink>
            <w:r w:rsidRPr="00ED2C35">
              <w:rPr>
                <w:rFonts w:cs="Calibri"/>
                <w:bCs/>
                <w:iCs/>
                <w:szCs w:val="22"/>
                <w:lang w:val="en-GB" w:eastAsia="en-US"/>
              </w:rPr>
              <w:t xml:space="preserve"> </w:t>
            </w:r>
          </w:p>
        </w:tc>
      </w:tr>
      <w:tr w:rsidR="00ED2C35" w:rsidRPr="00355738" w14:paraId="2CD97F1F" w14:textId="77777777" w:rsidTr="006C273F">
        <w:trPr>
          <w:jc w:val="center"/>
        </w:trPr>
        <w:tc>
          <w:tcPr>
            <w:tcW w:w="1970" w:type="dxa"/>
            <w:tcBorders>
              <w:top w:val="single" w:sz="6" w:space="0" w:color="auto"/>
              <w:left w:val="single" w:sz="12" w:space="0" w:color="auto"/>
              <w:bottom w:val="single" w:sz="6" w:space="0" w:color="auto"/>
            </w:tcBorders>
          </w:tcPr>
          <w:p w14:paraId="048DDB1D"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FWA</w:t>
            </w:r>
          </w:p>
        </w:tc>
        <w:tc>
          <w:tcPr>
            <w:tcW w:w="6662" w:type="dxa"/>
            <w:tcBorders>
              <w:top w:val="single" w:sz="6" w:space="0" w:color="auto"/>
              <w:bottom w:val="single" w:sz="6" w:space="0" w:color="auto"/>
              <w:right w:val="single" w:sz="12" w:space="0" w:color="auto"/>
            </w:tcBorders>
          </w:tcPr>
          <w:p w14:paraId="511B9CA9"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Fixed Wireless Access</w:t>
            </w:r>
          </w:p>
          <w:p w14:paraId="2B55D0EB"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A collective term used to describe some wireless technologies, which are capable of providing broadband access on fixed location (for example CDMA, MMDS). LTE is excluded.</w:t>
            </w:r>
          </w:p>
          <w:p w14:paraId="163C92D4"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The term in Georgia is not fully in line with the usual meaning in the rest of the world. However, it is used in the document since ComCom is used it on its Analytical Portal. </w:t>
            </w:r>
          </w:p>
        </w:tc>
      </w:tr>
      <w:tr w:rsidR="00ED2C35" w:rsidRPr="00355738" w14:paraId="143888DE" w14:textId="77777777" w:rsidTr="006C273F">
        <w:trPr>
          <w:jc w:val="center"/>
        </w:trPr>
        <w:tc>
          <w:tcPr>
            <w:tcW w:w="1970" w:type="dxa"/>
            <w:tcBorders>
              <w:top w:val="single" w:sz="6" w:space="0" w:color="auto"/>
              <w:left w:val="single" w:sz="12" w:space="0" w:color="auto"/>
              <w:bottom w:val="single" w:sz="6" w:space="0" w:color="auto"/>
            </w:tcBorders>
          </w:tcPr>
          <w:p w14:paraId="2EEE9344"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FTTx</w:t>
            </w:r>
          </w:p>
        </w:tc>
        <w:tc>
          <w:tcPr>
            <w:tcW w:w="6662" w:type="dxa"/>
            <w:tcBorders>
              <w:top w:val="single" w:sz="6" w:space="0" w:color="auto"/>
              <w:bottom w:val="single" w:sz="6" w:space="0" w:color="auto"/>
              <w:right w:val="single" w:sz="12" w:space="0" w:color="auto"/>
            </w:tcBorders>
          </w:tcPr>
          <w:p w14:paraId="11946AB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Fibre To The x</w:t>
            </w:r>
          </w:p>
          <w:p w14:paraId="05CF1EF1" w14:textId="23161A80"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A collective term used to describe a wide range of broadband network architecture options utili</w:t>
            </w:r>
            <w:r w:rsidR="00041519">
              <w:rPr>
                <w:rFonts w:cs="Calibri"/>
                <w:bCs/>
                <w:iCs/>
                <w:szCs w:val="22"/>
                <w:lang w:val="en-GB" w:eastAsia="en-US"/>
              </w:rPr>
              <w:t>s</w:t>
            </w:r>
            <w:r w:rsidRPr="00ED2C35">
              <w:rPr>
                <w:rFonts w:cs="Calibri"/>
                <w:bCs/>
                <w:iCs/>
                <w:szCs w:val="22"/>
                <w:lang w:val="en-GB" w:eastAsia="en-US"/>
              </w:rPr>
              <w:t>ing optical fibre for some part or all of their last mile connectivity.</w:t>
            </w:r>
          </w:p>
          <w:p w14:paraId="75E2ADF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FTTx may refer (but not limited to) FTTH (Fibre To The Home), FTTB (Fibre To The Building), FTTC (Fibre To The Cabinet) etc</w:t>
            </w:r>
          </w:p>
        </w:tc>
      </w:tr>
      <w:tr w:rsidR="00ED2C35" w:rsidRPr="00355738" w14:paraId="77613B01" w14:textId="77777777" w:rsidTr="006C273F">
        <w:trPr>
          <w:jc w:val="center"/>
        </w:trPr>
        <w:tc>
          <w:tcPr>
            <w:tcW w:w="1970" w:type="dxa"/>
            <w:tcBorders>
              <w:top w:val="single" w:sz="6" w:space="0" w:color="auto"/>
              <w:left w:val="single" w:sz="12" w:space="0" w:color="auto"/>
              <w:bottom w:val="single" w:sz="6" w:space="0" w:color="auto"/>
            </w:tcBorders>
          </w:tcPr>
          <w:p w14:paraId="57E75FA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GPON</w:t>
            </w:r>
          </w:p>
        </w:tc>
        <w:tc>
          <w:tcPr>
            <w:tcW w:w="6662" w:type="dxa"/>
            <w:tcBorders>
              <w:top w:val="single" w:sz="6" w:space="0" w:color="auto"/>
              <w:bottom w:val="single" w:sz="6" w:space="0" w:color="auto"/>
              <w:right w:val="single" w:sz="12" w:space="0" w:color="auto"/>
            </w:tcBorders>
          </w:tcPr>
          <w:p w14:paraId="624E3E1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Gigabyte Passive Optical Network</w:t>
            </w:r>
          </w:p>
          <w:p w14:paraId="6EB02AA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GPON is a telecommunications framework capable of high gigabit speeds, the most used PON technology in many countries, including Georgia.</w:t>
            </w:r>
          </w:p>
        </w:tc>
      </w:tr>
      <w:tr w:rsidR="00ED2C35" w:rsidRPr="00355738" w14:paraId="5915ECF0" w14:textId="77777777" w:rsidTr="006C273F">
        <w:trPr>
          <w:jc w:val="center"/>
        </w:trPr>
        <w:tc>
          <w:tcPr>
            <w:tcW w:w="1970" w:type="dxa"/>
            <w:tcBorders>
              <w:top w:val="single" w:sz="6" w:space="0" w:color="auto"/>
              <w:left w:val="single" w:sz="12" w:space="0" w:color="auto"/>
              <w:bottom w:val="single" w:sz="6" w:space="0" w:color="auto"/>
            </w:tcBorders>
            <w:shd w:val="clear" w:color="auto" w:fill="auto"/>
          </w:tcPr>
          <w:p w14:paraId="68219CC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IP</w:t>
            </w:r>
          </w:p>
        </w:tc>
        <w:tc>
          <w:tcPr>
            <w:tcW w:w="6662" w:type="dxa"/>
            <w:tcBorders>
              <w:top w:val="single" w:sz="6" w:space="0" w:color="auto"/>
              <w:bottom w:val="single" w:sz="6" w:space="0" w:color="auto"/>
              <w:right w:val="single" w:sz="12" w:space="0" w:color="auto"/>
            </w:tcBorders>
            <w:shd w:val="clear" w:color="auto" w:fill="auto"/>
          </w:tcPr>
          <w:p w14:paraId="6C87A10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Internet Protocol</w:t>
            </w:r>
          </w:p>
          <w:p w14:paraId="2A389E19"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IP is the set of rules governing the format of data sent via the internet or local network. In essence, IP addresses are the identifier that allows information to be sent between devices on a network: they contain location information and make devices accessible for communication.</w:t>
            </w:r>
          </w:p>
        </w:tc>
      </w:tr>
      <w:tr w:rsidR="00ED2C35" w:rsidRPr="00355738" w14:paraId="719078CF" w14:textId="77777777" w:rsidTr="006C273F">
        <w:trPr>
          <w:jc w:val="center"/>
        </w:trPr>
        <w:tc>
          <w:tcPr>
            <w:tcW w:w="1970" w:type="dxa"/>
            <w:tcBorders>
              <w:top w:val="single" w:sz="6" w:space="0" w:color="auto"/>
              <w:left w:val="single" w:sz="12" w:space="0" w:color="auto"/>
              <w:bottom w:val="single" w:sz="6" w:space="0" w:color="auto"/>
            </w:tcBorders>
          </w:tcPr>
          <w:p w14:paraId="392F947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ISP</w:t>
            </w:r>
          </w:p>
        </w:tc>
        <w:tc>
          <w:tcPr>
            <w:tcW w:w="6662" w:type="dxa"/>
            <w:tcBorders>
              <w:top w:val="single" w:sz="6" w:space="0" w:color="auto"/>
              <w:bottom w:val="single" w:sz="6" w:space="0" w:color="auto"/>
              <w:right w:val="single" w:sz="12" w:space="0" w:color="auto"/>
            </w:tcBorders>
          </w:tcPr>
          <w:p w14:paraId="715EAA69"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Internet Service Provider </w:t>
            </w:r>
          </w:p>
          <w:p w14:paraId="57BC658B"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ISP is a company that provides access to the internet. ISPs can provide this access through multiple means, xDSL, cable, wireless and fibre-optic connections. </w:t>
            </w:r>
          </w:p>
        </w:tc>
      </w:tr>
      <w:tr w:rsidR="00ED2C35" w:rsidRPr="00ED2C35" w14:paraId="3D789B26" w14:textId="77777777" w:rsidTr="006C273F">
        <w:trPr>
          <w:jc w:val="center"/>
        </w:trPr>
        <w:tc>
          <w:tcPr>
            <w:tcW w:w="1970" w:type="dxa"/>
            <w:tcBorders>
              <w:top w:val="single" w:sz="6" w:space="0" w:color="auto"/>
              <w:left w:val="single" w:sz="12" w:space="0" w:color="auto"/>
              <w:bottom w:val="single" w:sz="6" w:space="0" w:color="auto"/>
            </w:tcBorders>
          </w:tcPr>
          <w:p w14:paraId="4E778BF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IPTV</w:t>
            </w:r>
          </w:p>
        </w:tc>
        <w:tc>
          <w:tcPr>
            <w:tcW w:w="6662" w:type="dxa"/>
            <w:tcBorders>
              <w:top w:val="single" w:sz="6" w:space="0" w:color="auto"/>
              <w:bottom w:val="single" w:sz="6" w:space="0" w:color="auto"/>
              <w:right w:val="single" w:sz="12" w:space="0" w:color="auto"/>
            </w:tcBorders>
          </w:tcPr>
          <w:p w14:paraId="5B40885F"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Internet Protocol Television </w:t>
            </w:r>
          </w:p>
          <w:p w14:paraId="55BC8CF6"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IPTV is the delivery of television content over Internet Protocol (IP) networks. This is in contrast to delivery through traditional terrestrial, satellite, and cable television formats. IPTV enables advanced functions, such as time shift.</w:t>
            </w:r>
          </w:p>
        </w:tc>
      </w:tr>
      <w:tr w:rsidR="00ED2C35" w:rsidRPr="00ED2C35" w14:paraId="0AB7FD16" w14:textId="77777777" w:rsidTr="006C273F">
        <w:trPr>
          <w:jc w:val="center"/>
        </w:trPr>
        <w:tc>
          <w:tcPr>
            <w:tcW w:w="1970" w:type="dxa"/>
            <w:tcBorders>
              <w:top w:val="single" w:sz="6" w:space="0" w:color="auto"/>
              <w:left w:val="single" w:sz="12" w:space="0" w:color="auto"/>
              <w:bottom w:val="single" w:sz="6" w:space="0" w:color="auto"/>
            </w:tcBorders>
          </w:tcPr>
          <w:p w14:paraId="56E4DC3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L2</w:t>
            </w:r>
          </w:p>
        </w:tc>
        <w:tc>
          <w:tcPr>
            <w:tcW w:w="6662" w:type="dxa"/>
            <w:tcBorders>
              <w:top w:val="single" w:sz="6" w:space="0" w:color="auto"/>
              <w:bottom w:val="single" w:sz="6" w:space="0" w:color="auto"/>
              <w:right w:val="single" w:sz="12" w:space="0" w:color="auto"/>
            </w:tcBorders>
          </w:tcPr>
          <w:p w14:paraId="24E11AE6"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Layer 2: The Data Link Layer (OSI reference model)</w:t>
            </w:r>
          </w:p>
          <w:p w14:paraId="6AD1B920"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Layer 2 is responsible for the following key tasks: Hardware addressing: Layer 2 uses unique device identifiers called MAC (Media Access Control) addresses. These are permanent hardware addresses added to devices by vendors when they are manufactured. The most important protocol at that layer is Ethernet.</w:t>
            </w:r>
          </w:p>
        </w:tc>
      </w:tr>
      <w:tr w:rsidR="00ED2C35" w:rsidRPr="00355738" w14:paraId="05448788" w14:textId="77777777" w:rsidTr="006C273F">
        <w:trPr>
          <w:jc w:val="center"/>
        </w:trPr>
        <w:tc>
          <w:tcPr>
            <w:tcW w:w="1970" w:type="dxa"/>
            <w:tcBorders>
              <w:top w:val="single" w:sz="6" w:space="0" w:color="auto"/>
              <w:left w:val="single" w:sz="12" w:space="0" w:color="auto"/>
              <w:bottom w:val="single" w:sz="6" w:space="0" w:color="auto"/>
            </w:tcBorders>
          </w:tcPr>
          <w:p w14:paraId="4F74DD3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L3</w:t>
            </w:r>
          </w:p>
        </w:tc>
        <w:tc>
          <w:tcPr>
            <w:tcW w:w="6662" w:type="dxa"/>
            <w:tcBorders>
              <w:top w:val="single" w:sz="6" w:space="0" w:color="auto"/>
              <w:bottom w:val="single" w:sz="6" w:space="0" w:color="auto"/>
              <w:right w:val="single" w:sz="12" w:space="0" w:color="auto"/>
            </w:tcBorders>
          </w:tcPr>
          <w:p w14:paraId="5157E8A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Layer 3: The Network Layer (OSI reference model)</w:t>
            </w:r>
          </w:p>
          <w:p w14:paraId="34859F7E"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The most significant protocol at layer 3 (also called the network layer) is the Internet Protocol, or IP. IP is the standard for routing packets across interconnected networks, hence, the name internet. It is an encapsulating protocol similar to the way Ethernet is an encapsulating protocol.</w:t>
            </w:r>
          </w:p>
        </w:tc>
      </w:tr>
      <w:tr w:rsidR="00ED2C35" w:rsidRPr="00355738" w14:paraId="6B14F4C8" w14:textId="77777777" w:rsidTr="006C273F">
        <w:trPr>
          <w:jc w:val="center"/>
        </w:trPr>
        <w:tc>
          <w:tcPr>
            <w:tcW w:w="1970" w:type="dxa"/>
            <w:tcBorders>
              <w:top w:val="single" w:sz="6" w:space="0" w:color="auto"/>
              <w:left w:val="single" w:sz="12" w:space="0" w:color="auto"/>
              <w:bottom w:val="single" w:sz="6" w:space="0" w:color="auto"/>
            </w:tcBorders>
          </w:tcPr>
          <w:p w14:paraId="31102F5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LTE </w:t>
            </w:r>
          </w:p>
        </w:tc>
        <w:tc>
          <w:tcPr>
            <w:tcW w:w="6662" w:type="dxa"/>
            <w:tcBorders>
              <w:top w:val="single" w:sz="6" w:space="0" w:color="auto"/>
              <w:bottom w:val="single" w:sz="6" w:space="0" w:color="auto"/>
              <w:right w:val="single" w:sz="12" w:space="0" w:color="auto"/>
            </w:tcBorders>
          </w:tcPr>
          <w:p w14:paraId="54F4182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Long Term Evolution </w:t>
            </w:r>
          </w:p>
          <w:p w14:paraId="334EA4C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LTE is a standard for wireless data transmission. It is now in its mature phase and will be succeeded by 5G networks.</w:t>
            </w:r>
          </w:p>
        </w:tc>
      </w:tr>
      <w:tr w:rsidR="00ED2C35" w:rsidRPr="00355738" w14:paraId="51FD18FE" w14:textId="77777777" w:rsidTr="006C273F">
        <w:trPr>
          <w:jc w:val="center"/>
        </w:trPr>
        <w:tc>
          <w:tcPr>
            <w:tcW w:w="1970" w:type="dxa"/>
            <w:tcBorders>
              <w:top w:val="single" w:sz="6" w:space="0" w:color="auto"/>
              <w:left w:val="single" w:sz="12" w:space="0" w:color="auto"/>
              <w:bottom w:val="single" w:sz="6" w:space="0" w:color="auto"/>
            </w:tcBorders>
          </w:tcPr>
          <w:p w14:paraId="1DFF9239"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MDF</w:t>
            </w:r>
          </w:p>
        </w:tc>
        <w:tc>
          <w:tcPr>
            <w:tcW w:w="6662" w:type="dxa"/>
            <w:tcBorders>
              <w:top w:val="single" w:sz="6" w:space="0" w:color="auto"/>
              <w:bottom w:val="single" w:sz="6" w:space="0" w:color="auto"/>
              <w:right w:val="single" w:sz="12" w:space="0" w:color="auto"/>
            </w:tcBorders>
          </w:tcPr>
          <w:p w14:paraId="70994808"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Main Distribution Frame</w:t>
            </w:r>
          </w:p>
          <w:p w14:paraId="436D450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MDF is the primary hub or demarcation point that interconnects private or public IT and telecommunication lines coming into a building to an internal network via any number of intermediate distribution frames (IDFs).</w:t>
            </w:r>
          </w:p>
        </w:tc>
      </w:tr>
      <w:tr w:rsidR="00ED2C35" w:rsidRPr="00355738" w14:paraId="33B5A466" w14:textId="77777777" w:rsidTr="006C273F">
        <w:trPr>
          <w:jc w:val="center"/>
        </w:trPr>
        <w:tc>
          <w:tcPr>
            <w:tcW w:w="1970" w:type="dxa"/>
            <w:tcBorders>
              <w:top w:val="single" w:sz="6" w:space="0" w:color="auto"/>
              <w:left w:val="single" w:sz="12" w:space="0" w:color="auto"/>
              <w:bottom w:val="single" w:sz="6" w:space="0" w:color="auto"/>
            </w:tcBorders>
          </w:tcPr>
          <w:p w14:paraId="75B4BC1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MMDS</w:t>
            </w:r>
          </w:p>
        </w:tc>
        <w:tc>
          <w:tcPr>
            <w:tcW w:w="6662" w:type="dxa"/>
            <w:tcBorders>
              <w:top w:val="single" w:sz="6" w:space="0" w:color="auto"/>
              <w:bottom w:val="single" w:sz="6" w:space="0" w:color="auto"/>
              <w:right w:val="single" w:sz="12" w:space="0" w:color="auto"/>
            </w:tcBorders>
          </w:tcPr>
          <w:p w14:paraId="31A1775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Multichannel Multipoint Distribution Service</w:t>
            </w:r>
          </w:p>
          <w:p w14:paraId="1A6BC6C8"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MMDS is a fixed wireless technology, sometimes referred to as “wireless cable TV” or “wireless generic DSL (xDSL)”. MMDS operates between 2.5GHz and 2.7GHz and is used for broadcasting, personal communications and interactive media services.</w:t>
            </w:r>
          </w:p>
        </w:tc>
      </w:tr>
      <w:tr w:rsidR="00ED2C35" w:rsidRPr="00ED2C35" w14:paraId="1F00BA0C" w14:textId="77777777" w:rsidTr="006C273F">
        <w:trPr>
          <w:jc w:val="center"/>
        </w:trPr>
        <w:tc>
          <w:tcPr>
            <w:tcW w:w="1970" w:type="dxa"/>
            <w:tcBorders>
              <w:top w:val="single" w:sz="6" w:space="0" w:color="auto"/>
              <w:left w:val="single" w:sz="12" w:space="0" w:color="auto"/>
              <w:bottom w:val="single" w:sz="6" w:space="0" w:color="auto"/>
            </w:tcBorders>
          </w:tcPr>
          <w:p w14:paraId="5A70AA4E"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NRA</w:t>
            </w:r>
          </w:p>
        </w:tc>
        <w:tc>
          <w:tcPr>
            <w:tcW w:w="6662" w:type="dxa"/>
            <w:tcBorders>
              <w:top w:val="single" w:sz="6" w:space="0" w:color="auto"/>
              <w:bottom w:val="single" w:sz="6" w:space="0" w:color="auto"/>
              <w:right w:val="single" w:sz="12" w:space="0" w:color="auto"/>
            </w:tcBorders>
          </w:tcPr>
          <w:p w14:paraId="2F42569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National Regulatory Authority</w:t>
            </w:r>
          </w:p>
        </w:tc>
      </w:tr>
      <w:tr w:rsidR="00ED2C35" w:rsidRPr="00355738" w14:paraId="50CCBA88" w14:textId="77777777" w:rsidTr="006C273F">
        <w:trPr>
          <w:jc w:val="center"/>
        </w:trPr>
        <w:tc>
          <w:tcPr>
            <w:tcW w:w="1970" w:type="dxa"/>
            <w:tcBorders>
              <w:top w:val="single" w:sz="6" w:space="0" w:color="auto"/>
              <w:left w:val="single" w:sz="12" w:space="0" w:color="auto"/>
              <w:bottom w:val="single" w:sz="6" w:space="0" w:color="auto"/>
            </w:tcBorders>
          </w:tcPr>
          <w:p w14:paraId="79EE140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ODF</w:t>
            </w:r>
          </w:p>
        </w:tc>
        <w:tc>
          <w:tcPr>
            <w:tcW w:w="6662" w:type="dxa"/>
            <w:tcBorders>
              <w:top w:val="single" w:sz="6" w:space="0" w:color="auto"/>
              <w:bottom w:val="single" w:sz="6" w:space="0" w:color="auto"/>
              <w:right w:val="single" w:sz="12" w:space="0" w:color="auto"/>
            </w:tcBorders>
          </w:tcPr>
          <w:p w14:paraId="3D826CA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Optic Distribution Frame</w:t>
            </w:r>
          </w:p>
          <w:p w14:paraId="4F8F8ACD" w14:textId="7C997D7E"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ODF is a frame used to provide fib</w:t>
            </w:r>
            <w:r w:rsidR="00B134C3">
              <w:rPr>
                <w:rFonts w:cs="Calibri"/>
                <w:bCs/>
                <w:iCs/>
                <w:szCs w:val="22"/>
                <w:lang w:val="en-GB" w:eastAsia="en-US"/>
              </w:rPr>
              <w:t>r</w:t>
            </w:r>
            <w:r w:rsidRPr="00ED2C35">
              <w:rPr>
                <w:rFonts w:cs="Calibri"/>
                <w:bCs/>
                <w:iCs/>
                <w:szCs w:val="22"/>
                <w:lang w:val="en-GB" w:eastAsia="en-US"/>
              </w:rPr>
              <w:t>e cable interconnections between communication facilities, which can integrate fibr</w:t>
            </w:r>
            <w:r w:rsidR="00B134C3">
              <w:rPr>
                <w:rFonts w:cs="Calibri"/>
                <w:bCs/>
                <w:iCs/>
                <w:szCs w:val="22"/>
                <w:lang w:val="en-GB" w:eastAsia="en-US"/>
              </w:rPr>
              <w:t>e</w:t>
            </w:r>
            <w:r w:rsidRPr="00ED2C35">
              <w:rPr>
                <w:rFonts w:cs="Calibri"/>
                <w:bCs/>
                <w:iCs/>
                <w:szCs w:val="22"/>
                <w:lang w:val="en-GB" w:eastAsia="en-US"/>
              </w:rPr>
              <w:t xml:space="preserve"> splicing, fib</w:t>
            </w:r>
            <w:r w:rsidR="00B134C3">
              <w:rPr>
                <w:rFonts w:cs="Calibri"/>
                <w:bCs/>
                <w:iCs/>
                <w:szCs w:val="22"/>
                <w:lang w:val="en-GB" w:eastAsia="en-US"/>
              </w:rPr>
              <w:t>r</w:t>
            </w:r>
            <w:r w:rsidRPr="00ED2C35">
              <w:rPr>
                <w:rFonts w:cs="Calibri"/>
                <w:bCs/>
                <w:iCs/>
                <w:szCs w:val="22"/>
                <w:lang w:val="en-GB" w:eastAsia="en-US"/>
              </w:rPr>
              <w:t>e termination, fib</w:t>
            </w:r>
            <w:r w:rsidR="00B134C3">
              <w:rPr>
                <w:rFonts w:cs="Calibri"/>
                <w:bCs/>
                <w:iCs/>
                <w:szCs w:val="22"/>
                <w:lang w:val="en-GB" w:eastAsia="en-US"/>
              </w:rPr>
              <w:t>re</w:t>
            </w:r>
            <w:r w:rsidRPr="00ED2C35">
              <w:rPr>
                <w:rFonts w:cs="Calibri"/>
                <w:bCs/>
                <w:iCs/>
                <w:szCs w:val="22"/>
                <w:lang w:val="en-GB" w:eastAsia="en-US"/>
              </w:rPr>
              <w:t xml:space="preserve"> optic adapters &amp; connectors and cable connections together in a single unit.</w:t>
            </w:r>
          </w:p>
        </w:tc>
      </w:tr>
      <w:tr w:rsidR="00ED2C35" w:rsidRPr="00ED2C35" w14:paraId="4C2587A3" w14:textId="77777777" w:rsidTr="006C273F">
        <w:trPr>
          <w:jc w:val="center"/>
        </w:trPr>
        <w:tc>
          <w:tcPr>
            <w:tcW w:w="1970" w:type="dxa"/>
            <w:tcBorders>
              <w:top w:val="single" w:sz="6" w:space="0" w:color="auto"/>
              <w:left w:val="single" w:sz="12" w:space="0" w:color="auto"/>
              <w:bottom w:val="single" w:sz="6" w:space="0" w:color="auto"/>
            </w:tcBorders>
          </w:tcPr>
          <w:p w14:paraId="591CC800"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OLT</w:t>
            </w:r>
          </w:p>
        </w:tc>
        <w:tc>
          <w:tcPr>
            <w:tcW w:w="6662" w:type="dxa"/>
            <w:tcBorders>
              <w:top w:val="single" w:sz="6" w:space="0" w:color="auto"/>
              <w:bottom w:val="single" w:sz="6" w:space="0" w:color="auto"/>
              <w:right w:val="single" w:sz="12" w:space="0" w:color="auto"/>
            </w:tcBorders>
          </w:tcPr>
          <w:p w14:paraId="4031849D"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Optical Line Terminal</w:t>
            </w:r>
          </w:p>
          <w:p w14:paraId="46B941FE"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An OLT is the device that serves as your ISPs endpoint of the passive optical network (PON). The OLT also provides the interface between a PON and your ISP's core network. Simply put, an OLT is ISP equipment.</w:t>
            </w:r>
          </w:p>
        </w:tc>
      </w:tr>
      <w:tr w:rsidR="00ED2C35" w:rsidRPr="00355738" w14:paraId="3CDA2BF5" w14:textId="77777777" w:rsidTr="006C273F">
        <w:trPr>
          <w:jc w:val="center"/>
        </w:trPr>
        <w:tc>
          <w:tcPr>
            <w:tcW w:w="1970" w:type="dxa"/>
            <w:tcBorders>
              <w:top w:val="single" w:sz="6" w:space="0" w:color="auto"/>
              <w:left w:val="single" w:sz="12" w:space="0" w:color="auto"/>
              <w:bottom w:val="single" w:sz="6" w:space="0" w:color="auto"/>
            </w:tcBorders>
          </w:tcPr>
          <w:p w14:paraId="56D1544D"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ONT</w:t>
            </w:r>
          </w:p>
        </w:tc>
        <w:tc>
          <w:tcPr>
            <w:tcW w:w="6662" w:type="dxa"/>
            <w:tcBorders>
              <w:top w:val="single" w:sz="6" w:space="0" w:color="auto"/>
              <w:bottom w:val="single" w:sz="6" w:space="0" w:color="auto"/>
              <w:right w:val="single" w:sz="12" w:space="0" w:color="auto"/>
            </w:tcBorders>
          </w:tcPr>
          <w:p w14:paraId="379BF0E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Optical Network Terminal (also known as the modem)</w:t>
            </w:r>
          </w:p>
          <w:p w14:paraId="7474B895" w14:textId="750726BB"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ONT is connected to the Termination Point (TP) via an optical fib</w:t>
            </w:r>
            <w:r w:rsidR="00B134C3">
              <w:rPr>
                <w:rFonts w:cs="Calibri"/>
                <w:bCs/>
                <w:iCs/>
                <w:szCs w:val="22"/>
                <w:lang w:val="en-GB" w:eastAsia="en-US"/>
              </w:rPr>
              <w:t>re</w:t>
            </w:r>
            <w:r w:rsidRPr="00ED2C35">
              <w:rPr>
                <w:rFonts w:cs="Calibri"/>
                <w:bCs/>
                <w:iCs/>
                <w:szCs w:val="22"/>
                <w:lang w:val="en-GB" w:eastAsia="en-US"/>
              </w:rPr>
              <w:t xml:space="preserve"> cable. Using an Ethernet cable, it connects to end user’s router and converts light signals from your TP's fib</w:t>
            </w:r>
            <w:r w:rsidR="00B134C3">
              <w:rPr>
                <w:rFonts w:cs="Calibri"/>
                <w:bCs/>
                <w:iCs/>
                <w:szCs w:val="22"/>
                <w:lang w:val="en-GB" w:eastAsia="en-US"/>
              </w:rPr>
              <w:t>re</w:t>
            </w:r>
            <w:r w:rsidRPr="00ED2C35">
              <w:rPr>
                <w:rFonts w:cs="Calibri"/>
                <w:bCs/>
                <w:iCs/>
                <w:szCs w:val="22"/>
                <w:lang w:val="en-GB" w:eastAsia="en-US"/>
              </w:rPr>
              <w:t xml:space="preserve"> optic line into electronic signals that </w:t>
            </w:r>
            <w:r w:rsidR="00B134C3">
              <w:rPr>
                <w:rFonts w:cs="Calibri"/>
                <w:bCs/>
                <w:iCs/>
                <w:szCs w:val="22"/>
                <w:lang w:val="en-GB" w:eastAsia="en-US"/>
              </w:rPr>
              <w:t xml:space="preserve">an </w:t>
            </w:r>
            <w:r w:rsidRPr="00ED2C35">
              <w:rPr>
                <w:rFonts w:cs="Calibri"/>
                <w:bCs/>
                <w:iCs/>
                <w:szCs w:val="22"/>
                <w:lang w:val="en-GB" w:eastAsia="en-US"/>
              </w:rPr>
              <w:t>end user</w:t>
            </w:r>
            <w:r w:rsidR="00B134C3">
              <w:rPr>
                <w:rFonts w:cs="Calibri"/>
                <w:bCs/>
                <w:iCs/>
                <w:szCs w:val="22"/>
                <w:lang w:val="en-GB" w:eastAsia="en-US"/>
              </w:rPr>
              <w:t>’</w:t>
            </w:r>
            <w:r w:rsidRPr="00ED2C35">
              <w:rPr>
                <w:rFonts w:cs="Calibri"/>
                <w:bCs/>
                <w:iCs/>
                <w:szCs w:val="22"/>
                <w:lang w:val="en-GB" w:eastAsia="en-US"/>
              </w:rPr>
              <w:t>s router can understand.</w:t>
            </w:r>
          </w:p>
        </w:tc>
      </w:tr>
      <w:tr w:rsidR="00ED2C35" w:rsidRPr="00355738" w14:paraId="28DD1EA8" w14:textId="77777777" w:rsidTr="006C273F">
        <w:trPr>
          <w:jc w:val="center"/>
        </w:trPr>
        <w:tc>
          <w:tcPr>
            <w:tcW w:w="1970" w:type="dxa"/>
            <w:tcBorders>
              <w:top w:val="single" w:sz="6" w:space="0" w:color="auto"/>
              <w:left w:val="single" w:sz="12" w:space="0" w:color="auto"/>
              <w:bottom w:val="single" w:sz="6" w:space="0" w:color="auto"/>
            </w:tcBorders>
          </w:tcPr>
          <w:p w14:paraId="18D52B5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OTT</w:t>
            </w:r>
          </w:p>
        </w:tc>
        <w:tc>
          <w:tcPr>
            <w:tcW w:w="6662" w:type="dxa"/>
            <w:tcBorders>
              <w:top w:val="single" w:sz="6" w:space="0" w:color="auto"/>
              <w:bottom w:val="single" w:sz="6" w:space="0" w:color="auto"/>
              <w:right w:val="single" w:sz="12" w:space="0" w:color="auto"/>
            </w:tcBorders>
          </w:tcPr>
          <w:p w14:paraId="44ECCAE6"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Over-The-Top provider</w:t>
            </w:r>
          </w:p>
          <w:p w14:paraId="4B30C40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OTT is where a telecommunications service provider delivers one or more services across an IP network. The IP networks is predominantly the public internet (Netflix, Viber…)</w:t>
            </w:r>
          </w:p>
        </w:tc>
      </w:tr>
      <w:tr w:rsidR="00ED2C35" w:rsidRPr="00355738" w14:paraId="19843ABE" w14:textId="77777777" w:rsidTr="006C273F">
        <w:trPr>
          <w:jc w:val="center"/>
        </w:trPr>
        <w:tc>
          <w:tcPr>
            <w:tcW w:w="1970" w:type="dxa"/>
            <w:tcBorders>
              <w:top w:val="single" w:sz="6" w:space="0" w:color="auto"/>
              <w:left w:val="single" w:sz="12" w:space="0" w:color="auto"/>
              <w:bottom w:val="single" w:sz="6" w:space="0" w:color="auto"/>
            </w:tcBorders>
          </w:tcPr>
          <w:p w14:paraId="45EDCBE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P2P</w:t>
            </w:r>
          </w:p>
        </w:tc>
        <w:tc>
          <w:tcPr>
            <w:tcW w:w="6662" w:type="dxa"/>
            <w:tcBorders>
              <w:top w:val="single" w:sz="6" w:space="0" w:color="auto"/>
              <w:bottom w:val="single" w:sz="6" w:space="0" w:color="auto"/>
              <w:right w:val="single" w:sz="12" w:space="0" w:color="auto"/>
            </w:tcBorders>
          </w:tcPr>
          <w:p w14:paraId="4EB43196"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Point-to-Point (connection), sometimes PtP</w:t>
            </w:r>
          </w:p>
          <w:p w14:paraId="71DF2B1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P2P network topology refers to a communications connection between two nodes or endpoints. In optical access network it means that every end-user has his own fibre connection to central office (not shared with other end-users)</w:t>
            </w:r>
          </w:p>
        </w:tc>
      </w:tr>
      <w:tr w:rsidR="00ED2C35" w:rsidRPr="00ED2C35" w14:paraId="261C4208" w14:textId="77777777" w:rsidTr="006C273F">
        <w:trPr>
          <w:jc w:val="center"/>
        </w:trPr>
        <w:tc>
          <w:tcPr>
            <w:tcW w:w="1970" w:type="dxa"/>
            <w:tcBorders>
              <w:top w:val="single" w:sz="6" w:space="0" w:color="auto"/>
              <w:left w:val="single" w:sz="12" w:space="0" w:color="auto"/>
              <w:bottom w:val="single" w:sz="6" w:space="0" w:color="auto"/>
            </w:tcBorders>
          </w:tcPr>
          <w:p w14:paraId="00CE3F6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P2MP</w:t>
            </w:r>
          </w:p>
        </w:tc>
        <w:tc>
          <w:tcPr>
            <w:tcW w:w="6662" w:type="dxa"/>
            <w:tcBorders>
              <w:top w:val="single" w:sz="6" w:space="0" w:color="auto"/>
              <w:bottom w:val="single" w:sz="6" w:space="0" w:color="auto"/>
              <w:right w:val="single" w:sz="12" w:space="0" w:color="auto"/>
            </w:tcBorders>
          </w:tcPr>
          <w:p w14:paraId="036304A0"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Point-to-Multi Point (connection), sometimes PtMP</w:t>
            </w:r>
          </w:p>
          <w:p w14:paraId="08B51611"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P2MP network topology refers to a communications connection between one node with many endpoints. In optical network, it means that many end-users share the same fibre connection to central office. (see also PON)</w:t>
            </w:r>
          </w:p>
        </w:tc>
      </w:tr>
      <w:tr w:rsidR="00ED2C35" w:rsidRPr="00355738" w14:paraId="21AE5E27" w14:textId="77777777" w:rsidTr="006C273F">
        <w:trPr>
          <w:jc w:val="center"/>
        </w:trPr>
        <w:tc>
          <w:tcPr>
            <w:tcW w:w="1970" w:type="dxa"/>
            <w:tcBorders>
              <w:top w:val="single" w:sz="6" w:space="0" w:color="auto"/>
              <w:left w:val="single" w:sz="12" w:space="0" w:color="auto"/>
              <w:bottom w:val="single" w:sz="6" w:space="0" w:color="auto"/>
            </w:tcBorders>
          </w:tcPr>
          <w:p w14:paraId="251DFBCA"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PON</w:t>
            </w:r>
          </w:p>
        </w:tc>
        <w:tc>
          <w:tcPr>
            <w:tcW w:w="6662" w:type="dxa"/>
            <w:tcBorders>
              <w:top w:val="single" w:sz="6" w:space="0" w:color="auto"/>
              <w:bottom w:val="single" w:sz="6" w:space="0" w:color="auto"/>
              <w:right w:val="single" w:sz="12" w:space="0" w:color="auto"/>
            </w:tcBorders>
          </w:tcPr>
          <w:p w14:paraId="0A5139FF" w14:textId="77777777" w:rsidR="00ED2C35" w:rsidRPr="0080516E" w:rsidRDefault="00ED2C35" w:rsidP="00ED2C35">
            <w:pPr>
              <w:spacing w:after="120" w:line="252" w:lineRule="auto"/>
              <w:rPr>
                <w:szCs w:val="22"/>
                <w:lang w:val="en-US" w:eastAsia="en-US"/>
              </w:rPr>
            </w:pPr>
            <w:r w:rsidRPr="0080516E">
              <w:rPr>
                <w:szCs w:val="22"/>
                <w:lang w:val="en-US" w:eastAsia="en-US"/>
              </w:rPr>
              <w:t>Passive Optical Network</w:t>
            </w:r>
          </w:p>
          <w:p w14:paraId="692A954B" w14:textId="77777777" w:rsidR="00ED2C35" w:rsidRPr="00ED2C35" w:rsidRDefault="00ED2C35" w:rsidP="00ED2C35">
            <w:pPr>
              <w:spacing w:after="120" w:line="252" w:lineRule="auto"/>
              <w:rPr>
                <w:rFonts w:cs="Calibri"/>
                <w:bCs/>
                <w:iCs/>
                <w:szCs w:val="22"/>
                <w:lang w:val="en-GB" w:eastAsia="en-US"/>
              </w:rPr>
            </w:pPr>
            <w:r w:rsidRPr="00ED2C35">
              <w:rPr>
                <w:szCs w:val="22"/>
                <w:lang w:val="en-GB" w:eastAsia="en-US"/>
              </w:rPr>
              <w:t xml:space="preserve">PON is a fibre-optic telecommunications technology for delivering broadband network access to end-customers. Point-to-Multipoint (P2MP) network architecture is used. There are many technologies, such as GPON (Gigabit capable PON, mostly used in Georgia), XGS-PON (10 Gigabit Symmetrical PON) and others. </w:t>
            </w:r>
          </w:p>
        </w:tc>
      </w:tr>
      <w:tr w:rsidR="00ED2C35" w:rsidRPr="00355738" w14:paraId="7D0C521B" w14:textId="77777777" w:rsidTr="006C273F">
        <w:trPr>
          <w:jc w:val="center"/>
        </w:trPr>
        <w:tc>
          <w:tcPr>
            <w:tcW w:w="1970" w:type="dxa"/>
            <w:tcBorders>
              <w:top w:val="single" w:sz="6" w:space="0" w:color="auto"/>
              <w:left w:val="single" w:sz="12" w:space="0" w:color="auto"/>
              <w:bottom w:val="single" w:sz="6" w:space="0" w:color="auto"/>
            </w:tcBorders>
          </w:tcPr>
          <w:p w14:paraId="395EB3F8"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SMP</w:t>
            </w:r>
          </w:p>
        </w:tc>
        <w:tc>
          <w:tcPr>
            <w:tcW w:w="6662" w:type="dxa"/>
            <w:tcBorders>
              <w:top w:val="single" w:sz="6" w:space="0" w:color="auto"/>
              <w:bottom w:val="single" w:sz="6" w:space="0" w:color="auto"/>
              <w:right w:val="single" w:sz="12" w:space="0" w:color="auto"/>
            </w:tcBorders>
          </w:tcPr>
          <w:p w14:paraId="012AF49C"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Significant Market Power</w:t>
            </w:r>
          </w:p>
          <w:p w14:paraId="67F6AB08"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SMP describes the power that enables a service provider to make decisions and to act independently of its competitors and customers.</w:t>
            </w:r>
          </w:p>
        </w:tc>
      </w:tr>
      <w:tr w:rsidR="00ED2C35" w:rsidRPr="00355738" w14:paraId="04CEF4A0" w14:textId="77777777" w:rsidTr="006C273F">
        <w:trPr>
          <w:jc w:val="center"/>
        </w:trPr>
        <w:tc>
          <w:tcPr>
            <w:tcW w:w="1970" w:type="dxa"/>
            <w:tcBorders>
              <w:top w:val="single" w:sz="6" w:space="0" w:color="auto"/>
              <w:left w:val="single" w:sz="12" w:space="0" w:color="auto"/>
              <w:bottom w:val="single" w:sz="6" w:space="0" w:color="auto"/>
            </w:tcBorders>
          </w:tcPr>
          <w:p w14:paraId="5CB6D94E"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VoIP</w:t>
            </w:r>
          </w:p>
        </w:tc>
        <w:tc>
          <w:tcPr>
            <w:tcW w:w="6662" w:type="dxa"/>
            <w:tcBorders>
              <w:top w:val="single" w:sz="6" w:space="0" w:color="auto"/>
              <w:bottom w:val="single" w:sz="6" w:space="0" w:color="auto"/>
              <w:right w:val="single" w:sz="12" w:space="0" w:color="auto"/>
            </w:tcBorders>
          </w:tcPr>
          <w:p w14:paraId="6DBB7D2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Voice over Internet Protocol</w:t>
            </w:r>
          </w:p>
          <w:p w14:paraId="4CBCDF4A" w14:textId="44F6DF60"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VoIP, is a technology that allows you to make voice calls using a broadband Internet connection instead of a regular (or </w:t>
            </w:r>
            <w:r w:rsidR="000C31B2" w:rsidRPr="00ED2C35">
              <w:rPr>
                <w:rFonts w:cs="Calibri"/>
                <w:bCs/>
                <w:iCs/>
                <w:szCs w:val="22"/>
                <w:lang w:val="en-GB" w:eastAsia="en-US"/>
              </w:rPr>
              <w:t>analogue</w:t>
            </w:r>
            <w:r w:rsidRPr="00ED2C35">
              <w:rPr>
                <w:rFonts w:cs="Calibri"/>
                <w:bCs/>
                <w:iCs/>
                <w:szCs w:val="22"/>
                <w:lang w:val="en-GB" w:eastAsia="en-US"/>
              </w:rPr>
              <w:t>) phone line.</w:t>
            </w:r>
          </w:p>
        </w:tc>
      </w:tr>
      <w:tr w:rsidR="00ED2C35" w:rsidRPr="00355738" w14:paraId="4C82D029" w14:textId="77777777" w:rsidTr="006C273F">
        <w:trPr>
          <w:jc w:val="center"/>
        </w:trPr>
        <w:tc>
          <w:tcPr>
            <w:tcW w:w="1970" w:type="dxa"/>
            <w:tcBorders>
              <w:top w:val="single" w:sz="6" w:space="0" w:color="auto"/>
              <w:left w:val="single" w:sz="12" w:space="0" w:color="auto"/>
              <w:bottom w:val="single" w:sz="6" w:space="0" w:color="auto"/>
            </w:tcBorders>
          </w:tcPr>
          <w:p w14:paraId="128B5054"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VoD</w:t>
            </w:r>
          </w:p>
        </w:tc>
        <w:tc>
          <w:tcPr>
            <w:tcW w:w="6662" w:type="dxa"/>
            <w:tcBorders>
              <w:top w:val="single" w:sz="6" w:space="0" w:color="auto"/>
              <w:bottom w:val="single" w:sz="6" w:space="0" w:color="auto"/>
              <w:right w:val="single" w:sz="12" w:space="0" w:color="auto"/>
            </w:tcBorders>
          </w:tcPr>
          <w:p w14:paraId="059574D2"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Video on demand</w:t>
            </w:r>
          </w:p>
          <w:p w14:paraId="51AF48A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VOD is a generic term covering several areas. It includes all video content requested on-demand by users. This could be premium movies or libraries of TV shows, sporting events or concerts, as well as time shift.</w:t>
            </w:r>
          </w:p>
        </w:tc>
      </w:tr>
      <w:tr w:rsidR="00ED2C35" w:rsidRPr="00ED2C35" w14:paraId="5881E958" w14:textId="77777777" w:rsidTr="006C273F">
        <w:trPr>
          <w:jc w:val="center"/>
        </w:trPr>
        <w:tc>
          <w:tcPr>
            <w:tcW w:w="1970" w:type="dxa"/>
            <w:tcBorders>
              <w:top w:val="single" w:sz="6" w:space="0" w:color="auto"/>
              <w:left w:val="single" w:sz="12" w:space="0" w:color="auto"/>
              <w:bottom w:val="single" w:sz="6" w:space="0" w:color="auto"/>
            </w:tcBorders>
          </w:tcPr>
          <w:p w14:paraId="5178962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VULA</w:t>
            </w:r>
          </w:p>
        </w:tc>
        <w:tc>
          <w:tcPr>
            <w:tcW w:w="6662" w:type="dxa"/>
            <w:tcBorders>
              <w:top w:val="single" w:sz="6" w:space="0" w:color="auto"/>
              <w:bottom w:val="single" w:sz="6" w:space="0" w:color="auto"/>
              <w:right w:val="single" w:sz="12" w:space="0" w:color="auto"/>
            </w:tcBorders>
          </w:tcPr>
          <w:p w14:paraId="1A25272B"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Virtual Unbundling of Local Access</w:t>
            </w:r>
          </w:p>
          <w:p w14:paraId="1E5C5DA9"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VULA means the provision of an active access line by terminating the subscriber line on the optical line termination (OLT) equipment of the access provider, with the access seeker able to connect directly to this equipment at local exchange level where, similar to LLU, the handover will take place and therefore avoid the access provider’s aggregation network. VULA may as well apply on copper lines.</w:t>
            </w:r>
          </w:p>
        </w:tc>
      </w:tr>
      <w:tr w:rsidR="00ED2C35" w:rsidRPr="00355738" w14:paraId="3DEFC637" w14:textId="77777777" w:rsidTr="006C273F">
        <w:trPr>
          <w:jc w:val="center"/>
        </w:trPr>
        <w:tc>
          <w:tcPr>
            <w:tcW w:w="1970" w:type="dxa"/>
            <w:tcBorders>
              <w:top w:val="single" w:sz="6" w:space="0" w:color="auto"/>
              <w:left w:val="single" w:sz="12" w:space="0" w:color="auto"/>
              <w:bottom w:val="single" w:sz="6" w:space="0" w:color="auto"/>
            </w:tcBorders>
          </w:tcPr>
          <w:p w14:paraId="0AE1C3B7"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xDSL </w:t>
            </w:r>
          </w:p>
        </w:tc>
        <w:tc>
          <w:tcPr>
            <w:tcW w:w="6662" w:type="dxa"/>
            <w:tcBorders>
              <w:top w:val="single" w:sz="6" w:space="0" w:color="auto"/>
              <w:bottom w:val="single" w:sz="6" w:space="0" w:color="auto"/>
              <w:right w:val="single" w:sz="12" w:space="0" w:color="auto"/>
            </w:tcBorders>
          </w:tcPr>
          <w:p w14:paraId="121E08CB"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Digital Subscriber Line</w:t>
            </w:r>
          </w:p>
          <w:p w14:paraId="254407E6" w14:textId="76405DE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A collective term used to describe a wide range of broadband network technologies utili</w:t>
            </w:r>
            <w:r w:rsidR="00041519">
              <w:rPr>
                <w:rFonts w:cs="Calibri"/>
                <w:bCs/>
                <w:iCs/>
                <w:szCs w:val="22"/>
                <w:lang w:val="en-GB" w:eastAsia="en-US"/>
              </w:rPr>
              <w:t>s</w:t>
            </w:r>
            <w:r w:rsidRPr="00ED2C35">
              <w:rPr>
                <w:rFonts w:cs="Calibri"/>
                <w:bCs/>
                <w:iCs/>
                <w:szCs w:val="22"/>
                <w:lang w:val="en-GB" w:eastAsia="en-US"/>
              </w:rPr>
              <w:t>ing copper pair for their last mile connectivity.</w:t>
            </w:r>
          </w:p>
        </w:tc>
      </w:tr>
      <w:tr w:rsidR="00ED2C35" w:rsidRPr="00355738" w14:paraId="3FFADAEF" w14:textId="77777777" w:rsidTr="006C273F">
        <w:trPr>
          <w:jc w:val="center"/>
        </w:trPr>
        <w:tc>
          <w:tcPr>
            <w:tcW w:w="1970" w:type="dxa"/>
            <w:tcBorders>
              <w:top w:val="single" w:sz="6" w:space="0" w:color="auto"/>
              <w:left w:val="single" w:sz="12" w:space="0" w:color="auto"/>
              <w:bottom w:val="single" w:sz="6" w:space="0" w:color="auto"/>
            </w:tcBorders>
          </w:tcPr>
          <w:p w14:paraId="329406A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xWDM</w:t>
            </w:r>
          </w:p>
        </w:tc>
        <w:tc>
          <w:tcPr>
            <w:tcW w:w="6662" w:type="dxa"/>
            <w:tcBorders>
              <w:top w:val="single" w:sz="6" w:space="0" w:color="auto"/>
              <w:bottom w:val="single" w:sz="6" w:space="0" w:color="auto"/>
              <w:right w:val="single" w:sz="12" w:space="0" w:color="auto"/>
            </w:tcBorders>
          </w:tcPr>
          <w:p w14:paraId="73CFB989" w14:textId="77777777" w:rsidR="00ED2C35" w:rsidRPr="00ED2C35" w:rsidRDefault="00ED2C35" w:rsidP="00ED2C35">
            <w:pPr>
              <w:spacing w:after="120" w:line="252" w:lineRule="auto"/>
              <w:rPr>
                <w:rFonts w:cs="Calibri"/>
                <w:iCs/>
                <w:szCs w:val="22"/>
                <w:lang w:val="en-GB" w:eastAsia="en-US"/>
              </w:rPr>
            </w:pPr>
            <w:r w:rsidRPr="00ED2C35">
              <w:rPr>
                <w:rFonts w:cs="Calibri"/>
                <w:iCs/>
                <w:szCs w:val="22"/>
                <w:lang w:val="en-GB" w:eastAsia="en-US"/>
              </w:rPr>
              <w:t>Wavelength-Division Multiplexing</w:t>
            </w:r>
          </w:p>
          <w:p w14:paraId="030DB58F" w14:textId="77777777" w:rsidR="00ED2C35" w:rsidRPr="00ED2C35" w:rsidRDefault="00ED2C35" w:rsidP="00ED2C35">
            <w:pPr>
              <w:spacing w:after="120" w:line="252" w:lineRule="auto"/>
              <w:rPr>
                <w:rFonts w:cs="Calibri"/>
                <w:bCs/>
                <w:iCs/>
                <w:szCs w:val="22"/>
                <w:lang w:val="en-GB" w:eastAsia="en-US"/>
              </w:rPr>
            </w:pPr>
            <w:r w:rsidRPr="00ED2C35">
              <w:rPr>
                <w:rFonts w:cs="Calibri"/>
                <w:iCs/>
                <w:szCs w:val="22"/>
                <w:lang w:val="en-GB" w:eastAsia="en-US"/>
              </w:rPr>
              <w:t>A collective term used to describe an optical fibre multiplexing technology that is used to increase the bandwidth of existing fibre networks</w:t>
            </w:r>
            <w:r w:rsidRPr="00ED2C35">
              <w:rPr>
                <w:rFonts w:cs="Calibri"/>
                <w:bCs/>
                <w:iCs/>
                <w:szCs w:val="22"/>
                <w:lang w:val="en-GB" w:eastAsia="en-US"/>
              </w:rPr>
              <w:t>. There are many technologies, normal WDM, DWDM (Dense WDM, usually used in core part of network) and CWDM (Course WDM).</w:t>
            </w:r>
          </w:p>
        </w:tc>
      </w:tr>
      <w:tr w:rsidR="00ED2C35" w:rsidRPr="00355738" w14:paraId="0C72F3C1" w14:textId="77777777" w:rsidTr="006C273F">
        <w:trPr>
          <w:jc w:val="center"/>
        </w:trPr>
        <w:tc>
          <w:tcPr>
            <w:tcW w:w="1970" w:type="dxa"/>
            <w:tcBorders>
              <w:top w:val="single" w:sz="6" w:space="0" w:color="auto"/>
              <w:left w:val="single" w:sz="12" w:space="0" w:color="auto"/>
              <w:bottom w:val="single" w:sz="12" w:space="0" w:color="auto"/>
            </w:tcBorders>
          </w:tcPr>
          <w:p w14:paraId="15ADCE35"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 xml:space="preserve">Wi-Fi </w:t>
            </w:r>
          </w:p>
        </w:tc>
        <w:tc>
          <w:tcPr>
            <w:tcW w:w="6662" w:type="dxa"/>
            <w:tcBorders>
              <w:top w:val="single" w:sz="6" w:space="0" w:color="auto"/>
              <w:bottom w:val="single" w:sz="12" w:space="0" w:color="auto"/>
              <w:right w:val="single" w:sz="12" w:space="0" w:color="auto"/>
            </w:tcBorders>
          </w:tcPr>
          <w:p w14:paraId="47CC8764" w14:textId="77777777" w:rsidR="00ED2C35" w:rsidRPr="00ED2C35" w:rsidRDefault="00ED2C35" w:rsidP="00ED2C35">
            <w:pPr>
              <w:spacing w:after="120" w:line="252" w:lineRule="auto"/>
              <w:rPr>
                <w:rFonts w:cs="Calibri"/>
                <w:bCs/>
                <w:iCs/>
                <w:szCs w:val="22"/>
                <w:lang w:val="en-GB" w:eastAsia="en-US"/>
              </w:rPr>
            </w:pPr>
            <w:r w:rsidRPr="00ED2C35">
              <w:rPr>
                <w:rFonts w:cs="Calibri"/>
                <w:bCs/>
                <w:iCs/>
                <w:szCs w:val="22"/>
                <w:lang w:val="en-GB" w:eastAsia="en-US"/>
              </w:rPr>
              <w:t>Wi-Fi is a wireless networking technology that uses radio waves to provide wireless high-speed Internet access. Wi-Fi is a trademarked phrase that refers to IEEE 802.11x standards.</w:t>
            </w:r>
          </w:p>
        </w:tc>
      </w:tr>
    </w:tbl>
    <w:p w14:paraId="2FB97BBB" w14:textId="360DC80E" w:rsidR="00ED2C35" w:rsidRPr="00ED2C35" w:rsidRDefault="00ED2C35" w:rsidP="00ED2C35">
      <w:pPr>
        <w:jc w:val="center"/>
        <w:rPr>
          <w:sz w:val="20"/>
          <w:szCs w:val="20"/>
          <w:lang w:val="en-GB"/>
        </w:rPr>
      </w:pPr>
      <w:r w:rsidRPr="00ED2C35">
        <w:rPr>
          <w:sz w:val="20"/>
          <w:szCs w:val="20"/>
          <w:lang w:val="en-GB"/>
        </w:rPr>
        <w:t>Source:</w:t>
      </w:r>
      <w:r w:rsidR="005271F0">
        <w:rPr>
          <w:sz w:val="20"/>
          <w:szCs w:val="20"/>
          <w:lang w:val="en-GB"/>
        </w:rPr>
        <w:t xml:space="preserve"> </w:t>
      </w:r>
      <w:r w:rsidRPr="00ED2C35">
        <w:rPr>
          <w:sz w:val="20"/>
          <w:szCs w:val="20"/>
          <w:lang w:val="en-GB"/>
        </w:rPr>
        <w:t>Expert team</w:t>
      </w:r>
    </w:p>
    <w:p w14:paraId="66EEC47C" w14:textId="77777777" w:rsidR="00BC77CF" w:rsidRPr="00BC77CF" w:rsidRDefault="00BC77CF" w:rsidP="00BC77CF">
      <w:pPr>
        <w:rPr>
          <w:lang w:val="en-GB"/>
        </w:rPr>
      </w:pPr>
    </w:p>
    <w:sectPr w:rsidR="00BC77CF" w:rsidRPr="00BC77CF" w:rsidSect="0073442C">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88378C" w14:textId="77777777" w:rsidR="006B26FD" w:rsidRDefault="006B26FD" w:rsidP="00AF75A4">
      <w:pPr>
        <w:spacing w:after="0" w:line="240" w:lineRule="auto"/>
      </w:pPr>
      <w:r>
        <w:separator/>
      </w:r>
    </w:p>
  </w:endnote>
  <w:endnote w:type="continuationSeparator" w:id="0">
    <w:p w14:paraId="1E894270" w14:textId="77777777" w:rsidR="006B26FD" w:rsidRDefault="006B26FD" w:rsidP="00AF75A4">
      <w:pPr>
        <w:spacing w:after="0" w:line="240" w:lineRule="auto"/>
      </w:pPr>
      <w:r>
        <w:continuationSeparator/>
      </w:r>
    </w:p>
  </w:endnote>
  <w:endnote w:type="continuationNotice" w:id="1">
    <w:p w14:paraId="62232144" w14:textId="77777777" w:rsidR="006B26FD" w:rsidRDefault="006B26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ylfaen">
    <w:panose1 w:val="010A0502050306030303"/>
    <w:charset w:val="00"/>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1411697"/>
      <w:docPartObj>
        <w:docPartGallery w:val="Page Numbers (Bottom of Page)"/>
        <w:docPartUnique/>
      </w:docPartObj>
    </w:sdtPr>
    <w:sdtEndPr>
      <w:rPr>
        <w:noProof/>
      </w:rPr>
    </w:sdtEndPr>
    <w:sdtContent>
      <w:p w14:paraId="63879AA0" w14:textId="7B1844E5" w:rsidR="00355738" w:rsidRDefault="00355738">
        <w:pPr>
          <w:pStyle w:val="Footer"/>
          <w:jc w:val="right"/>
        </w:pPr>
        <w:r>
          <w:fldChar w:fldCharType="begin"/>
        </w:r>
        <w:r>
          <w:instrText xml:space="preserve"> PAGE   \* MERGEFORMAT </w:instrText>
        </w:r>
        <w:r>
          <w:fldChar w:fldCharType="separate"/>
        </w:r>
        <w:r w:rsidR="005102AF">
          <w:rPr>
            <w:noProof/>
          </w:rPr>
          <w:t>3</w:t>
        </w:r>
        <w:r>
          <w:rPr>
            <w:noProof/>
          </w:rPr>
          <w:fldChar w:fldCharType="end"/>
        </w:r>
      </w:p>
    </w:sdtContent>
  </w:sdt>
  <w:p w14:paraId="6443D207" w14:textId="77777777" w:rsidR="00355738" w:rsidRDefault="003557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90631C" w14:textId="77777777" w:rsidR="006B26FD" w:rsidRDefault="006B26FD" w:rsidP="00AF75A4">
      <w:pPr>
        <w:spacing w:after="0" w:line="240" w:lineRule="auto"/>
      </w:pPr>
      <w:r>
        <w:separator/>
      </w:r>
    </w:p>
  </w:footnote>
  <w:footnote w:type="continuationSeparator" w:id="0">
    <w:p w14:paraId="1C5AE3B6" w14:textId="77777777" w:rsidR="006B26FD" w:rsidRDefault="006B26FD" w:rsidP="00AF75A4">
      <w:pPr>
        <w:spacing w:after="0" w:line="240" w:lineRule="auto"/>
      </w:pPr>
      <w:r>
        <w:continuationSeparator/>
      </w:r>
    </w:p>
  </w:footnote>
  <w:footnote w:type="continuationNotice" w:id="1">
    <w:p w14:paraId="24BA048D" w14:textId="77777777" w:rsidR="006B26FD" w:rsidRDefault="006B26FD">
      <w:pPr>
        <w:spacing w:after="0" w:line="240" w:lineRule="auto"/>
      </w:pPr>
    </w:p>
  </w:footnote>
  <w:footnote w:id="2">
    <w:p w14:paraId="00738E2E" w14:textId="714593AC" w:rsidR="00355738" w:rsidRPr="002055E6" w:rsidRDefault="00355738" w:rsidP="00E82B0B">
      <w:pPr>
        <w:pStyle w:val="FootnoteText"/>
        <w:jc w:val="both"/>
        <w:rPr>
          <w:lang w:val="hr-HR"/>
        </w:rPr>
      </w:pPr>
      <w:r>
        <w:rPr>
          <w:rStyle w:val="FootnoteReference"/>
        </w:rPr>
        <w:footnoteRef/>
      </w:r>
      <w:r>
        <w:t xml:space="preserve"> </w:t>
      </w:r>
      <w:r w:rsidRPr="002055E6">
        <w:t>For the purpose of this report, where we refer to Georgia, or the territory of Georgia or any other references to Georgia in the text, we exclude the Autonomous Republic of Abkhazia and South Ossetia.</w:t>
      </w:r>
    </w:p>
  </w:footnote>
  <w:footnote w:id="3">
    <w:p w14:paraId="13EDDD8C" w14:textId="7CCC9499" w:rsidR="00355738" w:rsidRDefault="00355738" w:rsidP="00E82B0B">
      <w:pPr>
        <w:pStyle w:val="FootnoteText"/>
        <w:jc w:val="both"/>
      </w:pPr>
      <w:r>
        <w:rPr>
          <w:rStyle w:val="FootnoteReference"/>
        </w:rPr>
        <w:footnoteRef/>
      </w:r>
      <w:r>
        <w:t xml:space="preserve"> </w:t>
      </w:r>
      <w:r w:rsidRPr="00595E82">
        <w:rPr>
          <w:lang w:val="en-GB"/>
        </w:rPr>
        <w:t>Fo</w:t>
      </w:r>
      <w:r>
        <w:rPr>
          <w:lang w:val="en-GB"/>
        </w:rPr>
        <w:t xml:space="preserve">otnote 9 </w:t>
      </w:r>
      <w:r>
        <w:t>Association Agreement between the European Union and the European Atomic Energy Community and their Member States, of the one part, and Georgia, of the other part, Official Journal of the European Union L261/4, 30.08.2014</w:t>
      </w:r>
    </w:p>
  </w:footnote>
  <w:footnote w:id="4">
    <w:p w14:paraId="27590606" w14:textId="0F24FFDF" w:rsidR="00355738" w:rsidRDefault="00355738" w:rsidP="00E82B0B">
      <w:pPr>
        <w:pStyle w:val="FootnoteText"/>
        <w:jc w:val="both"/>
      </w:pPr>
      <w:r>
        <w:rPr>
          <w:rStyle w:val="FootnoteReference"/>
        </w:rPr>
        <w:footnoteRef/>
      </w:r>
      <w:r>
        <w:t xml:space="preserve"> within three years of the entry into force of the Agreement.</w:t>
      </w:r>
    </w:p>
  </w:footnote>
  <w:footnote w:id="5">
    <w:p w14:paraId="1D48D692" w14:textId="5D4D1384" w:rsidR="00355738" w:rsidRDefault="00355738" w:rsidP="00E82B0B">
      <w:pPr>
        <w:pStyle w:val="FootnoteText"/>
        <w:jc w:val="both"/>
      </w:pPr>
      <w:r>
        <w:rPr>
          <w:rStyle w:val="FootnoteReference"/>
        </w:rPr>
        <w:footnoteRef/>
      </w:r>
      <w:r>
        <w:t xml:space="preserve"> </w:t>
      </w:r>
      <w:r w:rsidRPr="00EC6C79">
        <w:rPr>
          <w:lang w:val="en-GB"/>
        </w:rPr>
        <w:t>ANNEX XV-B</w:t>
      </w:r>
      <w:r>
        <w:rPr>
          <w:lang w:val="en-GB"/>
        </w:rPr>
        <w:t>, R</w:t>
      </w:r>
      <w:r w:rsidRPr="00EC6C79">
        <w:rPr>
          <w:lang w:val="en-GB"/>
        </w:rPr>
        <w:t>ules applicable to telecommunication services</w:t>
      </w:r>
      <w:r>
        <w:rPr>
          <w:lang w:val="en-GB"/>
        </w:rPr>
        <w:t>.</w:t>
      </w:r>
    </w:p>
  </w:footnote>
  <w:footnote w:id="6">
    <w:p w14:paraId="0E5C4FF8" w14:textId="77777777" w:rsidR="00355738" w:rsidRDefault="00355738" w:rsidP="00E82B0B">
      <w:pPr>
        <w:pStyle w:val="FootnoteText"/>
        <w:jc w:val="both"/>
      </w:pPr>
      <w:r>
        <w:rPr>
          <w:rStyle w:val="FootnoteReference"/>
        </w:rPr>
        <w:footnoteRef/>
      </w:r>
      <w:r>
        <w:t xml:space="preserve"> The test was introduced in a binding EU only in 2018, in Article 67 of the EECC which states that “A market may be considered to justify the imposition of regulatory obligations set out in this Directive if all of the following criteria are met:</w:t>
      </w:r>
    </w:p>
    <w:p w14:paraId="0674A807" w14:textId="77777777" w:rsidR="00355738" w:rsidRDefault="00355738" w:rsidP="00E82B0B">
      <w:pPr>
        <w:pStyle w:val="FootnoteText"/>
        <w:jc w:val="both"/>
      </w:pPr>
      <w:r>
        <w:t>(a) high and non-transitory structural, legal or regulatory barriers to entry are present.</w:t>
      </w:r>
    </w:p>
    <w:p w14:paraId="445EBA3B" w14:textId="77777777" w:rsidR="00355738" w:rsidRPr="00026476" w:rsidRDefault="00355738" w:rsidP="00E82B0B">
      <w:pPr>
        <w:pStyle w:val="FootnoteText"/>
        <w:jc w:val="both"/>
      </w:pPr>
      <w:r w:rsidRPr="00026476">
        <w:t>(b) there is a market structure which does not tend towards effective competition within the relevant time horizon, having regard to the state of infrastructure-based competition and other sources of competition behind the barriers to entry;</w:t>
      </w:r>
    </w:p>
    <w:p w14:paraId="011B514A" w14:textId="7EB550B5" w:rsidR="00355738" w:rsidRDefault="00355738" w:rsidP="00E82B0B">
      <w:pPr>
        <w:pStyle w:val="FootnoteText"/>
        <w:jc w:val="both"/>
      </w:pPr>
      <w:r w:rsidRPr="00026476">
        <w:rPr>
          <w:lang w:val="en-GB"/>
        </w:rPr>
        <w:t xml:space="preserve">(c) competition law alone is insufficient to adequately address the identified market failure(s)”. However, recital 27 of the 2002 Framework Directive – though not binding as such – provided that "(i)t is essential that ex ante regulatory obligations should only be imposed where there is not effective competition, i.e. in markets where there are one or more undertakings with significant market power, and where national and Community competition law remedies are not sufficient to address the problem", thus advocating a two criteria test. The concept of 'three criteria test’ appears for the first time in Article 2 of the (non-binding)  (available at: </w:t>
      </w:r>
      <w:hyperlink r:id="rId1" w:history="1">
        <w:r w:rsidRPr="00026476">
          <w:rPr>
            <w:rStyle w:val="Hyperlink"/>
            <w:sz w:val="20"/>
            <w:lang w:val="en-GB"/>
          </w:rPr>
          <w:t>https://eur-lex.europa.eu/legal-content/EN/TXT/?uri=uriserv%3AOJ.L_.2007.344.01.0065.01.ENG</w:t>
        </w:r>
      </w:hyperlink>
      <w:r w:rsidRPr="00026476">
        <w:rPr>
          <w:lang w:val="en-GB"/>
        </w:rPr>
        <w:t>): its recital 5 provides that "(i)n order to identify markets that are susceptible to ex ante regulation, it is appropriate to apply the following cumulative criteria...") Point 2 of the Recommendation says "When identifying markets other than those set out in the Annex, national regulatory authorities should ensure that the following three criteria are cumulatively met (...) the insufficiency of competition law alone to adequately address the market failure(s) concerned." But the Commission does not tell the NRAs to examine the third criterion BEFORE assessing which remedy should the best address the market failure. On the contrary, the way the third criterion is formulated clearly implies that the remedy must first be defined in order to perform the third criterion of the test. The 2007 Recommendation was complemented by an  (</w:t>
      </w:r>
      <w:hyperlink r:id="rId2" w:history="1">
        <w:r w:rsidRPr="00026476">
          <w:rPr>
            <w:rStyle w:val="Hyperlink"/>
            <w:sz w:val="20"/>
            <w:lang w:val="en-GB"/>
          </w:rPr>
          <w:t>https://www.berec.europa.eu/sites/default/files/files/documents/erg_08_21_erg_rep_3crit_test_final_080604.pdf</w:t>
        </w:r>
      </w:hyperlink>
      <w:r w:rsidRPr="00026476">
        <w:rPr>
          <w:lang w:val="en-GB"/>
        </w:rPr>
        <w:t>), which acknowledged that "... experiences with the three criteria tend to confirm that in cases where both the three criteria test and SMP analysis is undertaken, it is difficult to dissociate the first criterion (barriers to entry) and the second criterion (tendency towards effective competition) from the elements that are considered in an SMP analysis. (....) . Also, generally NRAs consider that the level of detail required in the assessment of the three criteria was in no instances higher than the level of detail required for SMP assessment. The same conclusions apply in relation to the burden of proof, where again the common view is that in no circumstances was the burden of proof for assessment of the three criteria higher than the burden of proof necessary to show the existence (or absence) of SMP"</w:t>
      </w:r>
    </w:p>
  </w:footnote>
  <w:footnote w:id="7">
    <w:p w14:paraId="100A2DEC" w14:textId="172FF6B2" w:rsidR="00355738" w:rsidRPr="00026476" w:rsidRDefault="00355738" w:rsidP="00E82B0B">
      <w:pPr>
        <w:pStyle w:val="FootnoteText"/>
        <w:jc w:val="both"/>
      </w:pPr>
      <w:r w:rsidRPr="00026476">
        <w:rPr>
          <w:rStyle w:val="FootnoteReference"/>
        </w:rPr>
        <w:footnoteRef/>
      </w:r>
      <w:r w:rsidRPr="00026476">
        <w:t xml:space="preserve"> See e.g. Casolari, Federico, The Acknowledgment of the Direct Effect of EU International Agreements: Does Legal Equality Still Matter? (July 8, 2017). L.S.Rossi, F. Casolari (eds) The principle of Equality in  (Springer, Forthcoming), p.32. Available at SSRN: </w:t>
      </w:r>
      <w:hyperlink r:id="rId3" w:history="1">
        <w:r w:rsidRPr="00026476">
          <w:rPr>
            <w:rStyle w:val="Hyperlink"/>
            <w:sz w:val="20"/>
          </w:rPr>
          <w:t>https://ssrn.com/abstract=2999039</w:t>
        </w:r>
      </w:hyperlink>
      <w:r w:rsidRPr="00026476">
        <w:t xml:space="preserve"> </w:t>
      </w:r>
    </w:p>
  </w:footnote>
  <w:footnote w:id="8">
    <w:p w14:paraId="71906663" w14:textId="6381E56D" w:rsidR="00355738" w:rsidRPr="00026476" w:rsidRDefault="00355738" w:rsidP="00E82B0B">
      <w:pPr>
        <w:pStyle w:val="FootnoteText"/>
        <w:jc w:val="both"/>
      </w:pPr>
      <w:r w:rsidRPr="00026476">
        <w:rPr>
          <w:rStyle w:val="FootnoteReference"/>
        </w:rPr>
        <w:footnoteRef/>
      </w:r>
      <w:r w:rsidRPr="00026476">
        <w:t xml:space="preserve"> See Art, 7, of the  </w:t>
      </w:r>
      <w:hyperlink r:id="rId4" w:history="1">
        <w:r w:rsidRPr="00026476">
          <w:rPr>
            <w:rStyle w:val="Hyperlink"/>
            <w:sz w:val="20"/>
          </w:rPr>
          <w:t>https://matsne.gov.ge/ka/document/view/90052?impose=translateEn&amp;publication=34</w:t>
        </w:r>
      </w:hyperlink>
      <w:r w:rsidRPr="00026476">
        <w:t xml:space="preserve"> </w:t>
      </w:r>
    </w:p>
  </w:footnote>
  <w:footnote w:id="9">
    <w:p w14:paraId="0FD95345" w14:textId="77777777" w:rsidR="00355738" w:rsidRDefault="00355738" w:rsidP="00E82B0B">
      <w:pPr>
        <w:pStyle w:val="FootnoteText"/>
        <w:jc w:val="both"/>
      </w:pPr>
      <w:r w:rsidRPr="00026476">
        <w:rPr>
          <w:rStyle w:val="FootnoteReference"/>
        </w:rPr>
        <w:footnoteRef/>
      </w:r>
      <w:r w:rsidRPr="00026476">
        <w:t xml:space="preserve"> </w:t>
      </w:r>
      <w:r w:rsidRPr="00026476">
        <w:rPr>
          <w:lang w:val="en-GB"/>
        </w:rPr>
        <w:t xml:space="preserve">Annex XV- B refers to a number of provisions from among other </w:t>
      </w:r>
      <w:r w:rsidRPr="00026476">
        <w:t>Directive 2002/21/EC of the European Parliament and of the Council of 7 March 2002 on a common regulatory framework for electronic communications networks and services (Framework Directive), OJ L 108, 24.4.2002, p. 33 and from Directive 2002/19/EC of the European Parliament and of the Council of 7 March 2002 on access to, and interconnection of, electronic communications networks and associated facilities (Access Directive), OJ L 108, 24.4.2002, p. 7, some of which are relevant for the process of market definition and SMP designation.</w:t>
      </w:r>
    </w:p>
  </w:footnote>
  <w:footnote w:id="10">
    <w:p w14:paraId="1F5C2E66" w14:textId="77777777" w:rsidR="00355738" w:rsidRPr="0014487F" w:rsidRDefault="00355738" w:rsidP="00E82B0B">
      <w:pPr>
        <w:shd w:val="clear" w:color="auto" w:fill="FFFFFF"/>
        <w:spacing w:after="0"/>
        <w:jc w:val="both"/>
        <w:rPr>
          <w:sz w:val="20"/>
          <w:szCs w:val="20"/>
          <w:lang w:val="en-US"/>
        </w:rPr>
      </w:pPr>
      <w:r w:rsidRPr="00026476">
        <w:rPr>
          <w:rStyle w:val="FootnoteReference"/>
          <w:sz w:val="20"/>
          <w:szCs w:val="20"/>
        </w:rPr>
        <w:footnoteRef/>
      </w:r>
      <w:r w:rsidRPr="00026476">
        <w:rPr>
          <w:sz w:val="20"/>
          <w:szCs w:val="20"/>
          <w:lang w:val="en-GB"/>
        </w:rPr>
        <w:t xml:space="preserve"> Article 14(3) Framework Directive says that “Where an undertaking has significant market power on a specific market, it may also be deemed to have significant market power on a closely related market, where the links between the two markets are such as to allow the market power held in one market to be leveraged into the other market, thereby strengthening the market power of the undertaking”.</w:t>
      </w:r>
    </w:p>
  </w:footnote>
  <w:footnote w:id="11">
    <w:p w14:paraId="2E6CB89A" w14:textId="7375A491" w:rsidR="00355738" w:rsidRPr="00026476" w:rsidRDefault="00355738" w:rsidP="00E82B0B">
      <w:pPr>
        <w:pStyle w:val="FootnoteText"/>
        <w:jc w:val="both"/>
      </w:pPr>
      <w:r w:rsidRPr="002167F6">
        <w:rPr>
          <w:rStyle w:val="FootnoteReference"/>
        </w:rPr>
        <w:footnoteRef/>
      </w:r>
      <w:r w:rsidRPr="00026476">
        <w:rPr>
          <w:lang w:val="en-GB"/>
        </w:rPr>
        <w:t>Consolidated versions (15/07/2020 - 16/09/2020)</w:t>
      </w:r>
      <w:r>
        <w:rPr>
          <w:lang w:val="en-GB"/>
        </w:rPr>
        <w:t>.</w:t>
      </w:r>
      <w:r w:rsidRPr="00026476">
        <w:rPr>
          <w:lang w:val="en-GB"/>
        </w:rPr>
        <w:t xml:space="preserve">, available on: </w:t>
      </w:r>
      <w:hyperlink r:id="rId5" w:history="1">
        <w:r w:rsidRPr="00026476">
          <w:rPr>
            <w:rStyle w:val="Hyperlink"/>
            <w:sz w:val="20"/>
            <w:lang w:val="en-GB"/>
          </w:rPr>
          <w:t>https://matsne.gov.ge/en/document/view/29620?publication=40</w:t>
        </w:r>
      </w:hyperlink>
      <w:r w:rsidRPr="00026476">
        <w:rPr>
          <w:lang w:val="en-GB"/>
        </w:rPr>
        <w:t xml:space="preserve"> </w:t>
      </w:r>
    </w:p>
  </w:footnote>
  <w:footnote w:id="12">
    <w:p w14:paraId="1BF2B29B" w14:textId="1BE1713A" w:rsidR="00355738" w:rsidRPr="00026476" w:rsidRDefault="00355738" w:rsidP="00E82B0B">
      <w:pPr>
        <w:pStyle w:val="FootnoteText"/>
        <w:jc w:val="both"/>
      </w:pPr>
      <w:r w:rsidRPr="00026476">
        <w:rPr>
          <w:rStyle w:val="FootnoteReference"/>
        </w:rPr>
        <w:footnoteRef/>
      </w:r>
      <w:r w:rsidRPr="00026476">
        <w:t xml:space="preserve"> Georgian Legislative Herald, 06.09.2007 No.126, Article 1375</w:t>
      </w:r>
      <w:r>
        <w:t>.</w:t>
      </w:r>
    </w:p>
  </w:footnote>
  <w:footnote w:id="13">
    <w:p w14:paraId="1DD9D79F" w14:textId="70C9076F" w:rsidR="00355738" w:rsidRPr="002207AC" w:rsidRDefault="00355738">
      <w:pPr>
        <w:pStyle w:val="FootnoteText"/>
      </w:pPr>
      <w:r>
        <w:rPr>
          <w:rStyle w:val="FootnoteReference"/>
        </w:rPr>
        <w:footnoteRef/>
      </w:r>
      <w:r>
        <w:t xml:space="preserve"> </w:t>
      </w:r>
      <w:r w:rsidRPr="002167F6">
        <w:rPr>
          <w:highlight w:val="green"/>
        </w:rPr>
        <w:t>ComCom, press release, ComCom Approves Methodology for Telecom Market Research, 22 February 2024 available on: https://comcom.ge/en/yvela-siaxle/comcom-approves-methodology-for-telecom-market-research.page</w:t>
      </w:r>
    </w:p>
  </w:footnote>
  <w:footnote w:id="14">
    <w:p w14:paraId="48BAA2CC" w14:textId="21AAB46C" w:rsidR="00355738" w:rsidRPr="00026476" w:rsidRDefault="00355738" w:rsidP="00E82B0B">
      <w:pPr>
        <w:pStyle w:val="FootnoteText"/>
        <w:jc w:val="both"/>
      </w:pPr>
      <w:r w:rsidRPr="00026476">
        <w:rPr>
          <w:rStyle w:val="FootnoteReference"/>
        </w:rPr>
        <w:footnoteRef/>
      </w:r>
      <w:r>
        <w:t xml:space="preserve"> </w:t>
      </w:r>
      <w:r w:rsidRPr="00026476">
        <w:t xml:space="preserve">Communication from the Commission — Guidelines on market analysis and the assessment of significant market power under the  for electronic communications networks and services, OJ C 159 of 7 May 2018, p. 1–15, available at:  </w:t>
      </w:r>
      <w:hyperlink r:id="rId6" w:history="1">
        <w:r w:rsidRPr="00026476">
          <w:rPr>
            <w:rStyle w:val="Hyperlink"/>
            <w:sz w:val="20"/>
          </w:rPr>
          <w:t>https://eur-lex.europa.eu/legal-content/EN/TXT/?uri=CELEX%3A52018XC0507%2801%29</w:t>
        </w:r>
      </w:hyperlink>
      <w:r w:rsidRPr="00026476">
        <w:t xml:space="preserve"> </w:t>
      </w:r>
    </w:p>
  </w:footnote>
  <w:footnote w:id="15">
    <w:p w14:paraId="3B0458AE" w14:textId="16DE9C4F" w:rsidR="00355738" w:rsidRPr="0014487F" w:rsidRDefault="00355738" w:rsidP="00E82B0B">
      <w:pPr>
        <w:jc w:val="both"/>
        <w:rPr>
          <w:lang w:val="en-US"/>
        </w:rPr>
      </w:pPr>
      <w:r w:rsidRPr="00E517D9">
        <w:rPr>
          <w:sz w:val="20"/>
          <w:szCs w:val="20"/>
          <w:vertAlign w:val="superscript"/>
        </w:rPr>
        <w:footnoteRef/>
      </w:r>
      <w:r w:rsidRPr="00026476">
        <w:rPr>
          <w:sz w:val="20"/>
          <w:szCs w:val="20"/>
          <w:lang w:val="en-US"/>
        </w:rPr>
        <w:t xml:space="preserve"> In Article 21.4 the principles are listed as </w:t>
      </w:r>
      <w:r w:rsidRPr="00026476">
        <w:rPr>
          <w:i/>
          <w:iCs/>
          <w:sz w:val="20"/>
          <w:szCs w:val="20"/>
          <w:lang w:val="en-US"/>
        </w:rPr>
        <w:t>“….</w:t>
      </w:r>
      <w:r w:rsidRPr="00026476">
        <w:rPr>
          <w:rFonts w:asciiTheme="minorHAnsi" w:hAnsiTheme="minorHAnsi" w:cs="Calibri"/>
          <w:bCs/>
          <w:i/>
          <w:iCs/>
          <w:sz w:val="20"/>
          <w:szCs w:val="20"/>
          <w:lang w:val="en-GB"/>
        </w:rPr>
        <w:t>objectivity, technological neutrality, functional equivalence (homogeneous use of functional criteria), the minimum required regulation, as well as the principles of the imposition of proportionally balanced specific obligations, the stimulation of effective competition, transparency and non-discrimination.”</w:t>
      </w:r>
    </w:p>
  </w:footnote>
  <w:footnote w:id="16">
    <w:p w14:paraId="30CAEC9E" w14:textId="77777777" w:rsidR="00355738" w:rsidRDefault="00355738" w:rsidP="00E82B0B">
      <w:pPr>
        <w:pStyle w:val="FootnoteText"/>
        <w:jc w:val="both"/>
      </w:pPr>
      <w:r>
        <w:rPr>
          <w:rStyle w:val="FootnoteReference"/>
        </w:rPr>
        <w:footnoteRef/>
      </w:r>
      <w:r>
        <w:t xml:space="preserve"> Definition provided in Annex II of the 2002 Framework Directive.</w:t>
      </w:r>
    </w:p>
  </w:footnote>
  <w:footnote w:id="17">
    <w:p w14:paraId="73E44854" w14:textId="58A1691F" w:rsidR="00355738" w:rsidRDefault="00355738" w:rsidP="00E82B0B">
      <w:pPr>
        <w:pStyle w:val="FootnoteText"/>
        <w:jc w:val="both"/>
      </w:pPr>
      <w:r>
        <w:rPr>
          <w:rStyle w:val="FootnoteReference"/>
        </w:rPr>
        <w:footnoteRef/>
      </w:r>
      <w:r>
        <w:rPr>
          <w:lang w:val="en-GB"/>
        </w:rPr>
        <w:t xml:space="preserve"> </w:t>
      </w:r>
      <w:r w:rsidRPr="00B301BD">
        <w:rPr>
          <w:lang w:val="en-GB"/>
        </w:rPr>
        <w:t>Pa</w:t>
      </w:r>
      <w:r>
        <w:rPr>
          <w:lang w:val="en-GB"/>
        </w:rPr>
        <w:t xml:space="preserve">trick Ryan, </w:t>
      </w:r>
      <w:r w:rsidRPr="00B301BD">
        <w:rPr>
          <w:lang w:val="en-GB"/>
        </w:rPr>
        <w:t>European competition law, joint dominance, and</w:t>
      </w:r>
      <w:r>
        <w:rPr>
          <w:lang w:val="en-GB"/>
        </w:rPr>
        <w:t xml:space="preserve"> </w:t>
      </w:r>
      <w:r w:rsidRPr="00B301BD">
        <w:rPr>
          <w:lang w:val="en-GB"/>
        </w:rPr>
        <w:t>the wireless oligopoly problem</w:t>
      </w:r>
      <w:r>
        <w:rPr>
          <w:lang w:val="en-GB"/>
        </w:rPr>
        <w:t xml:space="preserve">, </w:t>
      </w:r>
      <w:r w:rsidRPr="00B301BD">
        <w:rPr>
          <w:lang w:val="en-GB"/>
        </w:rPr>
        <w:t xml:space="preserve">Columbia Journal </w:t>
      </w:r>
      <w:r>
        <w:rPr>
          <w:lang w:val="en-GB"/>
        </w:rPr>
        <w:t>o</w:t>
      </w:r>
      <w:r w:rsidRPr="00B301BD">
        <w:rPr>
          <w:lang w:val="en-GB"/>
        </w:rPr>
        <w:t>f European Law</w:t>
      </w:r>
      <w:r>
        <w:rPr>
          <w:lang w:val="en-GB"/>
        </w:rPr>
        <w:t xml:space="preserve">, </w:t>
      </w:r>
      <w:r w:rsidRPr="00B301BD">
        <w:rPr>
          <w:lang w:val="en-GB"/>
        </w:rPr>
        <w:t>Vol. 11</w:t>
      </w:r>
      <w:r>
        <w:rPr>
          <w:lang w:val="en-GB"/>
        </w:rPr>
        <w:t>, 2005.</w:t>
      </w:r>
      <w:r w:rsidRPr="00B301BD">
        <w:t xml:space="preserve"> </w:t>
      </w:r>
      <w:r>
        <w:t>356.</w:t>
      </w:r>
    </w:p>
  </w:footnote>
  <w:footnote w:id="18">
    <w:p w14:paraId="17B7C40A" w14:textId="37E9D9C4" w:rsidR="00355738" w:rsidRDefault="00355738" w:rsidP="00E82B0B">
      <w:pPr>
        <w:pStyle w:val="FootnoteText"/>
        <w:jc w:val="both"/>
      </w:pPr>
      <w:r>
        <w:rPr>
          <w:rStyle w:val="FootnoteReference"/>
        </w:rPr>
        <w:footnoteRef/>
      </w:r>
      <w:r>
        <w:t xml:space="preserve"> 2018 SMP guidelines, point 67.</w:t>
      </w:r>
    </w:p>
  </w:footnote>
  <w:footnote w:id="19">
    <w:p w14:paraId="4B7CA73A" w14:textId="1968CFD7" w:rsidR="00355738" w:rsidRPr="00BD3F6E" w:rsidRDefault="00355738" w:rsidP="003B53CB">
      <w:pPr>
        <w:pStyle w:val="FootnoteText"/>
      </w:pPr>
      <w:r>
        <w:rPr>
          <w:rStyle w:val="FootnoteReference"/>
        </w:rPr>
        <w:footnoteRef/>
      </w:r>
      <w:r>
        <w:t xml:space="preserve"> </w:t>
      </w:r>
      <w:r w:rsidRPr="00241EFD">
        <w:t xml:space="preserve">See </w:t>
      </w:r>
      <w:r>
        <w:t>Article 16 of the revised methodological rules.</w:t>
      </w:r>
    </w:p>
  </w:footnote>
  <w:footnote w:id="20">
    <w:p w14:paraId="7E475289" w14:textId="00A9E438" w:rsidR="00355738" w:rsidRPr="002465A7" w:rsidRDefault="00355738">
      <w:pPr>
        <w:pStyle w:val="FootnoteText"/>
        <w:rPr>
          <w:lang w:val="en-GB"/>
        </w:rPr>
      </w:pPr>
      <w:r>
        <w:rPr>
          <w:rStyle w:val="FootnoteReference"/>
        </w:rPr>
        <w:footnoteRef/>
      </w:r>
      <w:r>
        <w:t xml:space="preserve"> National Regulatory Authorities</w:t>
      </w:r>
    </w:p>
  </w:footnote>
  <w:footnote w:id="21">
    <w:p w14:paraId="7FE8817B" w14:textId="4E776DD4" w:rsidR="00355738" w:rsidRDefault="00355738" w:rsidP="002E1DD2">
      <w:pPr>
        <w:pStyle w:val="FootnoteText"/>
      </w:pPr>
      <w:r>
        <w:rPr>
          <w:rStyle w:val="FootnoteReference"/>
        </w:rPr>
        <w:footnoteRef/>
      </w:r>
      <w:r>
        <w:t xml:space="preserve"> 2018 SMP guidelines, point 69.</w:t>
      </w:r>
    </w:p>
  </w:footnote>
  <w:footnote w:id="22">
    <w:p w14:paraId="15BC4153" w14:textId="77777777" w:rsidR="00355738" w:rsidRPr="00E517D9" w:rsidRDefault="00355738" w:rsidP="002E1DD2">
      <w:pPr>
        <w:pStyle w:val="FootnoteText"/>
        <w:rPr>
          <w:lang w:val="pl-PL"/>
        </w:rPr>
      </w:pPr>
      <w:r>
        <w:rPr>
          <w:rStyle w:val="FootnoteReference"/>
        </w:rPr>
        <w:footnoteRef/>
      </w:r>
      <w:r>
        <w:t xml:space="preserve"> Commission Guidelines on Market Analysis and the Assessment of Significant Market Power (supra note </w:t>
      </w:r>
      <w:r w:rsidRPr="008808BE">
        <w:t>xx</w:t>
      </w:r>
      <w:r>
        <w:t xml:space="preserve">), para. </w:t>
      </w:r>
      <w:r w:rsidRPr="00230B1F">
        <w:rPr>
          <w:lang w:val="es-ES"/>
        </w:rPr>
        <w:t>84.</w:t>
      </w:r>
      <w:r w:rsidRPr="00230B1F">
        <w:rPr>
          <w:lang w:val="es-ES"/>
        </w:rPr>
        <w:tab/>
      </w:r>
    </w:p>
  </w:footnote>
  <w:footnote w:id="23">
    <w:p w14:paraId="7222C785" w14:textId="77777777" w:rsidR="00355738" w:rsidRPr="00E517D9" w:rsidRDefault="00355738" w:rsidP="002E1DD2">
      <w:pPr>
        <w:pStyle w:val="FootnoteText"/>
        <w:rPr>
          <w:lang w:val="pl-PL"/>
        </w:rPr>
      </w:pPr>
      <w:r>
        <w:rPr>
          <w:rStyle w:val="FootnoteReference"/>
        </w:rPr>
        <w:footnoteRef/>
      </w:r>
      <w:r w:rsidRPr="00230B1F">
        <w:rPr>
          <w:lang w:val="es-ES"/>
        </w:rPr>
        <w:t xml:space="preserve"> idem, para. 75.</w:t>
      </w:r>
    </w:p>
  </w:footnote>
  <w:footnote w:id="24">
    <w:p w14:paraId="3B4D2643" w14:textId="77777777" w:rsidR="00355738" w:rsidRPr="00E517D9" w:rsidRDefault="00355738" w:rsidP="002E1DD2">
      <w:pPr>
        <w:pStyle w:val="FootnoteText"/>
        <w:rPr>
          <w:lang w:val="de-DE"/>
        </w:rPr>
      </w:pPr>
      <w:r>
        <w:rPr>
          <w:rStyle w:val="FootnoteReference"/>
        </w:rPr>
        <w:footnoteRef/>
      </w:r>
      <w:r w:rsidRPr="00230B1F">
        <w:rPr>
          <w:lang w:val="es-ES"/>
        </w:rPr>
        <w:t xml:space="preserve"> </w:t>
      </w:r>
      <w:r w:rsidRPr="00762066">
        <w:rPr>
          <w:lang w:val="es-ES"/>
        </w:rPr>
        <w:t>ibidem</w:t>
      </w:r>
    </w:p>
  </w:footnote>
  <w:footnote w:id="25">
    <w:p w14:paraId="19C1B661" w14:textId="5269D0DC" w:rsidR="00355738" w:rsidRPr="00305ED6" w:rsidRDefault="00355738" w:rsidP="002E1DD2">
      <w:pPr>
        <w:pStyle w:val="FootnoteText"/>
        <w:rPr>
          <w:lang w:val="es-ES"/>
        </w:rPr>
      </w:pPr>
      <w:r w:rsidRPr="00305ED6">
        <w:rPr>
          <w:rStyle w:val="FootnoteReference"/>
        </w:rPr>
        <w:footnoteRef/>
      </w:r>
      <w:r w:rsidRPr="00305ED6">
        <w:rPr>
          <w:lang w:val="es-ES"/>
        </w:rPr>
        <w:t xml:space="preserve"> </w:t>
      </w:r>
      <w:hyperlink r:id="rId7" w:history="1">
        <w:r w:rsidRPr="00305ED6">
          <w:rPr>
            <w:rStyle w:val="Hyperlink"/>
            <w:sz w:val="20"/>
            <w:lang w:val="es-ES"/>
          </w:rPr>
          <w:t>https://uk.practicallaw.thomsonreuters.com/w-020-5855?transitionType=Default&amp;contextData=(sc.Default)&amp;firstPage=true</w:t>
        </w:r>
      </w:hyperlink>
    </w:p>
    <w:p w14:paraId="377E5924" w14:textId="77777777" w:rsidR="00355738" w:rsidRPr="00E517D9" w:rsidRDefault="00355738" w:rsidP="002E1DD2">
      <w:pPr>
        <w:pStyle w:val="FootnoteText"/>
        <w:rPr>
          <w:lang w:val="pl-PL"/>
        </w:rPr>
      </w:pPr>
    </w:p>
  </w:footnote>
  <w:footnote w:id="26">
    <w:p w14:paraId="12483CB4" w14:textId="77777777" w:rsidR="00355738" w:rsidRPr="00305ED6" w:rsidRDefault="00355738" w:rsidP="00E82B0B">
      <w:pPr>
        <w:pStyle w:val="FootnoteText"/>
        <w:jc w:val="both"/>
        <w:rPr>
          <w:lang w:val="en-GB"/>
        </w:rPr>
      </w:pPr>
      <w:r w:rsidRPr="00305ED6">
        <w:rPr>
          <w:rStyle w:val="FootnoteReference"/>
          <w:lang w:val="en-GB"/>
        </w:rPr>
        <w:footnoteRef/>
      </w:r>
      <w:r w:rsidRPr="00305ED6">
        <w:rPr>
          <w:lang w:val="en-GB"/>
        </w:rPr>
        <w:t xml:space="preserve"> According to paragraph 7 of the 1997 EU Commission’s Notice on Market Definition, a relevant product market ‘comprises all those products and/or services which are regarded as interchangeable or substitutable by the consumer, by reason of the products’ characteristics, their prices and their intended use'.</w:t>
      </w:r>
    </w:p>
  </w:footnote>
  <w:footnote w:id="27">
    <w:p w14:paraId="2C6867F7" w14:textId="0F93625B" w:rsidR="00355738" w:rsidRPr="00305ED6" w:rsidRDefault="00355738" w:rsidP="00E82B0B">
      <w:pPr>
        <w:pStyle w:val="FootnoteText"/>
        <w:jc w:val="both"/>
        <w:rPr>
          <w:lang w:val="en-GB"/>
        </w:rPr>
      </w:pPr>
      <w:r w:rsidRPr="00305ED6">
        <w:rPr>
          <w:rStyle w:val="FootnoteReference"/>
          <w:lang w:val="en-GB"/>
        </w:rPr>
        <w:footnoteRef/>
      </w:r>
      <w:r w:rsidRPr="00305ED6">
        <w:rPr>
          <w:lang w:val="en-GB"/>
        </w:rPr>
        <w:t xml:space="preserve"> </w:t>
      </w:r>
      <w:r w:rsidRPr="005F51C5">
        <w:rPr>
          <w:lang w:val="en-GB"/>
        </w:rPr>
        <w:t xml:space="preserve">Article </w:t>
      </w:r>
      <w:r>
        <w:rPr>
          <w:lang w:val="en-GB"/>
        </w:rPr>
        <w:t>7</w:t>
      </w:r>
      <w:r w:rsidRPr="005F51C5">
        <w:rPr>
          <w:lang w:val="en-GB"/>
        </w:rPr>
        <w:t xml:space="preserve"> of the revised methodological rules</w:t>
      </w:r>
      <w:r w:rsidRPr="00305ED6">
        <w:rPr>
          <w:highlight w:val="yellow"/>
          <w:lang w:val="en-GB"/>
        </w:rPr>
        <w:t xml:space="preserve"> </w:t>
      </w:r>
    </w:p>
  </w:footnote>
  <w:footnote w:id="28">
    <w:p w14:paraId="758F8F64" w14:textId="06F56D83" w:rsidR="00355738" w:rsidRDefault="00355738" w:rsidP="00E82B0B">
      <w:pPr>
        <w:pStyle w:val="FootnoteText"/>
        <w:jc w:val="both"/>
      </w:pPr>
      <w:r w:rsidRPr="00305ED6">
        <w:rPr>
          <w:rStyle w:val="FootnoteReference"/>
          <w:lang w:val="en-GB"/>
        </w:rPr>
        <w:footnoteRef/>
      </w:r>
      <w:r w:rsidRPr="00305ED6">
        <w:rPr>
          <w:lang w:val="en-GB"/>
        </w:rPr>
        <w:t xml:space="preserve"> </w:t>
      </w:r>
      <w:r w:rsidRPr="005F51C5">
        <w:rPr>
          <w:lang w:val="en-GB"/>
        </w:rPr>
        <w:t xml:space="preserve">Article </w:t>
      </w:r>
      <w:r>
        <w:rPr>
          <w:lang w:val="en-GB"/>
        </w:rPr>
        <w:t>8</w:t>
      </w:r>
      <w:r w:rsidRPr="005F51C5">
        <w:rPr>
          <w:lang w:val="en-GB"/>
        </w:rPr>
        <w:t xml:space="preserve"> of the revised methodological rules</w:t>
      </w:r>
    </w:p>
  </w:footnote>
  <w:footnote w:id="29">
    <w:p w14:paraId="0D31F401" w14:textId="0FB4D814" w:rsidR="00355738" w:rsidRPr="00305ED6" w:rsidRDefault="00355738" w:rsidP="00E82B0B">
      <w:pPr>
        <w:pStyle w:val="FootnoteText"/>
        <w:jc w:val="both"/>
        <w:rPr>
          <w:lang w:val="en-GB"/>
        </w:rPr>
      </w:pPr>
      <w:r w:rsidRPr="00305ED6">
        <w:rPr>
          <w:rStyle w:val="FootnoteReference"/>
          <w:lang w:val="en-GB"/>
        </w:rPr>
        <w:footnoteRef/>
      </w:r>
      <w:r>
        <w:rPr>
          <w:lang w:val="en-GB"/>
        </w:rPr>
        <w:t xml:space="preserve"> </w:t>
      </w:r>
      <w:r w:rsidRPr="00305ED6">
        <w:rPr>
          <w:lang w:val="en-GB"/>
        </w:rPr>
        <w:t>Provisions from points 17 and 18 of the Guidelines on market analysis and the assessment of significant market power under the EU regulatory framework for electronic communications networks and services (2018)</w:t>
      </w:r>
    </w:p>
  </w:footnote>
  <w:footnote w:id="30">
    <w:p w14:paraId="45923B73" w14:textId="77777777" w:rsidR="00355738" w:rsidRPr="00305ED6" w:rsidRDefault="00355738" w:rsidP="001265D8">
      <w:pPr>
        <w:pStyle w:val="FootnoteText"/>
        <w:rPr>
          <w:lang w:val="en-GB"/>
        </w:rPr>
      </w:pPr>
      <w:r w:rsidRPr="00305ED6">
        <w:rPr>
          <w:rStyle w:val="FootnoteReference"/>
          <w:lang w:val="en-GB"/>
        </w:rPr>
        <w:footnoteRef/>
      </w:r>
      <w:r w:rsidRPr="00305ED6">
        <w:rPr>
          <w:lang w:val="en-GB"/>
        </w:rPr>
        <w:t xml:space="preserve"> </w:t>
      </w:r>
      <w:hyperlink r:id="rId8" w:history="1">
        <w:r w:rsidRPr="00305ED6">
          <w:rPr>
            <w:rStyle w:val="Hyperlink"/>
            <w:sz w:val="20"/>
            <w:lang w:val="en-GB"/>
          </w:rPr>
          <w:t>https://digital-strategy.ec.europa.eu/en/news/commission-updated-recommendation-relevant-markets</w:t>
        </w:r>
      </w:hyperlink>
      <w:r w:rsidRPr="00305ED6">
        <w:rPr>
          <w:lang w:val="en-GB"/>
        </w:rPr>
        <w:t xml:space="preserve"> </w:t>
      </w:r>
    </w:p>
  </w:footnote>
  <w:footnote w:id="31">
    <w:p w14:paraId="15FF934E" w14:textId="77777777" w:rsidR="00355738" w:rsidRPr="00305ED6" w:rsidRDefault="00355738" w:rsidP="001265D8">
      <w:pPr>
        <w:pStyle w:val="FootnoteText"/>
        <w:rPr>
          <w:lang w:val="en-GB"/>
        </w:rPr>
      </w:pPr>
      <w:r w:rsidRPr="00305ED6">
        <w:rPr>
          <w:rStyle w:val="FootnoteReference"/>
          <w:lang w:val="en-GB"/>
        </w:rPr>
        <w:footnoteRef/>
      </w:r>
      <w:r w:rsidRPr="00305ED6">
        <w:rPr>
          <w:lang w:val="en-GB"/>
        </w:rPr>
        <w:t xml:space="preserve"> </w:t>
      </w:r>
      <w:hyperlink r:id="rId9" w:history="1">
        <w:r w:rsidRPr="00305ED6">
          <w:rPr>
            <w:rStyle w:val="Hyperlink"/>
            <w:sz w:val="20"/>
            <w:lang w:val="en-GB"/>
          </w:rPr>
          <w:t>https://eur-lex.europa.eu/legal-content/EN/TXT/?uri=CELEX%3A32003H0311</w:t>
        </w:r>
      </w:hyperlink>
    </w:p>
    <w:p w14:paraId="08C2D9BA" w14:textId="77777777" w:rsidR="00355738" w:rsidRPr="00305ED6" w:rsidRDefault="004B7613" w:rsidP="001265D8">
      <w:pPr>
        <w:pStyle w:val="FootnoteText"/>
        <w:rPr>
          <w:lang w:val="en-GB"/>
        </w:rPr>
      </w:pPr>
      <w:hyperlink r:id="rId10" w:history="1">
        <w:r w:rsidR="00355738" w:rsidRPr="00305ED6">
          <w:rPr>
            <w:rStyle w:val="Hyperlink"/>
            <w:sz w:val="20"/>
            <w:lang w:val="en-GB"/>
          </w:rPr>
          <w:t>https://eur-lex.europa.eu/legal-content/EN/TXT/?uri=celex%3A32007H0879</w:t>
        </w:r>
      </w:hyperlink>
    </w:p>
    <w:p w14:paraId="36276580" w14:textId="77777777" w:rsidR="00355738" w:rsidRPr="00305ED6" w:rsidRDefault="004B7613" w:rsidP="001265D8">
      <w:pPr>
        <w:pStyle w:val="FootnoteText"/>
        <w:rPr>
          <w:lang w:val="en-GB"/>
        </w:rPr>
      </w:pPr>
      <w:hyperlink r:id="rId11" w:history="1">
        <w:r w:rsidR="00355738" w:rsidRPr="00305ED6">
          <w:rPr>
            <w:rStyle w:val="Hyperlink"/>
            <w:sz w:val="20"/>
            <w:lang w:val="en-GB"/>
          </w:rPr>
          <w:t>https://eur-lex.europa.eu/legal-content/EN/TXT/?uri=CELEX%3A32014H0710</w:t>
        </w:r>
      </w:hyperlink>
      <w:r w:rsidR="00355738" w:rsidRPr="00305ED6">
        <w:rPr>
          <w:lang w:val="en-GB"/>
        </w:rPr>
        <w:t xml:space="preserve"> </w:t>
      </w:r>
    </w:p>
  </w:footnote>
  <w:footnote w:id="32">
    <w:p w14:paraId="206DAA6E" w14:textId="3C5BA213" w:rsidR="00355738" w:rsidRPr="00305ED6" w:rsidRDefault="00355738" w:rsidP="00E82B0B">
      <w:pPr>
        <w:pStyle w:val="FootnoteText"/>
        <w:jc w:val="both"/>
        <w:rPr>
          <w:lang w:val="en-GB"/>
        </w:rPr>
      </w:pPr>
      <w:r w:rsidRPr="00305ED6">
        <w:rPr>
          <w:rStyle w:val="FootnoteReference"/>
          <w:lang w:val="en-GB"/>
        </w:rPr>
        <w:footnoteRef/>
      </w:r>
      <w:r w:rsidRPr="00305ED6">
        <w:rPr>
          <w:lang w:val="en-GB"/>
        </w:rPr>
        <w:t xml:space="preserve"> </w:t>
      </w:r>
      <w:r w:rsidRPr="00B016C8">
        <w:rPr>
          <w:lang w:val="en-GB"/>
        </w:rPr>
        <w:t xml:space="preserve">Article </w:t>
      </w:r>
      <w:r>
        <w:rPr>
          <w:lang w:val="en-GB"/>
        </w:rPr>
        <w:t>7</w:t>
      </w:r>
      <w:r w:rsidRPr="00B016C8">
        <w:rPr>
          <w:lang w:val="en-GB"/>
        </w:rPr>
        <w:t>(10) of the revised methodological rules</w:t>
      </w:r>
      <w:r w:rsidRPr="00305ED6">
        <w:rPr>
          <w:highlight w:val="yellow"/>
          <w:lang w:val="en-GB"/>
        </w:rPr>
        <w:t xml:space="preserve"> </w:t>
      </w:r>
    </w:p>
  </w:footnote>
  <w:footnote w:id="33">
    <w:p w14:paraId="488CF857" w14:textId="2BB5B3A1" w:rsidR="00355738" w:rsidRDefault="00355738" w:rsidP="00E82B0B">
      <w:pPr>
        <w:pStyle w:val="FootnoteText"/>
        <w:jc w:val="both"/>
      </w:pPr>
      <w:r w:rsidRPr="00305ED6">
        <w:rPr>
          <w:rStyle w:val="FootnoteReference"/>
          <w:lang w:val="en-GB"/>
        </w:rPr>
        <w:footnoteRef/>
      </w:r>
      <w:r w:rsidRPr="00305ED6">
        <w:rPr>
          <w:lang w:val="en-GB"/>
        </w:rPr>
        <w:t xml:space="preserve"> </w:t>
      </w:r>
      <w:r w:rsidRPr="00B016C8">
        <w:rPr>
          <w:lang w:val="en-GB"/>
        </w:rPr>
        <w:t>Article 1</w:t>
      </w:r>
      <w:r>
        <w:rPr>
          <w:lang w:val="en-GB"/>
        </w:rPr>
        <w:t>2</w:t>
      </w:r>
      <w:r w:rsidRPr="00B016C8">
        <w:rPr>
          <w:lang w:val="en-GB"/>
        </w:rPr>
        <w:t xml:space="preserve"> of the revised methodological rules</w:t>
      </w:r>
      <w:r w:rsidRPr="00305ED6">
        <w:rPr>
          <w:highlight w:val="yellow"/>
          <w:lang w:val="en-GB"/>
        </w:rPr>
        <w:t xml:space="preserve"> </w:t>
      </w:r>
    </w:p>
  </w:footnote>
  <w:footnote w:id="34">
    <w:p w14:paraId="2199F651" w14:textId="1B64BE4A" w:rsidR="00355738" w:rsidRPr="00E722D2" w:rsidRDefault="00355738" w:rsidP="002167F6">
      <w:pPr>
        <w:pStyle w:val="Default"/>
        <w:rPr>
          <w:rFonts w:eastAsiaTheme="minorHAnsi" w:cs="Calibri"/>
          <w:color w:val="000000"/>
          <w:szCs w:val="24"/>
          <w:lang w:val="en-US"/>
        </w:rPr>
      </w:pPr>
      <w:r w:rsidRPr="002167F6">
        <w:rPr>
          <w:rStyle w:val="FootnoteReference"/>
          <w:highlight w:val="green"/>
        </w:rPr>
        <w:footnoteRef/>
      </w:r>
      <w:r w:rsidRPr="002167F6">
        <w:rPr>
          <w:highlight w:val="green"/>
          <w:lang w:val="en-US"/>
        </w:rPr>
        <w:t xml:space="preserve"> </w:t>
      </w:r>
      <w:r w:rsidRPr="002167F6">
        <w:rPr>
          <w:rFonts w:ascii="Calibri" w:eastAsia="Calibri" w:hAnsi="Calibri"/>
          <w:sz w:val="20"/>
          <w:highlight w:val="green"/>
          <w:lang w:val="en-GB" w:eastAsia="en-US"/>
        </w:rPr>
        <w:t>For example</w:t>
      </w:r>
      <w:r w:rsidRPr="002167F6">
        <w:rPr>
          <w:highlight w:val="green"/>
          <w:lang w:val="en-US"/>
        </w:rPr>
        <w:t xml:space="preserve"> </w:t>
      </w:r>
      <w:r w:rsidRPr="002167F6">
        <w:rPr>
          <w:rFonts w:eastAsiaTheme="minorHAnsi" w:cs="Calibri"/>
          <w:color w:val="000000"/>
          <w:sz w:val="13"/>
          <w:szCs w:val="13"/>
          <w:highlight w:val="green"/>
          <w:lang w:val="en-US"/>
        </w:rPr>
        <w:t xml:space="preserve"> </w:t>
      </w:r>
      <w:r w:rsidRPr="002167F6">
        <w:rPr>
          <w:rFonts w:ascii="Calibri" w:eastAsia="Calibri" w:hAnsi="Calibri"/>
          <w:i/>
          <w:iCs/>
          <w:sz w:val="20"/>
          <w:highlight w:val="green"/>
          <w:lang w:val="en-GB" w:eastAsia="en-US"/>
        </w:rPr>
        <w:t>“there may be sufficient players active in the market for effective competition to emerge behind the barriers to entry, e.g. on the relevant retail market, even without ex ante regulation” (Commission Staff Working Document Explanatory Note accompanying the 2014 Markets Recommendation, SWD(2014) 298, p.9)</w:t>
      </w:r>
      <w:r w:rsidRPr="00E722D2">
        <w:rPr>
          <w:rFonts w:eastAsiaTheme="minorHAnsi" w:cs="Calibri"/>
          <w:color w:val="000000"/>
          <w:sz w:val="20"/>
          <w:lang w:val="en-US"/>
        </w:rPr>
        <w:t xml:space="preserve"> </w:t>
      </w:r>
    </w:p>
    <w:p w14:paraId="26089139" w14:textId="2A8B4CE1" w:rsidR="00355738" w:rsidRDefault="00355738">
      <w:pPr>
        <w:pStyle w:val="FootnoteText"/>
      </w:pPr>
    </w:p>
  </w:footnote>
  <w:footnote w:id="35">
    <w:p w14:paraId="5AD90EC9" w14:textId="5713F831" w:rsidR="00355738" w:rsidRPr="00305ED6" w:rsidRDefault="00355738" w:rsidP="00E82B0B">
      <w:pPr>
        <w:pStyle w:val="FootnoteText"/>
        <w:jc w:val="both"/>
      </w:pPr>
      <w:r w:rsidRPr="00305ED6">
        <w:rPr>
          <w:rStyle w:val="FootnoteReference"/>
        </w:rPr>
        <w:footnoteRef/>
      </w:r>
      <w:r w:rsidRPr="00305ED6">
        <w:t xml:space="preserve"> Provisions from points 17 and 18 of the Guidelines on market analysis and the assessment of significant market power under the EU regulatory framework for electronic communications networks and services (2018)</w:t>
      </w:r>
    </w:p>
  </w:footnote>
  <w:footnote w:id="36">
    <w:p w14:paraId="0D73DF1A" w14:textId="77777777" w:rsidR="00355738" w:rsidRDefault="00355738" w:rsidP="00A1177B">
      <w:pPr>
        <w:pStyle w:val="FootnoteText"/>
      </w:pPr>
      <w:r w:rsidRPr="00305ED6">
        <w:rPr>
          <w:rStyle w:val="FootnoteReference"/>
        </w:rPr>
        <w:footnoteRef/>
      </w:r>
      <w:r w:rsidRPr="00305ED6">
        <w:t xml:space="preserve"> The English translation is available on: </w:t>
      </w:r>
      <w:hyperlink r:id="rId12" w:history="1">
        <w:r w:rsidRPr="00305ED6">
          <w:rPr>
            <w:rStyle w:val="Hyperlink"/>
            <w:sz w:val="20"/>
          </w:rPr>
          <w:t>https://matsne.gov.ge/en/document/view/1659450</w:t>
        </w:r>
      </w:hyperlink>
      <w:r>
        <w:t xml:space="preserve"> </w:t>
      </w:r>
    </w:p>
  </w:footnote>
  <w:footnote w:id="37">
    <w:p w14:paraId="31428FDC" w14:textId="77777777" w:rsidR="00355738" w:rsidRDefault="00355738" w:rsidP="00A1177B">
      <w:pPr>
        <w:pStyle w:val="FootnoteText"/>
      </w:pPr>
      <w:r>
        <w:rPr>
          <w:rStyle w:val="FootnoteReference"/>
        </w:rPr>
        <w:footnoteRef/>
      </w:r>
      <w:r>
        <w:t xml:space="preserve"> </w:t>
      </w:r>
      <w:hyperlink r:id="rId13" w:history="1">
        <w:r w:rsidRPr="00A620CF">
          <w:rPr>
            <w:rStyle w:val="Hyperlink"/>
          </w:rPr>
          <w:t>https://law-store.wolterskluwer.com/s/product/margin-squeeze-in-eu-competition-law-analysis-decisional-practic/01t0f00000J3jECAAZ</w:t>
        </w:r>
      </w:hyperlink>
      <w:r>
        <w:t xml:space="preserve"> </w:t>
      </w:r>
    </w:p>
  </w:footnote>
  <w:footnote w:id="38">
    <w:p w14:paraId="2E18757F" w14:textId="32429172" w:rsidR="00355738" w:rsidRPr="004A40EA" w:rsidRDefault="00355738">
      <w:pPr>
        <w:pStyle w:val="FootnoteText"/>
        <w:rPr>
          <w:lang w:val="en-GB"/>
        </w:rPr>
      </w:pPr>
      <w:r>
        <w:rPr>
          <w:rStyle w:val="FootnoteReference"/>
        </w:rPr>
        <w:footnoteRef/>
      </w:r>
      <w:r>
        <w:t xml:space="preserve"> Source: Geostat, </w:t>
      </w:r>
      <w:r w:rsidRPr="004A40EA">
        <w:t>the Georgian statistics agency</w:t>
      </w:r>
      <w:r w:rsidRPr="00DE60F4">
        <w:t xml:space="preserve"> </w:t>
      </w:r>
      <w:hyperlink r:id="rId14" w:history="1">
        <w:r w:rsidRPr="00AE19A5">
          <w:rPr>
            <w:rStyle w:val="Hyperlink"/>
            <w:sz w:val="20"/>
          </w:rPr>
          <w:t>www.geostat.ge</w:t>
        </w:r>
      </w:hyperlink>
      <w:r>
        <w:t xml:space="preserve"> </w:t>
      </w:r>
    </w:p>
  </w:footnote>
  <w:footnote w:id="39">
    <w:p w14:paraId="1223B164" w14:textId="77777777" w:rsidR="00355738" w:rsidRPr="00026476" w:rsidRDefault="00355738" w:rsidP="00CB4094">
      <w:pPr>
        <w:pStyle w:val="FootnoteText"/>
      </w:pPr>
      <w:r>
        <w:rPr>
          <w:rStyle w:val="FootnoteReference"/>
        </w:rPr>
        <w:footnoteRef/>
      </w:r>
      <w:r>
        <w:t xml:space="preserve"> </w:t>
      </w:r>
      <w:hyperlink r:id="rId15" w:history="1">
        <w:r w:rsidRPr="00026476">
          <w:rPr>
            <w:rStyle w:val="Hyperlink"/>
            <w:sz w:val="20"/>
          </w:rPr>
          <w:t>https://www.geostat.ge/ka</w:t>
        </w:r>
      </w:hyperlink>
      <w:r w:rsidRPr="00026476">
        <w:t xml:space="preserve"> </w:t>
      </w:r>
    </w:p>
  </w:footnote>
  <w:footnote w:id="40">
    <w:p w14:paraId="7E5907E4" w14:textId="77777777" w:rsidR="00355738" w:rsidRPr="00026476" w:rsidRDefault="00355738" w:rsidP="00CB4094">
      <w:pPr>
        <w:pStyle w:val="FootnoteText"/>
      </w:pPr>
      <w:r w:rsidRPr="00026476">
        <w:rPr>
          <w:rStyle w:val="FootnoteReference"/>
        </w:rPr>
        <w:footnoteRef/>
      </w:r>
      <w:r w:rsidRPr="00026476">
        <w:t xml:space="preserve"> </w:t>
      </w:r>
      <w:hyperlink r:id="rId16" w:history="1">
        <w:r w:rsidRPr="00026476">
          <w:rPr>
            <w:rStyle w:val="Hyperlink"/>
            <w:sz w:val="20"/>
          </w:rPr>
          <w:t>https://www.techopedia.com/definition/2233/main-distribution-frame-mdf</w:t>
        </w:r>
      </w:hyperlink>
    </w:p>
  </w:footnote>
  <w:footnote w:id="41">
    <w:p w14:paraId="3890A95E" w14:textId="77777777" w:rsidR="00355738" w:rsidRDefault="00355738" w:rsidP="00CB4094">
      <w:pPr>
        <w:pStyle w:val="FootnoteText"/>
      </w:pPr>
      <w:r w:rsidRPr="00026476">
        <w:rPr>
          <w:rStyle w:val="FootnoteReference"/>
        </w:rPr>
        <w:footnoteRef/>
      </w:r>
      <w:r w:rsidRPr="00026476">
        <w:t xml:space="preserve"> </w:t>
      </w:r>
      <w:hyperlink r:id="rId17" w:history="1">
        <w:r w:rsidRPr="00026476">
          <w:rPr>
            <w:rStyle w:val="Hyperlink"/>
            <w:sz w:val="20"/>
          </w:rPr>
          <w:t>https://www.qsfptek.com/article/optical-distribution-frame-ODF-wiki</w:t>
        </w:r>
      </w:hyperlink>
    </w:p>
  </w:footnote>
  <w:footnote w:id="42">
    <w:p w14:paraId="20BE5896" w14:textId="77777777" w:rsidR="00355738" w:rsidRPr="00093FC9" w:rsidRDefault="00355738" w:rsidP="00CB4094">
      <w:pPr>
        <w:pStyle w:val="FootnoteText"/>
      </w:pPr>
      <w:r>
        <w:rPr>
          <w:rStyle w:val="FootnoteReference"/>
        </w:rPr>
        <w:footnoteRef/>
      </w:r>
      <w:r>
        <w:t xml:space="preserve"> </w:t>
      </w:r>
      <w:r w:rsidRPr="00093FC9">
        <w:t xml:space="preserve">See ComCom annual reports on </w:t>
      </w:r>
      <w:hyperlink r:id="rId18" w:history="1">
        <w:r w:rsidRPr="00093FC9">
          <w:rPr>
            <w:rStyle w:val="Hyperlink"/>
            <w:sz w:val="20"/>
          </w:rPr>
          <w:t>https://comcom.ge/en/the-commission/annual-report</w:t>
        </w:r>
      </w:hyperlink>
      <w:r w:rsidRPr="00093FC9">
        <w:t xml:space="preserve"> </w:t>
      </w:r>
    </w:p>
  </w:footnote>
  <w:footnote w:id="43">
    <w:p w14:paraId="41593960" w14:textId="741A7860" w:rsidR="00355738" w:rsidRPr="00093FC9" w:rsidRDefault="00355738" w:rsidP="00CB4094">
      <w:pPr>
        <w:pStyle w:val="FootnoteText"/>
        <w:rPr>
          <w:lang w:val="sl-SI"/>
        </w:rPr>
      </w:pPr>
      <w:r w:rsidRPr="00093FC9">
        <w:rPr>
          <w:rStyle w:val="FootnoteReference"/>
        </w:rPr>
        <w:footnoteRef/>
      </w:r>
      <w:r w:rsidRPr="00093FC9">
        <w:t xml:space="preserve"> The distribution of the size of settlements is depicted bellow. </w:t>
      </w:r>
      <w:r>
        <w:t>T</w:t>
      </w:r>
      <w:r w:rsidRPr="00093FC9">
        <w:t>he capital</w:t>
      </w:r>
      <w:r>
        <w:t xml:space="preserve"> Tbilisi</w:t>
      </w:r>
      <w:r w:rsidRPr="00093FC9">
        <w:t xml:space="preserve"> is by far the largest, </w:t>
      </w:r>
      <w:r>
        <w:t xml:space="preserve">with </w:t>
      </w:r>
      <w:r w:rsidRPr="00093FC9">
        <w:t xml:space="preserve">over 1 million inhabitants, followed three cities of </w:t>
      </w:r>
      <w:r>
        <w:t>between 100,000 and 200,000</w:t>
      </w:r>
      <w:r w:rsidRPr="00093FC9">
        <w:t xml:space="preserve"> i</w:t>
      </w:r>
      <w:r>
        <w:t>n</w:t>
      </w:r>
      <w:r w:rsidRPr="00093FC9">
        <w:t>habitants each.</w:t>
      </w:r>
    </w:p>
    <w:tbl>
      <w:tblPr>
        <w:tblW w:w="9139"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018"/>
        <w:gridCol w:w="1372"/>
        <w:gridCol w:w="1437"/>
        <w:gridCol w:w="1437"/>
        <w:gridCol w:w="1437"/>
        <w:gridCol w:w="1438"/>
      </w:tblGrid>
      <w:tr w:rsidR="00355738" w:rsidRPr="004C27E9" w14:paraId="20596308" w14:textId="77777777" w:rsidTr="00856FF0">
        <w:trPr>
          <w:trHeight w:val="570"/>
        </w:trPr>
        <w:tc>
          <w:tcPr>
            <w:tcW w:w="2018" w:type="dxa"/>
            <w:tcBorders>
              <w:top w:val="single" w:sz="12" w:space="0" w:color="auto"/>
            </w:tcBorders>
            <w:shd w:val="clear" w:color="000000" w:fill="5B9BD5"/>
            <w:vAlign w:val="bottom"/>
            <w:hideMark/>
          </w:tcPr>
          <w:p w14:paraId="33209647" w14:textId="77777777" w:rsidR="00355738" w:rsidRPr="004C27E9" w:rsidRDefault="00355738" w:rsidP="00E95C58">
            <w:pPr>
              <w:spacing w:after="0" w:line="240" w:lineRule="auto"/>
              <w:jc w:val="center"/>
              <w:rPr>
                <w:rFonts w:cs="Calibri"/>
                <w:b/>
                <w:bCs/>
                <w:color w:val="000000"/>
                <w:sz w:val="20"/>
                <w:szCs w:val="20"/>
                <w:lang w:val="sl-SI" w:eastAsia="sl-SI"/>
              </w:rPr>
            </w:pPr>
            <w:r w:rsidRPr="004C27E9">
              <w:rPr>
                <w:rFonts w:cs="Calibri"/>
                <w:b/>
                <w:bCs/>
                <w:color w:val="000000"/>
                <w:sz w:val="20"/>
                <w:szCs w:val="20"/>
                <w:lang w:val="sl-SI" w:eastAsia="sl-SI"/>
              </w:rPr>
              <w:t>Inhabitants</w:t>
            </w:r>
          </w:p>
        </w:tc>
        <w:tc>
          <w:tcPr>
            <w:tcW w:w="1372" w:type="dxa"/>
            <w:tcBorders>
              <w:top w:val="single" w:sz="12" w:space="0" w:color="auto"/>
            </w:tcBorders>
            <w:shd w:val="clear" w:color="000000" w:fill="5B9BD5"/>
            <w:vAlign w:val="bottom"/>
            <w:hideMark/>
          </w:tcPr>
          <w:p w14:paraId="0431DDF7" w14:textId="77777777" w:rsidR="00355738" w:rsidRPr="004C27E9" w:rsidRDefault="00355738" w:rsidP="00E95C58">
            <w:pPr>
              <w:spacing w:after="0" w:line="240" w:lineRule="auto"/>
              <w:jc w:val="center"/>
              <w:rPr>
                <w:rFonts w:cs="Calibri"/>
                <w:b/>
                <w:bCs/>
                <w:color w:val="000000"/>
                <w:sz w:val="20"/>
                <w:szCs w:val="20"/>
                <w:lang w:val="sl-SI" w:eastAsia="sl-SI"/>
              </w:rPr>
            </w:pPr>
            <w:r w:rsidRPr="004C27E9">
              <w:rPr>
                <w:rFonts w:cs="Calibri"/>
                <w:b/>
                <w:bCs/>
                <w:color w:val="000000"/>
                <w:sz w:val="20"/>
                <w:szCs w:val="20"/>
                <w:lang w:val="sl-SI" w:eastAsia="sl-SI"/>
              </w:rPr>
              <w:t>No of settlements</w:t>
            </w:r>
          </w:p>
        </w:tc>
        <w:tc>
          <w:tcPr>
            <w:tcW w:w="1437" w:type="dxa"/>
            <w:tcBorders>
              <w:top w:val="single" w:sz="12" w:space="0" w:color="auto"/>
            </w:tcBorders>
            <w:shd w:val="clear" w:color="000000" w:fill="5B9BD5"/>
            <w:vAlign w:val="bottom"/>
            <w:hideMark/>
          </w:tcPr>
          <w:p w14:paraId="081CFABD" w14:textId="5B6193AA" w:rsidR="00355738" w:rsidRPr="004C27E9" w:rsidRDefault="00355738" w:rsidP="00E95C58">
            <w:pPr>
              <w:spacing w:after="0" w:line="240" w:lineRule="auto"/>
              <w:jc w:val="center"/>
              <w:rPr>
                <w:rFonts w:cs="Calibri"/>
                <w:b/>
                <w:bCs/>
                <w:color w:val="000000"/>
                <w:sz w:val="20"/>
                <w:szCs w:val="20"/>
                <w:lang w:val="sl-SI" w:eastAsia="sl-SI"/>
              </w:rPr>
            </w:pPr>
            <w:r w:rsidRPr="004C27E9">
              <w:rPr>
                <w:rFonts w:cs="Calibri"/>
                <w:b/>
                <w:bCs/>
                <w:color w:val="000000"/>
                <w:sz w:val="20"/>
                <w:szCs w:val="20"/>
                <w:lang w:val="sl-SI" w:eastAsia="sl-SI"/>
              </w:rPr>
              <w:t>Total Inhabitants</w:t>
            </w:r>
          </w:p>
        </w:tc>
        <w:tc>
          <w:tcPr>
            <w:tcW w:w="1437" w:type="dxa"/>
            <w:tcBorders>
              <w:top w:val="single" w:sz="12" w:space="0" w:color="auto"/>
            </w:tcBorders>
            <w:shd w:val="clear" w:color="000000" w:fill="5B9BD5"/>
            <w:vAlign w:val="bottom"/>
            <w:hideMark/>
          </w:tcPr>
          <w:p w14:paraId="5ACBEC5D" w14:textId="77777777" w:rsidR="00355738" w:rsidRPr="004C27E9" w:rsidRDefault="00355738" w:rsidP="00E95C58">
            <w:pPr>
              <w:spacing w:after="0" w:line="240" w:lineRule="auto"/>
              <w:jc w:val="center"/>
              <w:rPr>
                <w:rFonts w:cs="Calibri"/>
                <w:b/>
                <w:bCs/>
                <w:color w:val="000000"/>
                <w:sz w:val="20"/>
                <w:szCs w:val="20"/>
                <w:lang w:val="sl-SI" w:eastAsia="sl-SI"/>
              </w:rPr>
            </w:pPr>
            <w:r w:rsidRPr="004C27E9">
              <w:rPr>
                <w:rFonts w:cs="Calibri"/>
                <w:b/>
                <w:bCs/>
                <w:color w:val="000000"/>
                <w:sz w:val="20"/>
                <w:szCs w:val="20"/>
                <w:lang w:val="sl-SI" w:eastAsia="sl-SI"/>
              </w:rPr>
              <w:t>Average size</w:t>
            </w:r>
          </w:p>
        </w:tc>
        <w:tc>
          <w:tcPr>
            <w:tcW w:w="1437" w:type="dxa"/>
            <w:tcBorders>
              <w:top w:val="single" w:sz="12" w:space="0" w:color="auto"/>
            </w:tcBorders>
            <w:shd w:val="clear" w:color="000000" w:fill="5B9BD5"/>
            <w:vAlign w:val="bottom"/>
            <w:hideMark/>
          </w:tcPr>
          <w:p w14:paraId="5C37A578" w14:textId="77777777" w:rsidR="00355738" w:rsidRPr="004C27E9" w:rsidRDefault="00355738" w:rsidP="00E95C58">
            <w:pPr>
              <w:spacing w:after="0" w:line="240" w:lineRule="auto"/>
              <w:jc w:val="center"/>
              <w:rPr>
                <w:rFonts w:cs="Calibri"/>
                <w:b/>
                <w:bCs/>
                <w:color w:val="000000"/>
                <w:sz w:val="20"/>
                <w:szCs w:val="20"/>
                <w:lang w:val="sl-SI" w:eastAsia="sl-SI"/>
              </w:rPr>
            </w:pPr>
            <w:r w:rsidRPr="004C27E9">
              <w:rPr>
                <w:rFonts w:cs="Calibri"/>
                <w:b/>
                <w:bCs/>
                <w:color w:val="000000"/>
                <w:sz w:val="20"/>
                <w:szCs w:val="20"/>
                <w:lang w:val="sl-SI" w:eastAsia="sl-SI"/>
              </w:rPr>
              <w:t>Total households</w:t>
            </w:r>
          </w:p>
        </w:tc>
        <w:tc>
          <w:tcPr>
            <w:tcW w:w="1438" w:type="dxa"/>
            <w:tcBorders>
              <w:top w:val="single" w:sz="12" w:space="0" w:color="auto"/>
            </w:tcBorders>
            <w:shd w:val="clear" w:color="000000" w:fill="5B9BD5"/>
            <w:vAlign w:val="bottom"/>
            <w:hideMark/>
          </w:tcPr>
          <w:p w14:paraId="5DD3C5D5" w14:textId="77777777" w:rsidR="00355738" w:rsidRPr="004C27E9" w:rsidRDefault="00355738" w:rsidP="00E95C58">
            <w:pPr>
              <w:spacing w:after="0" w:line="240" w:lineRule="auto"/>
              <w:jc w:val="center"/>
              <w:rPr>
                <w:rFonts w:cs="Calibri"/>
                <w:b/>
                <w:bCs/>
                <w:color w:val="000000"/>
                <w:sz w:val="20"/>
                <w:szCs w:val="20"/>
                <w:lang w:val="sl-SI" w:eastAsia="sl-SI"/>
              </w:rPr>
            </w:pPr>
            <w:r w:rsidRPr="004C27E9">
              <w:rPr>
                <w:rFonts w:cs="Calibri"/>
                <w:b/>
                <w:bCs/>
                <w:color w:val="000000"/>
                <w:sz w:val="20"/>
                <w:szCs w:val="20"/>
                <w:lang w:val="sl-SI" w:eastAsia="sl-SI"/>
              </w:rPr>
              <w:t>Average households</w:t>
            </w:r>
          </w:p>
        </w:tc>
      </w:tr>
      <w:tr w:rsidR="00355738" w:rsidRPr="004C27E9" w14:paraId="4A5809DA" w14:textId="77777777" w:rsidTr="00856FF0">
        <w:trPr>
          <w:trHeight w:val="291"/>
        </w:trPr>
        <w:tc>
          <w:tcPr>
            <w:tcW w:w="2018" w:type="dxa"/>
            <w:vAlign w:val="bottom"/>
            <w:hideMark/>
          </w:tcPr>
          <w:p w14:paraId="2038FDE7"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&gt;1</w:t>
            </w:r>
            <w:r>
              <w:rPr>
                <w:rFonts w:cs="Calibri"/>
                <w:color w:val="000000"/>
                <w:sz w:val="20"/>
                <w:szCs w:val="20"/>
                <w:lang w:val="sl-SI" w:eastAsia="sl-SI"/>
              </w:rPr>
              <w:t>,</w:t>
            </w:r>
            <w:r w:rsidRPr="004C27E9">
              <w:rPr>
                <w:rFonts w:cs="Calibri"/>
                <w:color w:val="000000"/>
                <w:sz w:val="20"/>
                <w:szCs w:val="20"/>
                <w:lang w:val="sl-SI" w:eastAsia="sl-SI"/>
              </w:rPr>
              <w:t>000</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45715225"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w:t>
            </w:r>
          </w:p>
        </w:tc>
        <w:tc>
          <w:tcPr>
            <w:tcW w:w="1437" w:type="dxa"/>
            <w:vAlign w:val="center"/>
            <w:hideMark/>
          </w:tcPr>
          <w:p w14:paraId="27693D5E" w14:textId="20205EC3"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w:t>
            </w:r>
            <w:r>
              <w:rPr>
                <w:rFonts w:cs="Calibri"/>
                <w:color w:val="000000"/>
                <w:sz w:val="20"/>
                <w:szCs w:val="20"/>
                <w:lang w:val="sl-SI" w:eastAsia="sl-SI"/>
              </w:rPr>
              <w:t>,</w:t>
            </w:r>
            <w:r w:rsidRPr="004C27E9">
              <w:rPr>
                <w:rFonts w:cs="Calibri"/>
                <w:color w:val="000000"/>
                <w:sz w:val="20"/>
                <w:szCs w:val="20"/>
                <w:lang w:val="sl-SI" w:eastAsia="sl-SI"/>
              </w:rPr>
              <w:t>108</w:t>
            </w:r>
            <w:r>
              <w:rPr>
                <w:rFonts w:cs="Calibri"/>
                <w:color w:val="000000"/>
                <w:sz w:val="20"/>
                <w:szCs w:val="20"/>
                <w:lang w:val="sl-SI" w:eastAsia="sl-SI"/>
              </w:rPr>
              <w:t>,</w:t>
            </w:r>
            <w:r w:rsidRPr="004C27E9">
              <w:rPr>
                <w:rFonts w:cs="Calibri"/>
                <w:color w:val="000000"/>
                <w:sz w:val="20"/>
                <w:szCs w:val="20"/>
                <w:lang w:val="sl-SI" w:eastAsia="sl-SI"/>
              </w:rPr>
              <w:t>717</w:t>
            </w:r>
          </w:p>
        </w:tc>
        <w:tc>
          <w:tcPr>
            <w:tcW w:w="1437" w:type="dxa"/>
            <w:vAlign w:val="center"/>
            <w:hideMark/>
          </w:tcPr>
          <w:p w14:paraId="0B641685"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w:t>
            </w:r>
            <w:r>
              <w:rPr>
                <w:rFonts w:cs="Calibri"/>
                <w:color w:val="000000"/>
                <w:sz w:val="20"/>
                <w:szCs w:val="20"/>
                <w:lang w:val="sl-SI" w:eastAsia="sl-SI"/>
              </w:rPr>
              <w:t>,</w:t>
            </w:r>
            <w:r w:rsidRPr="004C27E9">
              <w:rPr>
                <w:rFonts w:cs="Calibri"/>
                <w:color w:val="000000"/>
                <w:sz w:val="20"/>
                <w:szCs w:val="20"/>
                <w:lang w:val="sl-SI" w:eastAsia="sl-SI"/>
              </w:rPr>
              <w:t>108</w:t>
            </w:r>
            <w:r>
              <w:rPr>
                <w:rFonts w:cs="Calibri"/>
                <w:color w:val="000000"/>
                <w:sz w:val="20"/>
                <w:szCs w:val="20"/>
                <w:lang w:val="sl-SI" w:eastAsia="sl-SI"/>
              </w:rPr>
              <w:t>,</w:t>
            </w:r>
            <w:r w:rsidRPr="004C27E9">
              <w:rPr>
                <w:rFonts w:cs="Calibri"/>
                <w:color w:val="000000"/>
                <w:sz w:val="20"/>
                <w:szCs w:val="20"/>
                <w:lang w:val="sl-SI" w:eastAsia="sl-SI"/>
              </w:rPr>
              <w:t>717</w:t>
            </w:r>
          </w:p>
        </w:tc>
        <w:tc>
          <w:tcPr>
            <w:tcW w:w="1437" w:type="dxa"/>
            <w:vAlign w:val="center"/>
            <w:hideMark/>
          </w:tcPr>
          <w:p w14:paraId="19C097DA"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464</w:t>
            </w:r>
            <w:r>
              <w:rPr>
                <w:rFonts w:cs="Calibri"/>
                <w:color w:val="000000"/>
                <w:sz w:val="20"/>
                <w:szCs w:val="20"/>
                <w:lang w:val="sl-SI" w:eastAsia="sl-SI"/>
              </w:rPr>
              <w:t>,</w:t>
            </w:r>
            <w:r w:rsidRPr="004C27E9">
              <w:rPr>
                <w:rFonts w:cs="Calibri"/>
                <w:color w:val="000000"/>
                <w:sz w:val="20"/>
                <w:szCs w:val="20"/>
                <w:lang w:val="sl-SI" w:eastAsia="sl-SI"/>
              </w:rPr>
              <w:t>688</w:t>
            </w:r>
          </w:p>
        </w:tc>
        <w:tc>
          <w:tcPr>
            <w:tcW w:w="1438" w:type="dxa"/>
            <w:vAlign w:val="center"/>
            <w:hideMark/>
          </w:tcPr>
          <w:p w14:paraId="0C8E4E21"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464</w:t>
            </w:r>
            <w:r>
              <w:rPr>
                <w:rFonts w:cs="Calibri"/>
                <w:color w:val="000000"/>
                <w:sz w:val="20"/>
                <w:szCs w:val="20"/>
                <w:lang w:val="sl-SI" w:eastAsia="sl-SI"/>
              </w:rPr>
              <w:t>,</w:t>
            </w:r>
            <w:r w:rsidRPr="004C27E9">
              <w:rPr>
                <w:rFonts w:cs="Calibri"/>
                <w:color w:val="000000"/>
                <w:sz w:val="20"/>
                <w:szCs w:val="20"/>
                <w:lang w:val="sl-SI" w:eastAsia="sl-SI"/>
              </w:rPr>
              <w:t>688</w:t>
            </w:r>
          </w:p>
        </w:tc>
      </w:tr>
      <w:tr w:rsidR="00355738" w:rsidRPr="004C27E9" w14:paraId="30033868" w14:textId="77777777" w:rsidTr="00856FF0">
        <w:trPr>
          <w:trHeight w:val="291"/>
        </w:trPr>
        <w:tc>
          <w:tcPr>
            <w:tcW w:w="2018" w:type="dxa"/>
            <w:vAlign w:val="bottom"/>
            <w:hideMark/>
          </w:tcPr>
          <w:p w14:paraId="2E7EBD13"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100</w:t>
            </w:r>
            <w:r>
              <w:rPr>
                <w:rFonts w:cs="Calibri"/>
                <w:color w:val="000000"/>
                <w:sz w:val="20"/>
                <w:szCs w:val="20"/>
                <w:lang w:val="sl-SI" w:eastAsia="sl-SI"/>
              </w:rPr>
              <w:t>,</w:t>
            </w:r>
            <w:r w:rsidRPr="004C27E9">
              <w:rPr>
                <w:rFonts w:cs="Calibri"/>
                <w:color w:val="000000"/>
                <w:sz w:val="20"/>
                <w:szCs w:val="20"/>
                <w:lang w:val="sl-SI" w:eastAsia="sl-SI"/>
              </w:rPr>
              <w:t>000-200</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4F284350"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3</w:t>
            </w:r>
          </w:p>
        </w:tc>
        <w:tc>
          <w:tcPr>
            <w:tcW w:w="1437" w:type="dxa"/>
            <w:vAlign w:val="center"/>
            <w:hideMark/>
          </w:tcPr>
          <w:p w14:paraId="56AB43DB" w14:textId="76C63595"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425</w:t>
            </w:r>
            <w:r>
              <w:rPr>
                <w:rFonts w:cs="Calibri"/>
                <w:color w:val="000000"/>
                <w:sz w:val="20"/>
                <w:szCs w:val="20"/>
                <w:lang w:val="sl-SI" w:eastAsia="sl-SI"/>
              </w:rPr>
              <w:t>,</w:t>
            </w:r>
            <w:r w:rsidRPr="004C27E9">
              <w:rPr>
                <w:rFonts w:cs="Calibri"/>
                <w:color w:val="000000"/>
                <w:sz w:val="20"/>
                <w:szCs w:val="20"/>
                <w:lang w:val="sl-SI" w:eastAsia="sl-SI"/>
              </w:rPr>
              <w:t>577</w:t>
            </w:r>
          </w:p>
        </w:tc>
        <w:tc>
          <w:tcPr>
            <w:tcW w:w="1437" w:type="dxa"/>
            <w:vAlign w:val="center"/>
            <w:hideMark/>
          </w:tcPr>
          <w:p w14:paraId="035702B4"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141</w:t>
            </w:r>
            <w:r>
              <w:rPr>
                <w:rFonts w:cs="Calibri"/>
                <w:color w:val="000000"/>
                <w:sz w:val="20"/>
                <w:szCs w:val="20"/>
                <w:lang w:val="sl-SI" w:eastAsia="sl-SI"/>
              </w:rPr>
              <w:t>,</w:t>
            </w:r>
            <w:r w:rsidRPr="004C27E9">
              <w:rPr>
                <w:rFonts w:cs="Calibri"/>
                <w:color w:val="000000"/>
                <w:sz w:val="20"/>
                <w:szCs w:val="20"/>
                <w:lang w:val="sl-SI" w:eastAsia="sl-SI"/>
              </w:rPr>
              <w:t>859</w:t>
            </w:r>
          </w:p>
        </w:tc>
        <w:tc>
          <w:tcPr>
            <w:tcW w:w="1437" w:type="dxa"/>
            <w:vAlign w:val="center"/>
            <w:hideMark/>
          </w:tcPr>
          <w:p w14:paraId="3C0F5436"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140</w:t>
            </w:r>
            <w:r>
              <w:rPr>
                <w:rFonts w:cs="Calibri"/>
                <w:color w:val="000000"/>
                <w:sz w:val="20"/>
                <w:szCs w:val="20"/>
                <w:lang w:val="sl-SI" w:eastAsia="sl-SI"/>
              </w:rPr>
              <w:t>,</w:t>
            </w:r>
            <w:r w:rsidRPr="004C27E9">
              <w:rPr>
                <w:rFonts w:cs="Calibri"/>
                <w:color w:val="000000"/>
                <w:sz w:val="20"/>
                <w:szCs w:val="20"/>
                <w:lang w:val="sl-SI" w:eastAsia="sl-SI"/>
              </w:rPr>
              <w:t>196</w:t>
            </w:r>
          </w:p>
        </w:tc>
        <w:tc>
          <w:tcPr>
            <w:tcW w:w="1438" w:type="dxa"/>
            <w:vAlign w:val="center"/>
            <w:hideMark/>
          </w:tcPr>
          <w:p w14:paraId="331E6486"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46</w:t>
            </w:r>
            <w:r>
              <w:rPr>
                <w:rFonts w:cs="Calibri"/>
                <w:color w:val="000000"/>
                <w:sz w:val="20"/>
                <w:szCs w:val="20"/>
                <w:lang w:val="sl-SI" w:eastAsia="sl-SI"/>
              </w:rPr>
              <w:t>,</w:t>
            </w:r>
            <w:r w:rsidRPr="004C27E9">
              <w:rPr>
                <w:rFonts w:cs="Calibri"/>
                <w:color w:val="000000"/>
                <w:sz w:val="20"/>
                <w:szCs w:val="20"/>
                <w:lang w:val="sl-SI" w:eastAsia="sl-SI"/>
              </w:rPr>
              <w:t>732</w:t>
            </w:r>
          </w:p>
        </w:tc>
      </w:tr>
      <w:tr w:rsidR="00355738" w:rsidRPr="004C27E9" w14:paraId="45F77CB3" w14:textId="77777777" w:rsidTr="00856FF0">
        <w:trPr>
          <w:trHeight w:val="291"/>
        </w:trPr>
        <w:tc>
          <w:tcPr>
            <w:tcW w:w="2018" w:type="dxa"/>
            <w:vAlign w:val="bottom"/>
            <w:hideMark/>
          </w:tcPr>
          <w:p w14:paraId="0697AB73"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50</w:t>
            </w:r>
            <w:r>
              <w:rPr>
                <w:rFonts w:cs="Calibri"/>
                <w:color w:val="000000"/>
                <w:sz w:val="20"/>
                <w:szCs w:val="20"/>
                <w:lang w:val="sl-SI" w:eastAsia="sl-SI"/>
              </w:rPr>
              <w:t>,</w:t>
            </w:r>
            <w:r w:rsidRPr="004C27E9">
              <w:rPr>
                <w:rFonts w:cs="Calibri"/>
                <w:color w:val="000000"/>
                <w:sz w:val="20"/>
                <w:szCs w:val="20"/>
                <w:lang w:val="sl-SI" w:eastAsia="sl-SI"/>
              </w:rPr>
              <w:t>000-100</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03992110"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0</w:t>
            </w:r>
          </w:p>
        </w:tc>
        <w:tc>
          <w:tcPr>
            <w:tcW w:w="1437" w:type="dxa"/>
            <w:vAlign w:val="center"/>
            <w:hideMark/>
          </w:tcPr>
          <w:p w14:paraId="249624D4" w14:textId="5450706B"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c>
          <w:tcPr>
            <w:tcW w:w="1437" w:type="dxa"/>
            <w:vAlign w:val="center"/>
            <w:hideMark/>
          </w:tcPr>
          <w:p w14:paraId="2F0F8D77"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c>
          <w:tcPr>
            <w:tcW w:w="1437" w:type="dxa"/>
            <w:vAlign w:val="center"/>
            <w:hideMark/>
          </w:tcPr>
          <w:p w14:paraId="02B2EDC5"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c>
          <w:tcPr>
            <w:tcW w:w="1438" w:type="dxa"/>
            <w:vAlign w:val="center"/>
            <w:hideMark/>
          </w:tcPr>
          <w:p w14:paraId="25584262"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r>
      <w:tr w:rsidR="00355738" w:rsidRPr="004C27E9" w14:paraId="00AD792B" w14:textId="77777777" w:rsidTr="00856FF0">
        <w:trPr>
          <w:trHeight w:val="291"/>
        </w:trPr>
        <w:tc>
          <w:tcPr>
            <w:tcW w:w="2018" w:type="dxa"/>
            <w:vAlign w:val="bottom"/>
            <w:hideMark/>
          </w:tcPr>
          <w:p w14:paraId="4277BA5D"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30</w:t>
            </w:r>
            <w:r>
              <w:rPr>
                <w:rFonts w:cs="Calibri"/>
                <w:color w:val="000000"/>
                <w:sz w:val="20"/>
                <w:szCs w:val="20"/>
                <w:lang w:val="sl-SI" w:eastAsia="sl-SI"/>
              </w:rPr>
              <w:t>,</w:t>
            </w:r>
            <w:r w:rsidRPr="004C27E9">
              <w:rPr>
                <w:rFonts w:cs="Calibri"/>
                <w:color w:val="000000"/>
                <w:sz w:val="20"/>
                <w:szCs w:val="20"/>
                <w:lang w:val="sl-SI" w:eastAsia="sl-SI"/>
              </w:rPr>
              <w:t>000-50</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06356BBD"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3</w:t>
            </w:r>
          </w:p>
        </w:tc>
        <w:tc>
          <w:tcPr>
            <w:tcW w:w="1437" w:type="dxa"/>
            <w:vAlign w:val="center"/>
            <w:hideMark/>
          </w:tcPr>
          <w:p w14:paraId="4A72DEFE" w14:textId="67151EBD"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132</w:t>
            </w:r>
            <w:r>
              <w:rPr>
                <w:rFonts w:cs="Calibri"/>
                <w:color w:val="000000"/>
                <w:sz w:val="20"/>
                <w:szCs w:val="20"/>
                <w:lang w:val="sl-SI" w:eastAsia="sl-SI"/>
              </w:rPr>
              <w:t>,</w:t>
            </w:r>
            <w:r w:rsidRPr="004C27E9">
              <w:rPr>
                <w:rFonts w:cs="Calibri"/>
                <w:color w:val="000000"/>
                <w:sz w:val="20"/>
                <w:szCs w:val="20"/>
                <w:lang w:val="sl-SI" w:eastAsia="sl-SI"/>
              </w:rPr>
              <w:t>606</w:t>
            </w:r>
          </w:p>
        </w:tc>
        <w:tc>
          <w:tcPr>
            <w:tcW w:w="1437" w:type="dxa"/>
            <w:vAlign w:val="center"/>
            <w:hideMark/>
          </w:tcPr>
          <w:p w14:paraId="33E18BFE"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44</w:t>
            </w:r>
            <w:r>
              <w:rPr>
                <w:rFonts w:cs="Calibri"/>
                <w:color w:val="000000"/>
                <w:sz w:val="20"/>
                <w:szCs w:val="20"/>
                <w:lang w:val="sl-SI" w:eastAsia="sl-SI"/>
              </w:rPr>
              <w:t>,</w:t>
            </w:r>
            <w:r w:rsidRPr="004C27E9">
              <w:rPr>
                <w:rFonts w:cs="Calibri"/>
                <w:color w:val="000000"/>
                <w:sz w:val="20"/>
                <w:szCs w:val="20"/>
                <w:lang w:val="sl-SI" w:eastAsia="sl-SI"/>
              </w:rPr>
              <w:t>202</w:t>
            </w:r>
          </w:p>
        </w:tc>
        <w:tc>
          <w:tcPr>
            <w:tcW w:w="1437" w:type="dxa"/>
            <w:vAlign w:val="center"/>
            <w:hideMark/>
          </w:tcPr>
          <w:p w14:paraId="6EC46151"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40</w:t>
            </w:r>
            <w:r>
              <w:rPr>
                <w:rFonts w:cs="Calibri"/>
                <w:color w:val="000000"/>
                <w:sz w:val="20"/>
                <w:szCs w:val="20"/>
                <w:lang w:val="sl-SI" w:eastAsia="sl-SI"/>
              </w:rPr>
              <w:t>,</w:t>
            </w:r>
            <w:r w:rsidRPr="004C27E9">
              <w:rPr>
                <w:rFonts w:cs="Calibri"/>
                <w:color w:val="000000"/>
                <w:sz w:val="20"/>
                <w:szCs w:val="20"/>
                <w:lang w:val="sl-SI" w:eastAsia="sl-SI"/>
              </w:rPr>
              <w:t>878</w:t>
            </w:r>
          </w:p>
        </w:tc>
        <w:tc>
          <w:tcPr>
            <w:tcW w:w="1438" w:type="dxa"/>
            <w:vAlign w:val="center"/>
            <w:hideMark/>
          </w:tcPr>
          <w:p w14:paraId="7ED65CA7"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13</w:t>
            </w:r>
            <w:r>
              <w:rPr>
                <w:rFonts w:cs="Calibri"/>
                <w:color w:val="000000"/>
                <w:sz w:val="20"/>
                <w:szCs w:val="20"/>
                <w:lang w:val="sl-SI" w:eastAsia="sl-SI"/>
              </w:rPr>
              <w:t>,</w:t>
            </w:r>
            <w:r w:rsidRPr="004C27E9">
              <w:rPr>
                <w:rFonts w:cs="Calibri"/>
                <w:color w:val="000000"/>
                <w:sz w:val="20"/>
                <w:szCs w:val="20"/>
                <w:lang w:val="sl-SI" w:eastAsia="sl-SI"/>
              </w:rPr>
              <w:t>626</w:t>
            </w:r>
          </w:p>
        </w:tc>
      </w:tr>
      <w:tr w:rsidR="00355738" w:rsidRPr="004C27E9" w14:paraId="2C8147C2" w14:textId="77777777" w:rsidTr="00856FF0">
        <w:trPr>
          <w:trHeight w:val="291"/>
        </w:trPr>
        <w:tc>
          <w:tcPr>
            <w:tcW w:w="2018" w:type="dxa"/>
            <w:vAlign w:val="bottom"/>
            <w:hideMark/>
          </w:tcPr>
          <w:p w14:paraId="1A0E1BE6"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10</w:t>
            </w:r>
            <w:r>
              <w:rPr>
                <w:rFonts w:cs="Calibri"/>
                <w:color w:val="000000"/>
                <w:sz w:val="20"/>
                <w:szCs w:val="20"/>
                <w:lang w:val="sl-SI" w:eastAsia="sl-SI"/>
              </w:rPr>
              <w:t>,</w:t>
            </w:r>
            <w:r w:rsidRPr="004C27E9">
              <w:rPr>
                <w:rFonts w:cs="Calibri"/>
                <w:color w:val="000000"/>
                <w:sz w:val="20"/>
                <w:szCs w:val="20"/>
                <w:lang w:val="sl-SI" w:eastAsia="sl-SI"/>
              </w:rPr>
              <w:t>000-30</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2A50FFA7"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15</w:t>
            </w:r>
          </w:p>
        </w:tc>
        <w:tc>
          <w:tcPr>
            <w:tcW w:w="1437" w:type="dxa"/>
            <w:vAlign w:val="center"/>
            <w:hideMark/>
          </w:tcPr>
          <w:p w14:paraId="006C7862" w14:textId="0362301C"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252</w:t>
            </w:r>
            <w:r>
              <w:rPr>
                <w:rFonts w:cs="Calibri"/>
                <w:color w:val="000000"/>
                <w:sz w:val="20"/>
                <w:szCs w:val="20"/>
                <w:lang w:val="sl-SI" w:eastAsia="sl-SI"/>
              </w:rPr>
              <w:t>,</w:t>
            </w:r>
            <w:r w:rsidRPr="004C27E9">
              <w:rPr>
                <w:rFonts w:cs="Calibri"/>
                <w:color w:val="000000"/>
                <w:sz w:val="20"/>
                <w:szCs w:val="20"/>
                <w:lang w:val="sl-SI" w:eastAsia="sl-SI"/>
              </w:rPr>
              <w:t>614</w:t>
            </w:r>
          </w:p>
        </w:tc>
        <w:tc>
          <w:tcPr>
            <w:tcW w:w="1437" w:type="dxa"/>
            <w:vAlign w:val="center"/>
            <w:hideMark/>
          </w:tcPr>
          <w:p w14:paraId="5C53071A"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16</w:t>
            </w:r>
            <w:r>
              <w:rPr>
                <w:rFonts w:cs="Calibri"/>
                <w:color w:val="000000"/>
                <w:sz w:val="20"/>
                <w:szCs w:val="20"/>
                <w:lang w:val="sl-SI" w:eastAsia="sl-SI"/>
              </w:rPr>
              <w:t>,</w:t>
            </w:r>
            <w:r w:rsidRPr="004C27E9">
              <w:rPr>
                <w:rFonts w:cs="Calibri"/>
                <w:color w:val="000000"/>
                <w:sz w:val="20"/>
                <w:szCs w:val="20"/>
                <w:lang w:val="sl-SI" w:eastAsia="sl-SI"/>
              </w:rPr>
              <w:t>841</w:t>
            </w:r>
          </w:p>
        </w:tc>
        <w:tc>
          <w:tcPr>
            <w:tcW w:w="1437" w:type="dxa"/>
            <w:vAlign w:val="center"/>
            <w:hideMark/>
          </w:tcPr>
          <w:p w14:paraId="78445B2E"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81</w:t>
            </w:r>
            <w:r>
              <w:rPr>
                <w:rFonts w:cs="Calibri"/>
                <w:color w:val="000000"/>
                <w:sz w:val="20"/>
                <w:szCs w:val="20"/>
                <w:lang w:val="sl-SI" w:eastAsia="sl-SI"/>
              </w:rPr>
              <w:t>,</w:t>
            </w:r>
            <w:r w:rsidRPr="004C27E9">
              <w:rPr>
                <w:rFonts w:cs="Calibri"/>
                <w:color w:val="000000"/>
                <w:sz w:val="20"/>
                <w:szCs w:val="20"/>
                <w:lang w:val="sl-SI" w:eastAsia="sl-SI"/>
              </w:rPr>
              <w:t>483</w:t>
            </w:r>
          </w:p>
        </w:tc>
        <w:tc>
          <w:tcPr>
            <w:tcW w:w="1438" w:type="dxa"/>
            <w:vAlign w:val="center"/>
            <w:hideMark/>
          </w:tcPr>
          <w:p w14:paraId="716AE287"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5</w:t>
            </w:r>
            <w:r>
              <w:rPr>
                <w:rFonts w:cs="Calibri"/>
                <w:color w:val="000000"/>
                <w:sz w:val="20"/>
                <w:szCs w:val="20"/>
                <w:lang w:val="sl-SI" w:eastAsia="sl-SI"/>
              </w:rPr>
              <w:t>,</w:t>
            </w:r>
            <w:r w:rsidRPr="004C27E9">
              <w:rPr>
                <w:rFonts w:cs="Calibri"/>
                <w:color w:val="000000"/>
                <w:sz w:val="20"/>
                <w:szCs w:val="20"/>
                <w:lang w:val="sl-SI" w:eastAsia="sl-SI"/>
              </w:rPr>
              <w:t>432</w:t>
            </w:r>
          </w:p>
        </w:tc>
      </w:tr>
      <w:tr w:rsidR="00355738" w:rsidRPr="004C27E9" w14:paraId="61AB754E" w14:textId="77777777" w:rsidTr="00856FF0">
        <w:trPr>
          <w:trHeight w:val="291"/>
        </w:trPr>
        <w:tc>
          <w:tcPr>
            <w:tcW w:w="2018" w:type="dxa"/>
            <w:vAlign w:val="bottom"/>
            <w:hideMark/>
          </w:tcPr>
          <w:p w14:paraId="76AABAE9"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5</w:t>
            </w:r>
            <w:r>
              <w:rPr>
                <w:rFonts w:cs="Calibri"/>
                <w:color w:val="000000"/>
                <w:sz w:val="20"/>
                <w:szCs w:val="20"/>
                <w:lang w:val="sl-SI" w:eastAsia="sl-SI"/>
              </w:rPr>
              <w:t>,</w:t>
            </w:r>
            <w:r w:rsidRPr="004C27E9">
              <w:rPr>
                <w:rFonts w:cs="Calibri"/>
                <w:color w:val="000000"/>
                <w:sz w:val="20"/>
                <w:szCs w:val="20"/>
                <w:lang w:val="sl-SI" w:eastAsia="sl-SI"/>
              </w:rPr>
              <w:t>000-10</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0ED169E5"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30</w:t>
            </w:r>
          </w:p>
        </w:tc>
        <w:tc>
          <w:tcPr>
            <w:tcW w:w="1437" w:type="dxa"/>
            <w:vAlign w:val="center"/>
            <w:hideMark/>
          </w:tcPr>
          <w:p w14:paraId="12D82360" w14:textId="66674324"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203</w:t>
            </w:r>
            <w:r>
              <w:rPr>
                <w:rFonts w:cs="Calibri"/>
                <w:color w:val="000000"/>
                <w:sz w:val="20"/>
                <w:szCs w:val="20"/>
                <w:lang w:val="sl-SI" w:eastAsia="sl-SI"/>
              </w:rPr>
              <w:t>,</w:t>
            </w:r>
            <w:r w:rsidRPr="004C27E9">
              <w:rPr>
                <w:rFonts w:cs="Calibri"/>
                <w:color w:val="000000"/>
                <w:sz w:val="20"/>
                <w:szCs w:val="20"/>
                <w:lang w:val="sl-SI" w:eastAsia="sl-SI"/>
              </w:rPr>
              <w:t>666</w:t>
            </w:r>
          </w:p>
        </w:tc>
        <w:tc>
          <w:tcPr>
            <w:tcW w:w="1437" w:type="dxa"/>
            <w:vAlign w:val="center"/>
            <w:hideMark/>
          </w:tcPr>
          <w:p w14:paraId="08D1E1A9"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6</w:t>
            </w:r>
            <w:r>
              <w:rPr>
                <w:rFonts w:cs="Calibri"/>
                <w:color w:val="000000"/>
                <w:sz w:val="20"/>
                <w:szCs w:val="20"/>
                <w:lang w:val="sl-SI" w:eastAsia="sl-SI"/>
              </w:rPr>
              <w:t>,</w:t>
            </w:r>
            <w:r w:rsidRPr="004C27E9">
              <w:rPr>
                <w:rFonts w:cs="Calibri"/>
                <w:color w:val="000000"/>
                <w:sz w:val="20"/>
                <w:szCs w:val="20"/>
                <w:lang w:val="sl-SI" w:eastAsia="sl-SI"/>
              </w:rPr>
              <w:t>789</w:t>
            </w:r>
          </w:p>
        </w:tc>
        <w:tc>
          <w:tcPr>
            <w:tcW w:w="1437" w:type="dxa"/>
            <w:vAlign w:val="center"/>
            <w:hideMark/>
          </w:tcPr>
          <w:p w14:paraId="76CAC451"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65</w:t>
            </w:r>
            <w:r>
              <w:rPr>
                <w:rFonts w:cs="Calibri"/>
                <w:color w:val="000000"/>
                <w:sz w:val="20"/>
                <w:szCs w:val="20"/>
                <w:lang w:val="sl-SI" w:eastAsia="sl-SI"/>
              </w:rPr>
              <w:t>,</w:t>
            </w:r>
            <w:r w:rsidRPr="004C27E9">
              <w:rPr>
                <w:rFonts w:cs="Calibri"/>
                <w:color w:val="000000"/>
                <w:sz w:val="20"/>
                <w:szCs w:val="20"/>
                <w:lang w:val="sl-SI" w:eastAsia="sl-SI"/>
              </w:rPr>
              <w:t>754</w:t>
            </w:r>
          </w:p>
        </w:tc>
        <w:tc>
          <w:tcPr>
            <w:tcW w:w="1438" w:type="dxa"/>
            <w:vAlign w:val="center"/>
            <w:hideMark/>
          </w:tcPr>
          <w:p w14:paraId="5BDA52E8"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w:t>
            </w:r>
            <w:r>
              <w:rPr>
                <w:rFonts w:cs="Calibri"/>
                <w:color w:val="000000"/>
                <w:sz w:val="20"/>
                <w:szCs w:val="20"/>
                <w:lang w:val="sl-SI" w:eastAsia="sl-SI"/>
              </w:rPr>
              <w:t>,</w:t>
            </w:r>
            <w:r w:rsidRPr="004C27E9">
              <w:rPr>
                <w:rFonts w:cs="Calibri"/>
                <w:color w:val="000000"/>
                <w:sz w:val="20"/>
                <w:szCs w:val="20"/>
                <w:lang w:val="sl-SI" w:eastAsia="sl-SI"/>
              </w:rPr>
              <w:t>192</w:t>
            </w:r>
          </w:p>
        </w:tc>
      </w:tr>
      <w:tr w:rsidR="00355738" w:rsidRPr="004C27E9" w14:paraId="63682B6A" w14:textId="77777777" w:rsidTr="00856FF0">
        <w:trPr>
          <w:trHeight w:val="291"/>
        </w:trPr>
        <w:tc>
          <w:tcPr>
            <w:tcW w:w="2018" w:type="dxa"/>
            <w:vAlign w:val="bottom"/>
            <w:hideMark/>
          </w:tcPr>
          <w:p w14:paraId="09C0282D"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2</w:t>
            </w:r>
            <w:r>
              <w:rPr>
                <w:rFonts w:cs="Calibri"/>
                <w:color w:val="000000"/>
                <w:sz w:val="20"/>
                <w:szCs w:val="20"/>
                <w:lang w:val="sl-SI" w:eastAsia="sl-SI"/>
              </w:rPr>
              <w:t>,</w:t>
            </w:r>
            <w:r w:rsidRPr="004C27E9">
              <w:rPr>
                <w:rFonts w:cs="Calibri"/>
                <w:color w:val="000000"/>
                <w:sz w:val="20"/>
                <w:szCs w:val="20"/>
                <w:lang w:val="sl-SI" w:eastAsia="sl-SI"/>
              </w:rPr>
              <w:t>000-5</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2BD1FCF9"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143</w:t>
            </w:r>
          </w:p>
        </w:tc>
        <w:tc>
          <w:tcPr>
            <w:tcW w:w="1437" w:type="dxa"/>
            <w:vAlign w:val="center"/>
            <w:hideMark/>
          </w:tcPr>
          <w:p w14:paraId="31E29FE5" w14:textId="48F36E7F"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417</w:t>
            </w:r>
            <w:r>
              <w:rPr>
                <w:rFonts w:cs="Calibri"/>
                <w:color w:val="000000"/>
                <w:sz w:val="20"/>
                <w:szCs w:val="20"/>
                <w:lang w:val="sl-SI" w:eastAsia="sl-SI"/>
              </w:rPr>
              <w:t>,</w:t>
            </w:r>
            <w:r w:rsidRPr="004C27E9">
              <w:rPr>
                <w:rFonts w:cs="Calibri"/>
                <w:color w:val="000000"/>
                <w:sz w:val="20"/>
                <w:szCs w:val="20"/>
                <w:lang w:val="sl-SI" w:eastAsia="sl-SI"/>
              </w:rPr>
              <w:t>324</w:t>
            </w:r>
          </w:p>
        </w:tc>
        <w:tc>
          <w:tcPr>
            <w:tcW w:w="1437" w:type="dxa"/>
            <w:vAlign w:val="center"/>
            <w:hideMark/>
          </w:tcPr>
          <w:p w14:paraId="5E1CD9F3"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w:t>
            </w:r>
            <w:r>
              <w:rPr>
                <w:rFonts w:cs="Calibri"/>
                <w:color w:val="000000"/>
                <w:sz w:val="20"/>
                <w:szCs w:val="20"/>
                <w:lang w:val="sl-SI" w:eastAsia="sl-SI"/>
              </w:rPr>
              <w:t>,</w:t>
            </w:r>
            <w:r w:rsidRPr="004C27E9">
              <w:rPr>
                <w:rFonts w:cs="Calibri"/>
                <w:color w:val="000000"/>
                <w:sz w:val="20"/>
                <w:szCs w:val="20"/>
                <w:lang w:val="sl-SI" w:eastAsia="sl-SI"/>
              </w:rPr>
              <w:t>918</w:t>
            </w:r>
          </w:p>
        </w:tc>
        <w:tc>
          <w:tcPr>
            <w:tcW w:w="1437" w:type="dxa"/>
            <w:vAlign w:val="center"/>
            <w:hideMark/>
          </w:tcPr>
          <w:p w14:paraId="13E21D3E"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117</w:t>
            </w:r>
            <w:r>
              <w:rPr>
                <w:rFonts w:cs="Calibri"/>
                <w:color w:val="000000"/>
                <w:sz w:val="20"/>
                <w:szCs w:val="20"/>
                <w:lang w:val="sl-SI" w:eastAsia="sl-SI"/>
              </w:rPr>
              <w:t>,</w:t>
            </w:r>
            <w:r w:rsidRPr="004C27E9">
              <w:rPr>
                <w:rFonts w:cs="Calibri"/>
                <w:color w:val="000000"/>
                <w:sz w:val="20"/>
                <w:szCs w:val="20"/>
                <w:lang w:val="sl-SI" w:eastAsia="sl-SI"/>
              </w:rPr>
              <w:t>844</w:t>
            </w:r>
          </w:p>
        </w:tc>
        <w:tc>
          <w:tcPr>
            <w:tcW w:w="1438" w:type="dxa"/>
            <w:vAlign w:val="center"/>
            <w:hideMark/>
          </w:tcPr>
          <w:p w14:paraId="64887E75"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824</w:t>
            </w:r>
          </w:p>
        </w:tc>
      </w:tr>
      <w:tr w:rsidR="00355738" w:rsidRPr="004C27E9" w14:paraId="6F715678" w14:textId="77777777" w:rsidTr="00856FF0">
        <w:trPr>
          <w:trHeight w:val="291"/>
        </w:trPr>
        <w:tc>
          <w:tcPr>
            <w:tcW w:w="2018" w:type="dxa"/>
            <w:vAlign w:val="bottom"/>
            <w:hideMark/>
          </w:tcPr>
          <w:p w14:paraId="2E566457"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1</w:t>
            </w:r>
            <w:r>
              <w:rPr>
                <w:rFonts w:cs="Calibri"/>
                <w:color w:val="000000"/>
                <w:sz w:val="20"/>
                <w:szCs w:val="20"/>
                <w:lang w:val="sl-SI" w:eastAsia="sl-SI"/>
              </w:rPr>
              <w:t>,</w:t>
            </w:r>
            <w:r w:rsidRPr="004C27E9">
              <w:rPr>
                <w:rFonts w:cs="Calibri"/>
                <w:color w:val="000000"/>
                <w:sz w:val="20"/>
                <w:szCs w:val="20"/>
                <w:lang w:val="sl-SI" w:eastAsia="sl-SI"/>
              </w:rPr>
              <w:t>000-2</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4354277C"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279</w:t>
            </w:r>
          </w:p>
        </w:tc>
        <w:tc>
          <w:tcPr>
            <w:tcW w:w="1437" w:type="dxa"/>
            <w:vAlign w:val="center"/>
            <w:hideMark/>
          </w:tcPr>
          <w:p w14:paraId="0E7B9DA3" w14:textId="43227C61"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388</w:t>
            </w:r>
            <w:r>
              <w:rPr>
                <w:rFonts w:cs="Calibri"/>
                <w:color w:val="000000"/>
                <w:sz w:val="20"/>
                <w:szCs w:val="20"/>
                <w:lang w:val="sl-SI" w:eastAsia="sl-SI"/>
              </w:rPr>
              <w:t>,</w:t>
            </w:r>
            <w:r w:rsidRPr="004C27E9">
              <w:rPr>
                <w:rFonts w:cs="Calibri"/>
                <w:color w:val="000000"/>
                <w:sz w:val="20"/>
                <w:szCs w:val="20"/>
                <w:lang w:val="sl-SI" w:eastAsia="sl-SI"/>
              </w:rPr>
              <w:t>322</w:t>
            </w:r>
          </w:p>
        </w:tc>
        <w:tc>
          <w:tcPr>
            <w:tcW w:w="1437" w:type="dxa"/>
            <w:vAlign w:val="center"/>
            <w:hideMark/>
          </w:tcPr>
          <w:p w14:paraId="375B24AC"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w:t>
            </w:r>
            <w:r>
              <w:rPr>
                <w:rFonts w:cs="Calibri"/>
                <w:color w:val="000000"/>
                <w:sz w:val="20"/>
                <w:szCs w:val="20"/>
                <w:lang w:val="sl-SI" w:eastAsia="sl-SI"/>
              </w:rPr>
              <w:t>,</w:t>
            </w:r>
            <w:r w:rsidRPr="004C27E9">
              <w:rPr>
                <w:rFonts w:cs="Calibri"/>
                <w:color w:val="000000"/>
                <w:sz w:val="20"/>
                <w:szCs w:val="20"/>
                <w:lang w:val="sl-SI" w:eastAsia="sl-SI"/>
              </w:rPr>
              <w:t>392</w:t>
            </w:r>
          </w:p>
        </w:tc>
        <w:tc>
          <w:tcPr>
            <w:tcW w:w="1437" w:type="dxa"/>
            <w:vAlign w:val="center"/>
            <w:hideMark/>
          </w:tcPr>
          <w:p w14:paraId="3E9AA5A3"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112</w:t>
            </w:r>
            <w:r>
              <w:rPr>
                <w:rFonts w:cs="Calibri"/>
                <w:color w:val="000000"/>
                <w:sz w:val="20"/>
                <w:szCs w:val="20"/>
                <w:lang w:val="sl-SI" w:eastAsia="sl-SI"/>
              </w:rPr>
              <w:t>,</w:t>
            </w:r>
            <w:r w:rsidRPr="004C27E9">
              <w:rPr>
                <w:rFonts w:cs="Calibri"/>
                <w:color w:val="000000"/>
                <w:sz w:val="20"/>
                <w:szCs w:val="20"/>
                <w:lang w:val="sl-SI" w:eastAsia="sl-SI"/>
              </w:rPr>
              <w:t>409</w:t>
            </w:r>
          </w:p>
        </w:tc>
        <w:tc>
          <w:tcPr>
            <w:tcW w:w="1438" w:type="dxa"/>
            <w:vAlign w:val="center"/>
            <w:hideMark/>
          </w:tcPr>
          <w:p w14:paraId="4DD13F2C"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403</w:t>
            </w:r>
          </w:p>
        </w:tc>
      </w:tr>
      <w:tr w:rsidR="00355738" w:rsidRPr="004C27E9" w14:paraId="1F421C06" w14:textId="77777777" w:rsidTr="00856FF0">
        <w:trPr>
          <w:trHeight w:val="291"/>
        </w:trPr>
        <w:tc>
          <w:tcPr>
            <w:tcW w:w="2018" w:type="dxa"/>
            <w:vAlign w:val="bottom"/>
            <w:hideMark/>
          </w:tcPr>
          <w:p w14:paraId="6A0F317A"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1-1</w:t>
            </w:r>
            <w:r>
              <w:rPr>
                <w:rFonts w:cs="Calibri"/>
                <w:color w:val="000000"/>
                <w:sz w:val="20"/>
                <w:szCs w:val="20"/>
                <w:lang w:val="sl-SI" w:eastAsia="sl-SI"/>
              </w:rPr>
              <w:t>,</w:t>
            </w:r>
            <w:r w:rsidRPr="004C27E9">
              <w:rPr>
                <w:rFonts w:cs="Calibri"/>
                <w:color w:val="000000"/>
                <w:sz w:val="20"/>
                <w:szCs w:val="20"/>
                <w:lang w:val="sl-SI" w:eastAsia="sl-SI"/>
              </w:rPr>
              <w:t>000</w:t>
            </w:r>
          </w:p>
        </w:tc>
        <w:tc>
          <w:tcPr>
            <w:tcW w:w="1372" w:type="dxa"/>
            <w:vAlign w:val="center"/>
            <w:hideMark/>
          </w:tcPr>
          <w:p w14:paraId="63EA0722"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w:t>
            </w:r>
            <w:r>
              <w:rPr>
                <w:rFonts w:cs="Calibri"/>
                <w:color w:val="000000"/>
                <w:sz w:val="20"/>
                <w:szCs w:val="20"/>
                <w:lang w:val="sl-SI" w:eastAsia="sl-SI"/>
              </w:rPr>
              <w:t>,</w:t>
            </w:r>
            <w:r w:rsidRPr="004C27E9">
              <w:rPr>
                <w:rFonts w:cs="Calibri"/>
                <w:color w:val="000000"/>
                <w:sz w:val="20"/>
                <w:szCs w:val="20"/>
                <w:lang w:val="sl-SI" w:eastAsia="sl-SI"/>
              </w:rPr>
              <w:t>835</w:t>
            </w:r>
          </w:p>
        </w:tc>
        <w:tc>
          <w:tcPr>
            <w:tcW w:w="1437" w:type="dxa"/>
            <w:vAlign w:val="center"/>
            <w:hideMark/>
          </w:tcPr>
          <w:p w14:paraId="2420A02F" w14:textId="34C9FEA3"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750</w:t>
            </w:r>
            <w:r>
              <w:rPr>
                <w:rFonts w:cs="Calibri"/>
                <w:color w:val="000000"/>
                <w:sz w:val="20"/>
                <w:szCs w:val="20"/>
                <w:lang w:val="sl-SI" w:eastAsia="sl-SI"/>
              </w:rPr>
              <w:t>,</w:t>
            </w:r>
            <w:r w:rsidRPr="004C27E9">
              <w:rPr>
                <w:rFonts w:cs="Calibri"/>
                <w:color w:val="000000"/>
                <w:sz w:val="20"/>
                <w:szCs w:val="20"/>
                <w:lang w:val="sl-SI" w:eastAsia="sl-SI"/>
              </w:rPr>
              <w:t>919</w:t>
            </w:r>
          </w:p>
        </w:tc>
        <w:tc>
          <w:tcPr>
            <w:tcW w:w="1437" w:type="dxa"/>
            <w:vAlign w:val="center"/>
            <w:hideMark/>
          </w:tcPr>
          <w:p w14:paraId="12ADF615"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265</w:t>
            </w:r>
          </w:p>
        </w:tc>
        <w:tc>
          <w:tcPr>
            <w:tcW w:w="1437" w:type="dxa"/>
            <w:vAlign w:val="center"/>
            <w:hideMark/>
          </w:tcPr>
          <w:p w14:paraId="36C63049"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228</w:t>
            </w:r>
            <w:r>
              <w:rPr>
                <w:rFonts w:cs="Calibri"/>
                <w:color w:val="000000"/>
                <w:sz w:val="20"/>
                <w:szCs w:val="20"/>
                <w:lang w:val="sl-SI" w:eastAsia="sl-SI"/>
              </w:rPr>
              <w:t>,</w:t>
            </w:r>
            <w:r w:rsidRPr="004C27E9">
              <w:rPr>
                <w:rFonts w:cs="Calibri"/>
                <w:color w:val="000000"/>
                <w:sz w:val="20"/>
                <w:szCs w:val="20"/>
                <w:lang w:val="sl-SI" w:eastAsia="sl-SI"/>
              </w:rPr>
              <w:t>723</w:t>
            </w:r>
          </w:p>
        </w:tc>
        <w:tc>
          <w:tcPr>
            <w:tcW w:w="1438" w:type="dxa"/>
            <w:vAlign w:val="center"/>
            <w:hideMark/>
          </w:tcPr>
          <w:p w14:paraId="6C37443F"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81</w:t>
            </w:r>
          </w:p>
        </w:tc>
      </w:tr>
      <w:tr w:rsidR="00355738" w:rsidRPr="004C27E9" w14:paraId="0A12F5C8" w14:textId="77777777" w:rsidTr="00856FF0">
        <w:trPr>
          <w:trHeight w:val="291"/>
        </w:trPr>
        <w:tc>
          <w:tcPr>
            <w:tcW w:w="2018" w:type="dxa"/>
            <w:vAlign w:val="bottom"/>
            <w:hideMark/>
          </w:tcPr>
          <w:p w14:paraId="4639E4D3" w14:textId="77777777" w:rsidR="00355738" w:rsidRPr="004C27E9" w:rsidRDefault="00355738" w:rsidP="00E95C58">
            <w:pPr>
              <w:spacing w:after="0" w:line="240" w:lineRule="auto"/>
              <w:jc w:val="center"/>
              <w:rPr>
                <w:rFonts w:cs="Calibri"/>
                <w:color w:val="000000"/>
                <w:sz w:val="20"/>
                <w:szCs w:val="20"/>
                <w:lang w:val="sl-SI" w:eastAsia="sl-SI"/>
              </w:rPr>
            </w:pPr>
            <w:r w:rsidRPr="004C27E9">
              <w:rPr>
                <w:rFonts w:cs="Calibri"/>
                <w:color w:val="000000"/>
                <w:sz w:val="20"/>
                <w:szCs w:val="20"/>
                <w:lang w:val="sl-SI" w:eastAsia="sl-SI"/>
              </w:rPr>
              <w:t>0</w:t>
            </w:r>
          </w:p>
        </w:tc>
        <w:tc>
          <w:tcPr>
            <w:tcW w:w="1372" w:type="dxa"/>
            <w:vAlign w:val="center"/>
            <w:hideMark/>
          </w:tcPr>
          <w:p w14:paraId="360C59E8"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296</w:t>
            </w:r>
          </w:p>
        </w:tc>
        <w:tc>
          <w:tcPr>
            <w:tcW w:w="1437" w:type="dxa"/>
            <w:vAlign w:val="center"/>
            <w:hideMark/>
          </w:tcPr>
          <w:p w14:paraId="12E1D84D" w14:textId="12DDDF4F"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c>
          <w:tcPr>
            <w:tcW w:w="1437" w:type="dxa"/>
            <w:vAlign w:val="center"/>
            <w:hideMark/>
          </w:tcPr>
          <w:p w14:paraId="7D33AC3B"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c>
          <w:tcPr>
            <w:tcW w:w="1437" w:type="dxa"/>
            <w:vAlign w:val="center"/>
            <w:hideMark/>
          </w:tcPr>
          <w:p w14:paraId="42633E5B"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c>
          <w:tcPr>
            <w:tcW w:w="1438" w:type="dxa"/>
            <w:vAlign w:val="center"/>
            <w:hideMark/>
          </w:tcPr>
          <w:p w14:paraId="745C0AB0" w14:textId="77777777" w:rsidR="00355738" w:rsidRPr="004C27E9" w:rsidRDefault="00355738" w:rsidP="00E95C58">
            <w:pPr>
              <w:spacing w:after="0" w:line="240" w:lineRule="auto"/>
              <w:ind w:firstLineChars="100" w:firstLine="200"/>
              <w:jc w:val="right"/>
              <w:rPr>
                <w:rFonts w:cs="Calibri"/>
                <w:color w:val="000000"/>
                <w:sz w:val="20"/>
                <w:szCs w:val="20"/>
                <w:lang w:val="sl-SI" w:eastAsia="sl-SI"/>
              </w:rPr>
            </w:pPr>
            <w:r w:rsidRPr="004C27E9">
              <w:rPr>
                <w:rFonts w:cs="Calibri"/>
                <w:color w:val="000000"/>
                <w:sz w:val="20"/>
                <w:szCs w:val="20"/>
                <w:lang w:val="sl-SI" w:eastAsia="sl-SI"/>
              </w:rPr>
              <w:t> </w:t>
            </w:r>
          </w:p>
        </w:tc>
      </w:tr>
      <w:tr w:rsidR="00355738" w:rsidRPr="004C27E9" w14:paraId="15745062" w14:textId="77777777" w:rsidTr="00856FF0">
        <w:trPr>
          <w:trHeight w:val="291"/>
        </w:trPr>
        <w:tc>
          <w:tcPr>
            <w:tcW w:w="2018" w:type="dxa"/>
            <w:tcBorders>
              <w:bottom w:val="single" w:sz="12" w:space="0" w:color="auto"/>
            </w:tcBorders>
            <w:vAlign w:val="bottom"/>
            <w:hideMark/>
          </w:tcPr>
          <w:p w14:paraId="146BA63E" w14:textId="1289E8DC" w:rsidR="00355738" w:rsidRPr="004C27E9" w:rsidRDefault="00355738" w:rsidP="00E95C58">
            <w:pPr>
              <w:spacing w:after="0" w:line="240" w:lineRule="auto"/>
              <w:jc w:val="center"/>
              <w:rPr>
                <w:rFonts w:cs="Calibri"/>
                <w:b/>
                <w:bCs/>
                <w:color w:val="000000"/>
                <w:sz w:val="20"/>
                <w:szCs w:val="20"/>
                <w:lang w:val="sl-SI" w:eastAsia="sl-SI"/>
              </w:rPr>
            </w:pPr>
            <w:r>
              <w:rPr>
                <w:rFonts w:cs="Calibri"/>
                <w:b/>
                <w:bCs/>
                <w:color w:val="000000"/>
                <w:sz w:val="20"/>
                <w:szCs w:val="20"/>
                <w:lang w:val="sl-SI" w:eastAsia="sl-SI"/>
              </w:rPr>
              <w:t>Totals</w:t>
            </w:r>
            <w:r w:rsidRPr="004C27E9">
              <w:rPr>
                <w:rFonts w:cs="Calibri"/>
                <w:b/>
                <w:bCs/>
                <w:color w:val="000000"/>
                <w:sz w:val="20"/>
                <w:szCs w:val="20"/>
                <w:lang w:val="sl-SI" w:eastAsia="sl-SI"/>
              </w:rPr>
              <w:t> </w:t>
            </w:r>
          </w:p>
        </w:tc>
        <w:tc>
          <w:tcPr>
            <w:tcW w:w="1372" w:type="dxa"/>
            <w:tcBorders>
              <w:bottom w:val="single" w:sz="12" w:space="0" w:color="auto"/>
            </w:tcBorders>
            <w:vAlign w:val="center"/>
            <w:hideMark/>
          </w:tcPr>
          <w:p w14:paraId="00D54EED" w14:textId="77777777" w:rsidR="00355738" w:rsidRPr="004C27E9" w:rsidRDefault="00355738" w:rsidP="00E95C58">
            <w:pPr>
              <w:spacing w:after="0" w:line="240" w:lineRule="auto"/>
              <w:ind w:firstLineChars="100" w:firstLine="201"/>
              <w:jc w:val="right"/>
              <w:rPr>
                <w:rFonts w:cs="Calibri"/>
                <w:b/>
                <w:bCs/>
                <w:color w:val="000000"/>
                <w:sz w:val="20"/>
                <w:szCs w:val="20"/>
                <w:lang w:val="sl-SI" w:eastAsia="sl-SI"/>
              </w:rPr>
            </w:pPr>
            <w:r w:rsidRPr="004C27E9">
              <w:rPr>
                <w:rFonts w:cs="Calibri"/>
                <w:b/>
                <w:bCs/>
                <w:color w:val="000000"/>
                <w:sz w:val="20"/>
                <w:szCs w:val="20"/>
                <w:lang w:val="sl-SI" w:eastAsia="sl-SI"/>
              </w:rPr>
              <w:t>3</w:t>
            </w:r>
            <w:r>
              <w:rPr>
                <w:rFonts w:cs="Calibri"/>
                <w:b/>
                <w:bCs/>
                <w:color w:val="000000"/>
                <w:sz w:val="20"/>
                <w:szCs w:val="20"/>
                <w:lang w:val="sl-SI" w:eastAsia="sl-SI"/>
              </w:rPr>
              <w:t>,</w:t>
            </w:r>
            <w:r w:rsidRPr="004C27E9">
              <w:rPr>
                <w:rFonts w:cs="Calibri"/>
                <w:b/>
                <w:bCs/>
                <w:color w:val="000000"/>
                <w:sz w:val="20"/>
                <w:szCs w:val="20"/>
                <w:lang w:val="sl-SI" w:eastAsia="sl-SI"/>
              </w:rPr>
              <w:t>605</w:t>
            </w:r>
          </w:p>
        </w:tc>
        <w:tc>
          <w:tcPr>
            <w:tcW w:w="1437" w:type="dxa"/>
            <w:tcBorders>
              <w:bottom w:val="single" w:sz="12" w:space="0" w:color="auto"/>
            </w:tcBorders>
            <w:vAlign w:val="center"/>
            <w:hideMark/>
          </w:tcPr>
          <w:p w14:paraId="124188A2" w14:textId="159031B0" w:rsidR="00355738" w:rsidRPr="004C27E9" w:rsidRDefault="00355738" w:rsidP="00E95C58">
            <w:pPr>
              <w:spacing w:after="0" w:line="240" w:lineRule="auto"/>
              <w:ind w:firstLineChars="100" w:firstLine="201"/>
              <w:jc w:val="right"/>
              <w:rPr>
                <w:rFonts w:cs="Calibri"/>
                <w:b/>
                <w:bCs/>
                <w:color w:val="000000"/>
                <w:sz w:val="20"/>
                <w:szCs w:val="20"/>
                <w:lang w:val="sl-SI" w:eastAsia="sl-SI"/>
              </w:rPr>
            </w:pPr>
            <w:r w:rsidRPr="004C27E9">
              <w:rPr>
                <w:rFonts w:cs="Calibri"/>
                <w:b/>
                <w:bCs/>
                <w:color w:val="000000"/>
                <w:sz w:val="20"/>
                <w:szCs w:val="20"/>
                <w:lang w:val="sl-SI" w:eastAsia="sl-SI"/>
              </w:rPr>
              <w:t>3</w:t>
            </w:r>
            <w:r>
              <w:rPr>
                <w:rFonts w:cs="Calibri"/>
                <w:b/>
                <w:bCs/>
                <w:color w:val="000000"/>
                <w:sz w:val="20"/>
                <w:szCs w:val="20"/>
                <w:lang w:val="sl-SI" w:eastAsia="sl-SI"/>
              </w:rPr>
              <w:t>,</w:t>
            </w:r>
            <w:r w:rsidRPr="004C27E9">
              <w:rPr>
                <w:rFonts w:cs="Calibri"/>
                <w:b/>
                <w:bCs/>
                <w:color w:val="000000"/>
                <w:sz w:val="20"/>
                <w:szCs w:val="20"/>
                <w:lang w:val="sl-SI" w:eastAsia="sl-SI"/>
              </w:rPr>
              <w:t>679</w:t>
            </w:r>
            <w:r>
              <w:rPr>
                <w:rFonts w:cs="Calibri"/>
                <w:b/>
                <w:bCs/>
                <w:color w:val="000000"/>
                <w:sz w:val="20"/>
                <w:szCs w:val="20"/>
                <w:lang w:val="sl-SI" w:eastAsia="sl-SI"/>
              </w:rPr>
              <w:t>,</w:t>
            </w:r>
            <w:r w:rsidRPr="004C27E9">
              <w:rPr>
                <w:rFonts w:cs="Calibri"/>
                <w:b/>
                <w:bCs/>
                <w:color w:val="000000"/>
                <w:sz w:val="20"/>
                <w:szCs w:val="20"/>
                <w:lang w:val="sl-SI" w:eastAsia="sl-SI"/>
              </w:rPr>
              <w:t>745</w:t>
            </w:r>
          </w:p>
        </w:tc>
        <w:tc>
          <w:tcPr>
            <w:tcW w:w="1437" w:type="dxa"/>
            <w:tcBorders>
              <w:bottom w:val="single" w:sz="12" w:space="0" w:color="auto"/>
            </w:tcBorders>
            <w:vAlign w:val="center"/>
            <w:hideMark/>
          </w:tcPr>
          <w:p w14:paraId="77235A9C" w14:textId="77777777" w:rsidR="00355738" w:rsidRPr="004C27E9" w:rsidRDefault="00355738" w:rsidP="00E95C58">
            <w:pPr>
              <w:spacing w:after="0" w:line="240" w:lineRule="auto"/>
              <w:ind w:firstLineChars="100" w:firstLine="201"/>
              <w:jc w:val="right"/>
              <w:rPr>
                <w:rFonts w:cs="Calibri"/>
                <w:b/>
                <w:bCs/>
                <w:color w:val="000000"/>
                <w:sz w:val="20"/>
                <w:szCs w:val="20"/>
                <w:lang w:val="sl-SI" w:eastAsia="sl-SI"/>
              </w:rPr>
            </w:pPr>
            <w:r w:rsidRPr="004C27E9">
              <w:rPr>
                <w:rFonts w:cs="Calibri"/>
                <w:b/>
                <w:bCs/>
                <w:color w:val="000000"/>
                <w:sz w:val="20"/>
                <w:szCs w:val="20"/>
                <w:lang w:val="sl-SI" w:eastAsia="sl-SI"/>
              </w:rPr>
              <w:t>1</w:t>
            </w:r>
            <w:r>
              <w:rPr>
                <w:rFonts w:cs="Calibri"/>
                <w:b/>
                <w:bCs/>
                <w:color w:val="000000"/>
                <w:sz w:val="20"/>
                <w:szCs w:val="20"/>
                <w:lang w:val="sl-SI" w:eastAsia="sl-SI"/>
              </w:rPr>
              <w:t>,</w:t>
            </w:r>
            <w:r w:rsidRPr="004C27E9">
              <w:rPr>
                <w:rFonts w:cs="Calibri"/>
                <w:b/>
                <w:bCs/>
                <w:color w:val="000000"/>
                <w:sz w:val="20"/>
                <w:szCs w:val="20"/>
                <w:lang w:val="sl-SI" w:eastAsia="sl-SI"/>
              </w:rPr>
              <w:t>021</w:t>
            </w:r>
          </w:p>
        </w:tc>
        <w:tc>
          <w:tcPr>
            <w:tcW w:w="1437" w:type="dxa"/>
            <w:tcBorders>
              <w:bottom w:val="single" w:sz="12" w:space="0" w:color="auto"/>
            </w:tcBorders>
            <w:vAlign w:val="center"/>
            <w:hideMark/>
          </w:tcPr>
          <w:p w14:paraId="2257FB03" w14:textId="77777777" w:rsidR="00355738" w:rsidRPr="004C27E9" w:rsidRDefault="00355738" w:rsidP="00E95C58">
            <w:pPr>
              <w:spacing w:after="0" w:line="240" w:lineRule="auto"/>
              <w:ind w:firstLineChars="100" w:firstLine="201"/>
              <w:jc w:val="right"/>
              <w:rPr>
                <w:rFonts w:cs="Calibri"/>
                <w:b/>
                <w:bCs/>
                <w:color w:val="000000"/>
                <w:sz w:val="20"/>
                <w:szCs w:val="20"/>
                <w:lang w:val="sl-SI" w:eastAsia="sl-SI"/>
              </w:rPr>
            </w:pPr>
            <w:r w:rsidRPr="004C27E9">
              <w:rPr>
                <w:rFonts w:cs="Calibri"/>
                <w:b/>
                <w:bCs/>
                <w:color w:val="000000"/>
                <w:sz w:val="20"/>
                <w:szCs w:val="20"/>
                <w:lang w:val="sl-SI" w:eastAsia="sl-SI"/>
              </w:rPr>
              <w:t>1</w:t>
            </w:r>
            <w:r>
              <w:rPr>
                <w:rFonts w:cs="Calibri"/>
                <w:b/>
                <w:bCs/>
                <w:color w:val="000000"/>
                <w:sz w:val="20"/>
                <w:szCs w:val="20"/>
                <w:lang w:val="sl-SI" w:eastAsia="sl-SI"/>
              </w:rPr>
              <w:t>,</w:t>
            </w:r>
            <w:r w:rsidRPr="004C27E9">
              <w:rPr>
                <w:rFonts w:cs="Calibri"/>
                <w:b/>
                <w:bCs/>
                <w:color w:val="000000"/>
                <w:sz w:val="20"/>
                <w:szCs w:val="20"/>
                <w:lang w:val="sl-SI" w:eastAsia="sl-SI"/>
              </w:rPr>
              <w:t>251</w:t>
            </w:r>
            <w:r>
              <w:rPr>
                <w:rFonts w:cs="Calibri"/>
                <w:b/>
                <w:bCs/>
                <w:color w:val="000000"/>
                <w:sz w:val="20"/>
                <w:szCs w:val="20"/>
                <w:lang w:val="sl-SI" w:eastAsia="sl-SI"/>
              </w:rPr>
              <w:t>,</w:t>
            </w:r>
            <w:r w:rsidRPr="004C27E9">
              <w:rPr>
                <w:rFonts w:cs="Calibri"/>
                <w:b/>
                <w:bCs/>
                <w:color w:val="000000"/>
                <w:sz w:val="20"/>
                <w:szCs w:val="20"/>
                <w:lang w:val="sl-SI" w:eastAsia="sl-SI"/>
              </w:rPr>
              <w:t>975</w:t>
            </w:r>
          </w:p>
        </w:tc>
        <w:tc>
          <w:tcPr>
            <w:tcW w:w="1438" w:type="dxa"/>
            <w:tcBorders>
              <w:bottom w:val="single" w:sz="12" w:space="0" w:color="auto"/>
            </w:tcBorders>
            <w:vAlign w:val="center"/>
            <w:hideMark/>
          </w:tcPr>
          <w:p w14:paraId="2445665A" w14:textId="77777777" w:rsidR="00355738" w:rsidRPr="004C27E9" w:rsidRDefault="00355738" w:rsidP="00E95C58">
            <w:pPr>
              <w:spacing w:after="0" w:line="240" w:lineRule="auto"/>
              <w:ind w:firstLineChars="100" w:firstLine="201"/>
              <w:jc w:val="right"/>
              <w:rPr>
                <w:rFonts w:cs="Calibri"/>
                <w:b/>
                <w:bCs/>
                <w:color w:val="000000"/>
                <w:sz w:val="20"/>
                <w:szCs w:val="20"/>
                <w:lang w:val="sl-SI" w:eastAsia="sl-SI"/>
              </w:rPr>
            </w:pPr>
            <w:r w:rsidRPr="004C27E9">
              <w:rPr>
                <w:rFonts w:cs="Calibri"/>
                <w:b/>
                <w:bCs/>
                <w:color w:val="000000"/>
                <w:sz w:val="20"/>
                <w:szCs w:val="20"/>
                <w:lang w:val="sl-SI" w:eastAsia="sl-SI"/>
              </w:rPr>
              <w:t>347</w:t>
            </w:r>
          </w:p>
        </w:tc>
      </w:tr>
    </w:tbl>
    <w:p w14:paraId="2A3C703B" w14:textId="77777777" w:rsidR="00355738" w:rsidRDefault="00355738" w:rsidP="00CB4094">
      <w:pPr>
        <w:spacing w:after="160" w:line="259" w:lineRule="auto"/>
      </w:pPr>
    </w:p>
  </w:footnote>
  <w:footnote w:id="44">
    <w:p w14:paraId="6BAA5CD9" w14:textId="2CD31CE8" w:rsidR="00355738" w:rsidRDefault="00355738" w:rsidP="00CB4094">
      <w:pPr>
        <w:pStyle w:val="FootnoteText"/>
        <w:jc w:val="both"/>
      </w:pPr>
      <w:r>
        <w:rPr>
          <w:rStyle w:val="FootnoteReference"/>
        </w:rPr>
        <w:footnoteRef/>
      </w:r>
      <w:r>
        <w:t xml:space="preserve"> The total number of broadband and fibre subscribers recorded in the ComCom database are slightly different from the figures derived from the data collected at settlement level by the ComCom questionnaire sent to operators. This is because the smaller operators with less than a total of 100 subscribers were not obliged to respond to the questionnaire and many small operators with above 100 subscribers did not respond.</w:t>
      </w:r>
    </w:p>
  </w:footnote>
  <w:footnote w:id="45">
    <w:p w14:paraId="01B8F3BC" w14:textId="55D0C00A" w:rsidR="00355738" w:rsidRDefault="00355738" w:rsidP="00CB4094">
      <w:pPr>
        <w:pStyle w:val="FootnoteText"/>
      </w:pPr>
      <w:r>
        <w:rPr>
          <w:rStyle w:val="FootnoteReference"/>
        </w:rPr>
        <w:footnoteRef/>
      </w:r>
      <w:r>
        <w:t xml:space="preserve"> Only 4,984 fixed LTE subscribers are reported in Georgia In December 2022.</w:t>
      </w:r>
    </w:p>
  </w:footnote>
  <w:footnote w:id="46">
    <w:p w14:paraId="6235F6D9" w14:textId="77777777" w:rsidR="00355738" w:rsidRDefault="00355738" w:rsidP="000E5E4F">
      <w:pPr>
        <w:pStyle w:val="FootnoteText"/>
      </w:pPr>
      <w:r>
        <w:rPr>
          <w:rStyle w:val="FootnoteReference"/>
        </w:rPr>
        <w:footnoteRef/>
      </w:r>
      <w:r w:rsidRPr="0085320E">
        <w:rPr>
          <w:lang w:val="sl-SI"/>
        </w:rPr>
        <w:t xml:space="preserve"> </w:t>
      </w:r>
      <w:hyperlink r:id="rId19" w:history="1">
        <w:r w:rsidRPr="0085320E">
          <w:rPr>
            <w:rStyle w:val="Hyperlink"/>
            <w:lang w:val="sl-SI"/>
          </w:rPr>
          <w:t>https://www.itu.int/en/ITU-T/committees/scv/Documents/T17-SCV-LS-0015.pdf</w:t>
        </w:r>
      </w:hyperlink>
      <w:r w:rsidRPr="0085320E">
        <w:rPr>
          <w:lang w:val="sl-SI"/>
        </w:rPr>
        <w:t xml:space="preserve"> </w:t>
      </w:r>
    </w:p>
  </w:footnote>
  <w:footnote w:id="47">
    <w:p w14:paraId="4B4BD7A5" w14:textId="77777777" w:rsidR="00355738" w:rsidRDefault="00355738" w:rsidP="000E5E4F">
      <w:pPr>
        <w:pStyle w:val="FootnoteText"/>
      </w:pPr>
      <w:r>
        <w:rPr>
          <w:rStyle w:val="FootnoteReference"/>
        </w:rPr>
        <w:footnoteRef/>
      </w:r>
      <w:r w:rsidRPr="00657DCE">
        <w:rPr>
          <w:lang w:val="sl-SI"/>
        </w:rPr>
        <w:t xml:space="preserve"> </w:t>
      </w:r>
      <w:hyperlink r:id="rId20" w:history="1">
        <w:r w:rsidRPr="00A74933">
          <w:rPr>
            <w:rStyle w:val="Hyperlink"/>
            <w:lang w:val="sl-SI"/>
          </w:rPr>
          <w:t>https://www.techtarget.com/searchnetworking/definition/SDH</w:t>
        </w:r>
      </w:hyperlink>
      <w:r>
        <w:rPr>
          <w:lang w:val="sl-SI"/>
        </w:rPr>
        <w:t xml:space="preserve"> </w:t>
      </w:r>
    </w:p>
  </w:footnote>
  <w:footnote w:id="48">
    <w:p w14:paraId="379CB59A" w14:textId="77777777" w:rsidR="00355738" w:rsidRDefault="00355738" w:rsidP="000E5E4F">
      <w:pPr>
        <w:pStyle w:val="FootnoteText"/>
      </w:pPr>
      <w:r>
        <w:rPr>
          <w:rStyle w:val="FootnoteReference"/>
        </w:rPr>
        <w:footnoteRef/>
      </w:r>
      <w:r w:rsidRPr="00657DCE">
        <w:rPr>
          <w:lang w:val="sl-SI"/>
        </w:rPr>
        <w:t xml:space="preserve"> </w:t>
      </w:r>
      <w:hyperlink r:id="rId21" w:history="1">
        <w:r w:rsidRPr="00A74933">
          <w:rPr>
            <w:rStyle w:val="Hyperlink"/>
            <w:lang w:val="sl-SI"/>
          </w:rPr>
          <w:t>https://www.rfwireless-world.com/Terminology/PDH-vs-SDH.html</w:t>
        </w:r>
      </w:hyperlink>
      <w:r>
        <w:rPr>
          <w:lang w:val="sl-SI"/>
        </w:rPr>
        <w:t xml:space="preserve"> </w:t>
      </w:r>
    </w:p>
  </w:footnote>
  <w:footnote w:id="49">
    <w:p w14:paraId="11EF9490" w14:textId="77777777" w:rsidR="00355738" w:rsidRDefault="00355738" w:rsidP="000E5E4F">
      <w:pPr>
        <w:pStyle w:val="FootnoteText"/>
      </w:pPr>
      <w:r>
        <w:rPr>
          <w:rStyle w:val="FootnoteReference"/>
        </w:rPr>
        <w:footnoteRef/>
      </w:r>
      <w:r w:rsidRPr="00657DCE">
        <w:rPr>
          <w:lang w:val="sl-SI"/>
        </w:rPr>
        <w:t xml:space="preserve"> </w:t>
      </w:r>
      <w:hyperlink r:id="rId22" w:history="1">
        <w:r w:rsidRPr="00A74933">
          <w:rPr>
            <w:rStyle w:val="Hyperlink"/>
            <w:lang w:val="sl-SI"/>
          </w:rPr>
          <w:t>https://www.versitron.com/blog/everything-you-should-know-about-ethernet-networks-and-media-converters</w:t>
        </w:r>
      </w:hyperlink>
      <w:r>
        <w:rPr>
          <w:lang w:val="sl-SI"/>
        </w:rPr>
        <w:t xml:space="preserve"> </w:t>
      </w:r>
    </w:p>
  </w:footnote>
  <w:footnote w:id="50">
    <w:p w14:paraId="2F2313F5" w14:textId="77777777" w:rsidR="00355738" w:rsidRDefault="00355738" w:rsidP="000E5E4F">
      <w:pPr>
        <w:pStyle w:val="FootnoteText"/>
      </w:pPr>
      <w:r>
        <w:rPr>
          <w:rStyle w:val="FootnoteReference"/>
        </w:rPr>
        <w:footnoteRef/>
      </w:r>
      <w:r w:rsidRPr="00657DCE">
        <w:rPr>
          <w:lang w:val="sl-SI"/>
        </w:rPr>
        <w:t xml:space="preserve"> </w:t>
      </w:r>
      <w:hyperlink r:id="rId23" w:history="1">
        <w:r w:rsidRPr="00A74933">
          <w:rPr>
            <w:rStyle w:val="Hyperlink"/>
            <w:lang w:val="sl-SI"/>
          </w:rPr>
          <w:t>https://www.techopedia.com/definition/3451/wavelength-division-multiplexing-wdm</w:t>
        </w:r>
      </w:hyperlink>
      <w:r>
        <w:rPr>
          <w:lang w:val="sl-SI"/>
        </w:rPr>
        <w:t xml:space="preserve"> </w:t>
      </w:r>
    </w:p>
  </w:footnote>
  <w:footnote w:id="51">
    <w:p w14:paraId="6FC167F5" w14:textId="77777777" w:rsidR="00355738" w:rsidRDefault="00355738" w:rsidP="000E5E4F">
      <w:pPr>
        <w:pStyle w:val="FootnoteText"/>
      </w:pPr>
      <w:r>
        <w:rPr>
          <w:rStyle w:val="FootnoteReference"/>
        </w:rPr>
        <w:footnoteRef/>
      </w:r>
      <w:r w:rsidRPr="00657DCE">
        <w:rPr>
          <w:lang w:val="sl-SI"/>
        </w:rPr>
        <w:t xml:space="preserve"> </w:t>
      </w:r>
      <w:hyperlink r:id="rId24" w:history="1">
        <w:r w:rsidRPr="00A74933">
          <w:rPr>
            <w:rStyle w:val="Hyperlink"/>
            <w:lang w:val="sl-SI"/>
          </w:rPr>
          <w:t>https://everstream.net/knowledge-base/dark-fiber-vs-lit-fiber-which-is-better-for-your-business/</w:t>
        </w:r>
      </w:hyperlink>
      <w:r>
        <w:rPr>
          <w:lang w:val="sl-SI"/>
        </w:rPr>
        <w:t xml:space="preserve"> </w:t>
      </w:r>
    </w:p>
  </w:footnote>
  <w:footnote w:id="52">
    <w:p w14:paraId="69BE068E" w14:textId="77777777" w:rsidR="00355738" w:rsidRDefault="00355738" w:rsidP="000E5E4F">
      <w:pPr>
        <w:pStyle w:val="FootnoteText"/>
      </w:pPr>
      <w:r>
        <w:rPr>
          <w:rStyle w:val="FootnoteReference"/>
        </w:rPr>
        <w:footnoteRef/>
      </w:r>
      <w:r>
        <w:t xml:space="preserve"> ANCOM Decision 2020/05/01/RO of 11 June 2020.</w:t>
      </w:r>
    </w:p>
  </w:footnote>
  <w:footnote w:id="53">
    <w:p w14:paraId="3A0E6CCC" w14:textId="73A67B5B" w:rsidR="00355738" w:rsidRDefault="00355738" w:rsidP="00E82B0B">
      <w:pPr>
        <w:pStyle w:val="FootnoteText"/>
        <w:jc w:val="both"/>
      </w:pPr>
      <w:r>
        <w:rPr>
          <w:rStyle w:val="FootnoteReference"/>
        </w:rPr>
        <w:footnoteRef/>
      </w:r>
      <w:r>
        <w:t xml:space="preserve"> “WIK: According to the Eurobarometer survey, almost 60% of respondents said they bought at least two communications services as a bundle. While there are differences between Member States, it is interesting to note that only two countries in the survey had a bundle penetration rate of less than 50% of households.” Explanatory Note to the Commission Recommendation on relevant markets </w:t>
      </w:r>
      <w:hyperlink r:id="rId25" w:history="1">
        <w:r w:rsidRPr="008810C1">
          <w:rPr>
            <w:rStyle w:val="Hyperlink"/>
            <w:sz w:val="20"/>
          </w:rPr>
          <w:t>2020</w:t>
        </w:r>
      </w:hyperlink>
      <w:r>
        <w:t xml:space="preserve"> (</w:t>
      </w:r>
      <w:hyperlink r:id="rId26" w:history="1">
        <w:r w:rsidRPr="00A248F3">
          <w:rPr>
            <w:rStyle w:val="Hyperlink"/>
          </w:rPr>
          <w:t>https://digital-strategy.ec.europa.eu/en/news/recommendation-relevant-markets</w:t>
        </w:r>
      </w:hyperlink>
      <w:r>
        <w:t xml:space="preserve"> )</w:t>
      </w:r>
    </w:p>
  </w:footnote>
  <w:footnote w:id="54">
    <w:p w14:paraId="5670A793" w14:textId="77777777" w:rsidR="00355738" w:rsidRDefault="00355738" w:rsidP="000E5E4F">
      <w:pPr>
        <w:pStyle w:val="FootnoteText"/>
      </w:pPr>
      <w:r>
        <w:rPr>
          <w:rStyle w:val="FootnoteReference"/>
        </w:rPr>
        <w:footnoteRef/>
      </w:r>
      <w:r w:rsidRPr="00F55D93">
        <w:rPr>
          <w:lang w:val="hr-HR"/>
        </w:rPr>
        <w:t xml:space="preserve"> </w:t>
      </w:r>
      <w:hyperlink r:id="rId27" w:history="1">
        <w:r w:rsidRPr="00F55D93">
          <w:rPr>
            <w:rStyle w:val="Hyperlink"/>
            <w:lang w:val="hr-HR"/>
          </w:rPr>
          <w:t>https://www.carritech.com/news/ott-telecom-providers/</w:t>
        </w:r>
      </w:hyperlink>
    </w:p>
  </w:footnote>
  <w:footnote w:id="55">
    <w:p w14:paraId="3AD98799" w14:textId="77777777" w:rsidR="00355738" w:rsidRDefault="00355738" w:rsidP="000E5E4F">
      <w:pPr>
        <w:pStyle w:val="FootnoteText"/>
      </w:pPr>
      <w:r>
        <w:rPr>
          <w:rStyle w:val="FootnoteReference"/>
        </w:rPr>
        <w:footnoteRef/>
      </w:r>
      <w:r w:rsidRPr="00572C5B">
        <w:rPr>
          <w:lang w:val="hr-HR"/>
        </w:rPr>
        <w:t xml:space="preserve"> </w:t>
      </w:r>
      <w:hyperlink r:id="rId28" w:history="1">
        <w:r w:rsidRPr="00572C5B">
          <w:rPr>
            <w:rStyle w:val="Hyperlink"/>
            <w:lang w:val="hr-HR"/>
          </w:rPr>
          <w:t>https://digital-strategy.ec.europa.eu/en/news/recommendation-relevant-markets</w:t>
        </w:r>
      </w:hyperlink>
      <w:r w:rsidRPr="00572C5B">
        <w:rPr>
          <w:lang w:val="hr-HR"/>
        </w:rPr>
        <w:t xml:space="preserve"> </w:t>
      </w:r>
    </w:p>
  </w:footnote>
  <w:footnote w:id="56">
    <w:p w14:paraId="4633C037" w14:textId="77777777" w:rsidR="00355738" w:rsidRDefault="00355738" w:rsidP="000E5E4F">
      <w:pPr>
        <w:pStyle w:val="FootnoteText"/>
      </w:pPr>
      <w:r>
        <w:rPr>
          <w:rStyle w:val="FootnoteReference"/>
        </w:rPr>
        <w:footnoteRef/>
      </w:r>
      <w:r w:rsidRPr="00572C5B">
        <w:rPr>
          <w:lang w:val="hr-HR"/>
        </w:rPr>
        <w:t xml:space="preserve"> </w:t>
      </w:r>
      <w:hyperlink r:id="rId29" w:history="1">
        <w:r w:rsidRPr="00572C5B">
          <w:rPr>
            <w:rStyle w:val="Hyperlink"/>
            <w:lang w:val="hr-HR"/>
          </w:rPr>
          <w:t>https://www.pts.se/globalassets/startpage/dokument/legala-dokument/eu-regler/explanatorynote-201410091.pdf</w:t>
        </w:r>
      </w:hyperlink>
      <w:r>
        <w:rPr>
          <w:lang w:val="hr-HR"/>
        </w:rPr>
        <w:t xml:space="preserve"> </w:t>
      </w:r>
    </w:p>
  </w:footnote>
  <w:footnote w:id="57">
    <w:p w14:paraId="4A61CA55" w14:textId="77777777" w:rsidR="00355738" w:rsidRDefault="00355738" w:rsidP="000E5E4F">
      <w:pPr>
        <w:pStyle w:val="FootnoteText"/>
      </w:pPr>
      <w:r>
        <w:rPr>
          <w:rStyle w:val="FootnoteReference"/>
        </w:rPr>
        <w:footnoteRef/>
      </w:r>
      <w:r>
        <w:t xml:space="preserve"> </w:t>
      </w:r>
      <w:hyperlink r:id="rId30" w:anchor="ecl-inpage-kw0gi8an" w:history="1">
        <w:r w:rsidRPr="00977ED0">
          <w:rPr>
            <w:rStyle w:val="Hyperlink"/>
          </w:rPr>
          <w:t>https://digital-strategy.ec.europa.eu/en/policies/desi-connectivity#ecl-inpage-kw0gi8an</w:t>
        </w:r>
      </w:hyperlink>
      <w:r>
        <w:t xml:space="preserve"> (Digital Economy and Society Index </w:t>
      </w:r>
      <w:bookmarkStart w:id="100" w:name="_Hlk124340530"/>
      <w:r>
        <w:t>(DESI) 2022 – Digital infrastructures</w:t>
      </w:r>
      <w:bookmarkEnd w:id="100"/>
      <w:r>
        <w:t>)</w:t>
      </w:r>
    </w:p>
    <w:p w14:paraId="12B41F37" w14:textId="4DCE25FB" w:rsidR="00355738" w:rsidRDefault="004B7613" w:rsidP="000E5E4F">
      <w:pPr>
        <w:pStyle w:val="FootnoteText"/>
      </w:pPr>
      <w:hyperlink r:id="rId31" w:history="1">
        <w:r w:rsidR="00355738" w:rsidRPr="008C3BA6">
          <w:rPr>
            <w:rStyle w:val="Hyperlink"/>
          </w:rPr>
          <w:t>https://digital-decade-desi.digital-strategy.ec.europa.eu/datasets/desi/charts</w:t>
        </w:r>
      </w:hyperlink>
      <w:r w:rsidR="00355738">
        <w:rPr>
          <w:rStyle w:val="Hyperlink"/>
        </w:rPr>
        <w:t xml:space="preserve"> </w:t>
      </w:r>
    </w:p>
  </w:footnote>
  <w:footnote w:id="58">
    <w:p w14:paraId="249BFC3E" w14:textId="0F6A537A" w:rsidR="00355738" w:rsidRDefault="00355738" w:rsidP="000E5E4F">
      <w:pPr>
        <w:pStyle w:val="FootnoteText"/>
      </w:pPr>
      <w:r>
        <w:rPr>
          <w:rStyle w:val="FootnoteReference"/>
        </w:rPr>
        <w:footnoteRef/>
      </w:r>
      <w:r>
        <w:t xml:space="preserve"> D</w:t>
      </w:r>
      <w:r w:rsidRPr="001B205A">
        <w:t xml:space="preserve">ue to some historical reasons, </w:t>
      </w:r>
      <w:r>
        <w:t>sometimes referred to as</w:t>
      </w:r>
      <w:r w:rsidRPr="001B205A">
        <w:t xml:space="preserve"> Wi</w:t>
      </w:r>
      <w:r>
        <w:t>-</w:t>
      </w:r>
      <w:r w:rsidRPr="001B205A">
        <w:t>Fi in Georgia</w:t>
      </w:r>
    </w:p>
  </w:footnote>
  <w:footnote w:id="59">
    <w:p w14:paraId="0F289671" w14:textId="77777777" w:rsidR="00355738" w:rsidRDefault="00355738" w:rsidP="000E5E4F">
      <w:pPr>
        <w:pStyle w:val="FootnoteText"/>
      </w:pPr>
      <w:r>
        <w:rPr>
          <w:rStyle w:val="FootnoteReference"/>
        </w:rPr>
        <w:footnoteRef/>
      </w:r>
      <w:r w:rsidRPr="009F5994">
        <w:rPr>
          <w:lang w:val="hr-HR"/>
        </w:rPr>
        <w:t xml:space="preserve"> </w:t>
      </w:r>
      <w:hyperlink r:id="rId32" w:anchor=":~:text=Fixed%20Long%2DTerm%20Evolution%20(LTE,together%20with%20core%20network%20improvements" w:history="1">
        <w:r w:rsidRPr="00A74933">
          <w:rPr>
            <w:rStyle w:val="Hyperlink"/>
            <w:lang w:val="hr-HR"/>
          </w:rPr>
          <w:t>https://bundunetworx.co.za/the-difference-between-adsl-fixed-lte-and-fibre/#:~:text=Fixed%20Long%2DTerm%20Evolution%20(LTE,together%20with%20core%20network%20improvements</w:t>
        </w:r>
      </w:hyperlink>
      <w:r w:rsidRPr="009F5994">
        <w:rPr>
          <w:lang w:val="hr-HR"/>
        </w:rPr>
        <w:t>.</w:t>
      </w:r>
      <w:r>
        <w:rPr>
          <w:lang w:val="hr-HR"/>
        </w:rPr>
        <w:t xml:space="preserve"> </w:t>
      </w:r>
    </w:p>
  </w:footnote>
  <w:footnote w:id="60">
    <w:p w14:paraId="23201E35" w14:textId="77777777" w:rsidR="00355738" w:rsidRDefault="00355738" w:rsidP="000E5E4F">
      <w:pPr>
        <w:pStyle w:val="FootnoteText"/>
      </w:pPr>
      <w:r>
        <w:rPr>
          <w:rStyle w:val="FootnoteReference"/>
        </w:rPr>
        <w:footnoteRef/>
      </w:r>
      <w:r w:rsidRPr="00F55D93">
        <w:rPr>
          <w:lang w:val="hr-HR"/>
        </w:rPr>
        <w:t xml:space="preserve"> </w:t>
      </w:r>
      <w:hyperlink r:id="rId33" w:history="1">
        <w:r w:rsidRPr="00F55D93">
          <w:rPr>
            <w:rStyle w:val="Hyperlink"/>
            <w:lang w:val="hr-HR"/>
          </w:rPr>
          <w:t>https://www.ppc-online.com/docsis-3.1-guide</w:t>
        </w:r>
      </w:hyperlink>
    </w:p>
  </w:footnote>
  <w:footnote w:id="61">
    <w:p w14:paraId="4C72BEFB" w14:textId="48399832" w:rsidR="00355738" w:rsidRPr="0000750A" w:rsidRDefault="00355738">
      <w:pPr>
        <w:pStyle w:val="FootnoteText"/>
        <w:rPr>
          <w:lang w:val="hr-HR"/>
        </w:rPr>
      </w:pPr>
      <w:r>
        <w:rPr>
          <w:rStyle w:val="FootnoteReference"/>
        </w:rPr>
        <w:footnoteRef/>
      </w:r>
      <w:r>
        <w:t xml:space="preserve"> </w:t>
      </w:r>
      <w:r w:rsidRPr="001443C9">
        <w:t>most 5G spectrum lots are still not assigned and the coverage requirements in the assigned lots only provide for gradual cover</w:t>
      </w:r>
      <w:r>
        <w:t>age of “</w:t>
      </w:r>
      <w:r w:rsidRPr="00E517D9">
        <w:rPr>
          <w:i/>
          <w:iCs/>
        </w:rPr>
        <w:t>densely populated areas of Georgia, tourist areas, ports, airports, railways and main highways with the 5G network over the next 3-7 years</w:t>
      </w:r>
      <w:r w:rsidRPr="001443C9">
        <w:t xml:space="preserve">.”  </w:t>
      </w:r>
      <w:hyperlink r:id="rId34" w:history="1">
        <w:r w:rsidRPr="0058653F">
          <w:rPr>
            <w:rStyle w:val="Hyperlink"/>
            <w:sz w:val="20"/>
          </w:rPr>
          <w:t>https://www.comcom.ge/en/yvela-siaxle/comcom-announces-auction-for-the-implementation-of-5g-technology.page</w:t>
        </w:r>
      </w:hyperlink>
      <w:r>
        <w:t xml:space="preserve"> </w:t>
      </w:r>
    </w:p>
  </w:footnote>
  <w:footnote w:id="62">
    <w:p w14:paraId="6E32DCBB" w14:textId="77777777" w:rsidR="00355738" w:rsidRDefault="00355738" w:rsidP="00E82B0B">
      <w:pPr>
        <w:pStyle w:val="FootnoteText"/>
        <w:jc w:val="both"/>
      </w:pPr>
      <w:r>
        <w:rPr>
          <w:rStyle w:val="FootnoteReference"/>
        </w:rPr>
        <w:footnoteRef/>
      </w:r>
      <w:r>
        <w:t xml:space="preserve"> </w:t>
      </w:r>
      <w:r w:rsidRPr="00224D42">
        <w:rPr>
          <w:rStyle w:val="Strong"/>
          <w:rFonts w:asciiTheme="minorHAnsi" w:hAnsiTheme="minorHAnsi" w:cs="Calibri"/>
          <w:color w:val="000000"/>
          <w:shd w:val="clear" w:color="auto" w:fill="FFFFFF"/>
        </w:rPr>
        <w:t>Multichannel multipoint distribution service (MMDS)</w:t>
      </w:r>
      <w:r w:rsidRPr="00224D42">
        <w:rPr>
          <w:rFonts w:asciiTheme="minorHAnsi" w:hAnsiTheme="minorHAnsi" w:cs="Calibri"/>
          <w:b/>
          <w:color w:val="000000"/>
          <w:shd w:val="clear" w:color="auto" w:fill="FFFFFF"/>
        </w:rPr>
        <w:t> </w:t>
      </w:r>
      <w:r w:rsidRPr="00EE406D">
        <w:rPr>
          <w:rFonts w:asciiTheme="minorHAnsi" w:hAnsiTheme="minorHAnsi" w:cs="Calibri"/>
          <w:color w:val="000000"/>
          <w:shd w:val="clear" w:color="auto" w:fill="FFFFFF"/>
        </w:rPr>
        <w:t>is a fixed wireless technology, sometimes referred to as wireless cable TV or wireless generic DSL (xDSL). MMDS operates between 2.5GHz and 2.7GHz and is used for broadcasting, personal communications and interactive media services in metropolitan areas.</w:t>
      </w:r>
    </w:p>
  </w:footnote>
  <w:footnote w:id="63">
    <w:p w14:paraId="304AD178" w14:textId="77777777" w:rsidR="00355738" w:rsidRDefault="00355738" w:rsidP="009F5BF2">
      <w:pPr>
        <w:pStyle w:val="FootnoteText"/>
      </w:pPr>
      <w:r>
        <w:rPr>
          <w:rStyle w:val="FootnoteReference"/>
        </w:rPr>
        <w:footnoteRef/>
      </w:r>
      <w:r>
        <w:t xml:space="preserve"> </w:t>
      </w:r>
      <w:hyperlink r:id="rId35" w:history="1">
        <w:r w:rsidRPr="001C118F">
          <w:rPr>
            <w:rStyle w:val="Hyperlink"/>
          </w:rPr>
          <w:t>https://ec.europa.eu/health/scientific_committees/opinions_layman/en/electromagnetic-fields/glossary/wxyz/wimax.htm</w:t>
        </w:r>
      </w:hyperlink>
    </w:p>
  </w:footnote>
  <w:footnote w:id="64">
    <w:p w14:paraId="4152B2D9" w14:textId="77777777" w:rsidR="00355738" w:rsidRPr="003B52FC" w:rsidRDefault="00355738" w:rsidP="009F5BF2">
      <w:pPr>
        <w:pStyle w:val="FootnoteText"/>
        <w:rPr>
          <w:lang w:val="en-GB"/>
        </w:rPr>
      </w:pPr>
      <w:r>
        <w:rPr>
          <w:rStyle w:val="FootnoteReference"/>
        </w:rPr>
        <w:footnoteRef/>
      </w:r>
      <w:r w:rsidRPr="009F5994">
        <w:rPr>
          <w:lang w:val="hr-HR"/>
        </w:rPr>
        <w:t xml:space="preserve"> </w:t>
      </w:r>
      <w:hyperlink r:id="rId36" w:history="1">
        <w:r w:rsidRPr="003B52FC">
          <w:rPr>
            <w:rStyle w:val="Hyperlink"/>
            <w:sz w:val="20"/>
            <w:lang w:val="en-GB"/>
          </w:rPr>
          <w:t>https://www.increasebroadbandspeed.co.uk/2012/graph-ADSL-speed-versus-distance</w:t>
        </w:r>
      </w:hyperlink>
      <w:r w:rsidRPr="003B52FC">
        <w:rPr>
          <w:lang w:val="en-GB"/>
        </w:rPr>
        <w:t xml:space="preserve"> </w:t>
      </w:r>
    </w:p>
  </w:footnote>
  <w:footnote w:id="65">
    <w:p w14:paraId="1CA408E6" w14:textId="77777777" w:rsidR="00355738" w:rsidRPr="003B52FC" w:rsidRDefault="00355738" w:rsidP="009F5BF2">
      <w:pPr>
        <w:pStyle w:val="FootnoteText"/>
        <w:rPr>
          <w:lang w:val="en-GB"/>
        </w:rPr>
      </w:pPr>
      <w:r w:rsidRPr="003B52FC">
        <w:rPr>
          <w:rStyle w:val="FootnoteReference"/>
          <w:lang w:val="en-GB"/>
        </w:rPr>
        <w:footnoteRef/>
      </w:r>
      <w:r w:rsidRPr="003B52FC">
        <w:rPr>
          <w:lang w:val="en-GB"/>
        </w:rPr>
        <w:t xml:space="preserve"> </w:t>
      </w:r>
      <w:hyperlink r:id="rId37" w:history="1">
        <w:r w:rsidRPr="003B52FC">
          <w:rPr>
            <w:rStyle w:val="Hyperlink"/>
            <w:sz w:val="20"/>
            <w:lang w:val="en-GB"/>
          </w:rPr>
          <w:t>https://www.draytek.co.uk/support/guides/kb-what-is-vdsl-vectoring-sra-and-ginp</w:t>
        </w:r>
      </w:hyperlink>
      <w:r w:rsidRPr="003B52FC">
        <w:rPr>
          <w:lang w:val="en-GB"/>
        </w:rPr>
        <w:t xml:space="preserve"> </w:t>
      </w:r>
    </w:p>
  </w:footnote>
  <w:footnote w:id="66">
    <w:p w14:paraId="5BF61FC4" w14:textId="77777777" w:rsidR="00355738" w:rsidRPr="003B52FC" w:rsidRDefault="00355738" w:rsidP="009F5BF2">
      <w:pPr>
        <w:pStyle w:val="FootnoteText"/>
        <w:rPr>
          <w:lang w:val="en-GB"/>
        </w:rPr>
      </w:pPr>
      <w:r w:rsidRPr="003B52FC">
        <w:rPr>
          <w:rStyle w:val="FootnoteReference"/>
          <w:lang w:val="en-GB"/>
        </w:rPr>
        <w:footnoteRef/>
      </w:r>
      <w:r w:rsidRPr="003B52FC">
        <w:rPr>
          <w:lang w:val="en-GB"/>
        </w:rPr>
        <w:t xml:space="preserve"> </w:t>
      </w:r>
      <w:hyperlink r:id="rId38" w:history="1">
        <w:r w:rsidRPr="003B52FC">
          <w:rPr>
            <w:rStyle w:val="Hyperlink"/>
            <w:sz w:val="20"/>
            <w:lang w:val="en-GB"/>
          </w:rPr>
          <w:t>https://www.airband.co.uk/what-is-the-difference-between-fttc-and-fttp/</w:t>
        </w:r>
      </w:hyperlink>
      <w:r w:rsidRPr="003B52FC">
        <w:rPr>
          <w:lang w:val="en-GB"/>
        </w:rPr>
        <w:t xml:space="preserve"> </w:t>
      </w:r>
    </w:p>
  </w:footnote>
  <w:footnote w:id="67">
    <w:p w14:paraId="0C2D9599" w14:textId="77777777" w:rsidR="00355738" w:rsidRPr="003B52FC" w:rsidRDefault="00355738" w:rsidP="009F5BF2">
      <w:pPr>
        <w:pStyle w:val="FootnoteText"/>
        <w:rPr>
          <w:lang w:val="en-GB"/>
        </w:rPr>
      </w:pPr>
      <w:r w:rsidRPr="003B52FC">
        <w:rPr>
          <w:rStyle w:val="FootnoteReference"/>
          <w:lang w:val="en-GB"/>
        </w:rPr>
        <w:footnoteRef/>
      </w:r>
      <w:r w:rsidRPr="003B52FC">
        <w:rPr>
          <w:lang w:val="en-GB"/>
        </w:rPr>
        <w:t xml:space="preserve"> </w:t>
      </w:r>
      <w:hyperlink r:id="rId39" w:history="1">
        <w:r w:rsidRPr="003B52FC">
          <w:rPr>
            <w:rStyle w:val="Hyperlink"/>
            <w:sz w:val="20"/>
            <w:lang w:val="en-GB"/>
          </w:rPr>
          <w:t>https://www.techtarget.com/searchnetworking/definition/ADSL</w:t>
        </w:r>
      </w:hyperlink>
    </w:p>
  </w:footnote>
  <w:footnote w:id="68">
    <w:p w14:paraId="4BD0B791" w14:textId="77777777" w:rsidR="00355738" w:rsidRDefault="00355738" w:rsidP="00E82B0B">
      <w:pPr>
        <w:pStyle w:val="FootnoteText"/>
        <w:jc w:val="both"/>
      </w:pPr>
      <w:r w:rsidRPr="003B52FC">
        <w:rPr>
          <w:rStyle w:val="FootnoteReference"/>
          <w:lang w:val="en-GB"/>
        </w:rPr>
        <w:footnoteRef/>
      </w:r>
      <w:r w:rsidRPr="003B52FC">
        <w:rPr>
          <w:lang w:val="en-GB"/>
        </w:rPr>
        <w:t xml:space="preserve"> ComCom’s Decision No. 620/9 of 6 November 2014 on the wholesale market of access to communication ducts and the wholesale market of access to copper subscriber line-cable pairs resources, as amended lastly by ComCom’s Decision N672/9 of 6 December 2018</w:t>
      </w:r>
    </w:p>
  </w:footnote>
  <w:footnote w:id="69">
    <w:p w14:paraId="0AB614E2" w14:textId="16DFEE85" w:rsidR="00355738" w:rsidRPr="00000FE2" w:rsidRDefault="00355738">
      <w:pPr>
        <w:pStyle w:val="FootnoteText"/>
        <w:rPr>
          <w:lang w:val="en-GB"/>
        </w:rPr>
      </w:pPr>
      <w:r>
        <w:rPr>
          <w:rStyle w:val="FootnoteReference"/>
        </w:rPr>
        <w:footnoteRef/>
      </w:r>
      <w:r>
        <w:t xml:space="preserve"> </w:t>
      </w:r>
      <w:hyperlink r:id="rId40" w:history="1">
        <w:r w:rsidRPr="003B52FC">
          <w:rPr>
            <w:rStyle w:val="Hyperlink"/>
            <w:sz w:val="20"/>
            <w:lang w:val="en-GB"/>
          </w:rPr>
          <w:t>https://www.airband.co.uk/what-is-the-difference-between-fttc-and-fttp/</w:t>
        </w:r>
      </w:hyperlink>
    </w:p>
  </w:footnote>
  <w:footnote w:id="70">
    <w:p w14:paraId="211F1D3B" w14:textId="77777777" w:rsidR="00355738" w:rsidRDefault="00355738" w:rsidP="009F5BF2">
      <w:pPr>
        <w:pStyle w:val="FootnoteText"/>
      </w:pPr>
      <w:r>
        <w:rPr>
          <w:rStyle w:val="FootnoteReference"/>
        </w:rPr>
        <w:footnoteRef/>
      </w:r>
      <w:r w:rsidRPr="009F5994">
        <w:rPr>
          <w:lang w:val="hr-HR"/>
        </w:rPr>
        <w:t xml:space="preserve"> </w:t>
      </w:r>
      <w:hyperlink r:id="rId41" w:history="1">
        <w:r w:rsidRPr="006C5145">
          <w:rPr>
            <w:rStyle w:val="Hyperlink"/>
            <w:lang w:val="hr-HR"/>
          </w:rPr>
          <w:t>https://www.4gltemall.com/blog/what-is-gsm-edge-gprs-umts-3g-hsdpa-hsupa-lte/</w:t>
        </w:r>
      </w:hyperlink>
    </w:p>
  </w:footnote>
  <w:footnote w:id="71">
    <w:p w14:paraId="41B114F5" w14:textId="77777777" w:rsidR="00355738" w:rsidRDefault="00355738" w:rsidP="009F5BF2">
      <w:pPr>
        <w:pStyle w:val="FootnoteText"/>
      </w:pPr>
      <w:r>
        <w:rPr>
          <w:rStyle w:val="FootnoteReference"/>
        </w:rPr>
        <w:footnoteRef/>
      </w:r>
      <w:r w:rsidRPr="009F5994">
        <w:rPr>
          <w:lang w:val="hr-HR"/>
        </w:rPr>
        <w:t xml:space="preserve"> </w:t>
      </w:r>
      <w:hyperlink r:id="rId42" w:history="1">
        <w:r w:rsidRPr="006C5145">
          <w:rPr>
            <w:rStyle w:val="Hyperlink"/>
            <w:lang w:val="hr-HR"/>
          </w:rPr>
          <w:t>https://www.uswitch.com/broadband/guides/what-is-a-mobile-dongle/</w:t>
        </w:r>
      </w:hyperlink>
    </w:p>
  </w:footnote>
  <w:footnote w:id="72">
    <w:p w14:paraId="0AB2C8C9" w14:textId="2CD86429" w:rsidR="00355738" w:rsidRDefault="00355738">
      <w:pPr>
        <w:pStyle w:val="FootnoteText"/>
      </w:pPr>
      <w:r>
        <w:rPr>
          <w:rStyle w:val="FootnoteReference"/>
        </w:rPr>
        <w:footnoteRef/>
      </w:r>
      <w:r>
        <w:t xml:space="preserve"> In August 2023, Cellfie was </w:t>
      </w:r>
      <w:r w:rsidRPr="00E82B0B">
        <w:t>awarded</w:t>
      </w:r>
      <w:r>
        <w:t xml:space="preserve"> additional spectrum for use in the introduction of 5G services in Georgia </w:t>
      </w:r>
      <w:hyperlink r:id="rId43" w:history="1">
        <w:r w:rsidRPr="005060B9">
          <w:rPr>
            <w:rStyle w:val="Hyperlink"/>
            <w:sz w:val="20"/>
          </w:rPr>
          <w:t>https://comcom.ge/en/yvela-siaxle/5g-auction-concludes-the-new-technology-will-be-implemented-by-cellfie-mobile.page</w:t>
        </w:r>
      </w:hyperlink>
    </w:p>
    <w:p w14:paraId="00B97811" w14:textId="77777777" w:rsidR="00355738" w:rsidRPr="000E6698" w:rsidRDefault="00355738">
      <w:pPr>
        <w:pStyle w:val="FootnoteText"/>
        <w:rPr>
          <w:lang w:val="en-GB"/>
        </w:rPr>
      </w:pPr>
    </w:p>
  </w:footnote>
  <w:footnote w:id="73">
    <w:p w14:paraId="4EFD8E48" w14:textId="4F9ED5D2" w:rsidR="00355738" w:rsidRPr="00A73C1F" w:rsidRDefault="00355738">
      <w:pPr>
        <w:pStyle w:val="FootnoteText"/>
        <w:rPr>
          <w:lang w:val="hr-HR"/>
        </w:rPr>
      </w:pPr>
      <w:r>
        <w:rPr>
          <w:rStyle w:val="FootnoteReference"/>
        </w:rPr>
        <w:footnoteRef/>
      </w:r>
      <w:r>
        <w:t xml:space="preserve"> </w:t>
      </w:r>
      <w:r w:rsidRPr="00A73C1F">
        <w:t xml:space="preserve">The details, in the form of coverage </w:t>
      </w:r>
      <w:r>
        <w:t xml:space="preserve">and take-up </w:t>
      </w:r>
      <w:r w:rsidRPr="00A73C1F">
        <w:t>maps are described in Annex 1.</w:t>
      </w:r>
    </w:p>
  </w:footnote>
  <w:footnote w:id="74">
    <w:p w14:paraId="089EB2F4" w14:textId="77777777" w:rsidR="00355738" w:rsidRPr="00B26401" w:rsidRDefault="00355738" w:rsidP="000D100B">
      <w:pPr>
        <w:pStyle w:val="FootnoteText"/>
        <w:rPr>
          <w:lang w:val="hr-HR"/>
        </w:rPr>
      </w:pPr>
      <w:r>
        <w:rPr>
          <w:rStyle w:val="FootnoteReference"/>
        </w:rPr>
        <w:footnoteRef/>
      </w:r>
      <w:r w:rsidRPr="00763CB2">
        <w:rPr>
          <w:lang w:val="hr-HR"/>
        </w:rPr>
        <w:t xml:space="preserve"> </w:t>
      </w:r>
      <w:hyperlink r:id="rId44" w:history="1">
        <w:r w:rsidRPr="00763CB2">
          <w:rPr>
            <w:rStyle w:val="Hyperlink"/>
            <w:lang w:val="hr-HR"/>
          </w:rPr>
          <w:t>https://www.commsupdate.com/articles/2016/11/23/magticom-snaps-up-a-second-isp-deltacom/</w:t>
        </w:r>
      </w:hyperlink>
    </w:p>
  </w:footnote>
  <w:footnote w:id="75">
    <w:p w14:paraId="4B43FDED" w14:textId="77777777" w:rsidR="00355738" w:rsidRDefault="00355738" w:rsidP="00E82B0B">
      <w:pPr>
        <w:pStyle w:val="FootnoteText"/>
        <w:jc w:val="both"/>
      </w:pPr>
      <w:r>
        <w:rPr>
          <w:rStyle w:val="FootnoteReference"/>
        </w:rPr>
        <w:footnoteRef/>
      </w:r>
      <w:r>
        <w:t xml:space="preserve"> </w:t>
      </w:r>
      <w:r w:rsidRPr="007B7679">
        <w:t xml:space="preserve">This raises the question whether the retail access services offered by these providers are all part of the same market, given that switching costs - notably in terms of waiting time and works required to bring in the inhouse wiring - may dissuade many subscribers to change provider in case of a price increase of 5-10%. </w:t>
      </w:r>
      <w:r w:rsidRPr="00362A75">
        <w:t>In the absence of more market data on this question</w:t>
      </w:r>
      <w:r w:rsidRPr="00C51A06">
        <w:t xml:space="preserve"> and without being </w:t>
      </w:r>
      <w:r>
        <w:t>flagged</w:t>
      </w:r>
      <w:r w:rsidRPr="00C51A06">
        <w:t xml:space="preserve"> by </w:t>
      </w:r>
      <w:r>
        <w:t>any stakeholder</w:t>
      </w:r>
      <w:r w:rsidRPr="00362A75">
        <w:t xml:space="preserve">, the current report however does not </w:t>
      </w:r>
      <w:r>
        <w:t xml:space="preserve">yet </w:t>
      </w:r>
      <w:r w:rsidRPr="00362A75">
        <w:t>consider this possibility.</w:t>
      </w:r>
    </w:p>
  </w:footnote>
  <w:footnote w:id="76">
    <w:p w14:paraId="0A714B49" w14:textId="77777777" w:rsidR="00355738" w:rsidRDefault="00355738" w:rsidP="000D100B">
      <w:pPr>
        <w:pStyle w:val="FootnoteText"/>
      </w:pPr>
      <w:r>
        <w:rPr>
          <w:rStyle w:val="FootnoteReference"/>
        </w:rPr>
        <w:footnoteRef/>
      </w:r>
      <w:r>
        <w:t xml:space="preserve"> Explanatory Note accompanying the Commission Recommendation 2014/710/EU, SWD(2014) 298, p. 8.</w:t>
      </w:r>
    </w:p>
  </w:footnote>
  <w:footnote w:id="77">
    <w:p w14:paraId="122FEF47" w14:textId="77777777" w:rsidR="00355738" w:rsidRPr="00E5250B" w:rsidRDefault="00355738" w:rsidP="002632E2">
      <w:pPr>
        <w:pStyle w:val="FootnoteText"/>
      </w:pPr>
      <w:r w:rsidRPr="00E5250B">
        <w:rPr>
          <w:rStyle w:val="FootnoteReference"/>
        </w:rPr>
        <w:footnoteRef/>
      </w:r>
      <w:r w:rsidRPr="005F7CCE">
        <w:t xml:space="preserve"> </w:t>
      </w:r>
      <w:hyperlink r:id="rId45" w:history="1">
        <w:r w:rsidRPr="005F7CCE">
          <w:rPr>
            <w:rStyle w:val="Hyperlink"/>
            <w:sz w:val="20"/>
          </w:rPr>
          <w:t>https://eur-lex.europa.eu/legal-content/EN/TXT/PDF/?uri=CELEX:32014H0710&amp;from=EN</w:t>
        </w:r>
      </w:hyperlink>
      <w:r w:rsidRPr="005F7CCE">
        <w:t xml:space="preserve"> </w:t>
      </w:r>
    </w:p>
  </w:footnote>
  <w:footnote w:id="78">
    <w:p w14:paraId="53FB2985" w14:textId="77777777" w:rsidR="00355738" w:rsidRPr="00E5250B" w:rsidRDefault="00355738" w:rsidP="002632E2">
      <w:pPr>
        <w:pStyle w:val="FootnoteText"/>
      </w:pPr>
      <w:r w:rsidRPr="00E5250B">
        <w:rPr>
          <w:rStyle w:val="FootnoteReference"/>
        </w:rPr>
        <w:footnoteRef/>
      </w:r>
      <w:r w:rsidRPr="00E5250B">
        <w:rPr>
          <w:lang w:val="hr-HR"/>
        </w:rPr>
        <w:t xml:space="preserve"> </w:t>
      </w:r>
      <w:hyperlink r:id="rId46" w:history="1">
        <w:r w:rsidRPr="00E5250B">
          <w:rPr>
            <w:rStyle w:val="Hyperlink"/>
            <w:sz w:val="20"/>
            <w:lang w:val="hr-HR"/>
          </w:rPr>
          <w:t>https://eur-lex.europa.eu/legal-content/EN/TXT/?uri=CELEX%3A52018XC0507%2801%29</w:t>
        </w:r>
      </w:hyperlink>
      <w:r w:rsidRPr="00E5250B">
        <w:rPr>
          <w:lang w:val="hr-HR"/>
        </w:rPr>
        <w:t xml:space="preserve"> </w:t>
      </w:r>
    </w:p>
  </w:footnote>
  <w:footnote w:id="79">
    <w:p w14:paraId="24C11840" w14:textId="77777777" w:rsidR="00355738" w:rsidRDefault="00355738" w:rsidP="00EF3CA3">
      <w:pPr>
        <w:pStyle w:val="FootnoteText"/>
      </w:pPr>
      <w:r w:rsidRPr="00E5250B">
        <w:rPr>
          <w:rStyle w:val="FootnoteReference"/>
        </w:rPr>
        <w:footnoteRef/>
      </w:r>
      <w:r w:rsidRPr="00E5250B">
        <w:rPr>
          <w:lang w:val="hr-HR"/>
        </w:rPr>
        <w:t xml:space="preserve"> </w:t>
      </w:r>
      <w:hyperlink r:id="rId47" w:history="1">
        <w:r w:rsidRPr="00E5250B">
          <w:rPr>
            <w:rStyle w:val="Hyperlink"/>
            <w:sz w:val="20"/>
            <w:lang w:val="hr-HR"/>
          </w:rPr>
          <w:t>https://www.lawinsider.com/dictionary/fiber-wholesale-bitstream-access-service</w:t>
        </w:r>
      </w:hyperlink>
      <w:r w:rsidRPr="007A4CB0">
        <w:rPr>
          <w:lang w:val="hr-HR"/>
        </w:rPr>
        <w:t xml:space="preserve"> </w:t>
      </w:r>
    </w:p>
  </w:footnote>
  <w:footnote w:id="80">
    <w:p w14:paraId="1ECC0F17" w14:textId="77777777" w:rsidR="00355738" w:rsidRDefault="00355738" w:rsidP="00EF3CA3">
      <w:pPr>
        <w:pStyle w:val="FootnoteText"/>
      </w:pPr>
      <w:r>
        <w:rPr>
          <w:rStyle w:val="FootnoteReference"/>
        </w:rPr>
        <w:footnoteRef/>
      </w:r>
      <w:r w:rsidRPr="00733614">
        <w:rPr>
          <w:lang w:val="hr-HR"/>
        </w:rPr>
        <w:t xml:space="preserve"> </w:t>
      </w:r>
      <w:hyperlink r:id="rId48" w:history="1">
        <w:r w:rsidRPr="00E5250B">
          <w:rPr>
            <w:rStyle w:val="Hyperlink"/>
            <w:sz w:val="20"/>
            <w:lang w:val="hr-HR"/>
          </w:rPr>
          <w:t>https://www.researchgate.net/figure/Overview-of-the-impact-of-fibre-unbundling-on-the-network-deployment-cost_fig1_283032020</w:t>
        </w:r>
      </w:hyperlink>
      <w:r>
        <w:rPr>
          <w:lang w:val="hr-HR"/>
        </w:rPr>
        <w:t xml:space="preserve"> </w:t>
      </w:r>
    </w:p>
  </w:footnote>
  <w:footnote w:id="81">
    <w:p w14:paraId="156BB5E8" w14:textId="16F922D0" w:rsidR="00355738" w:rsidRPr="00E5250B" w:rsidRDefault="00355738" w:rsidP="00EF3CA3">
      <w:pPr>
        <w:pStyle w:val="FootnoteText"/>
      </w:pPr>
      <w:r w:rsidRPr="00E5250B">
        <w:rPr>
          <w:rStyle w:val="FootnoteReference"/>
        </w:rPr>
        <w:footnoteRef/>
      </w:r>
      <w:hyperlink r:id="rId49" w:history="1">
        <w:r w:rsidRPr="00E5250B">
          <w:rPr>
            <w:rStyle w:val="Hyperlink"/>
            <w:sz w:val="20"/>
            <w:lang w:val="hr-HR"/>
          </w:rPr>
          <w:t>https://www.ofcom.org.uk/__data/assets/pdf_file/0022/76702/competition_and_investment_fixed.pdf</w:t>
        </w:r>
      </w:hyperlink>
      <w:r w:rsidRPr="00E5250B">
        <w:rPr>
          <w:lang w:val="hr-HR"/>
        </w:rPr>
        <w:t xml:space="preserve"> </w:t>
      </w:r>
    </w:p>
  </w:footnote>
  <w:footnote w:id="82">
    <w:p w14:paraId="3BB58D1A" w14:textId="77777777" w:rsidR="00355738" w:rsidRDefault="00355738" w:rsidP="0002157F">
      <w:pPr>
        <w:pStyle w:val="FootnoteText"/>
      </w:pPr>
      <w:r>
        <w:rPr>
          <w:rStyle w:val="FootnoteReference"/>
        </w:rPr>
        <w:footnoteRef/>
      </w:r>
      <w:r w:rsidRPr="008B1B58">
        <w:rPr>
          <w:lang w:val="hr-HR"/>
        </w:rPr>
        <w:t xml:space="preserve"> </w:t>
      </w:r>
      <w:hyperlink r:id="rId50" w:history="1">
        <w:r w:rsidRPr="008B1B58">
          <w:rPr>
            <w:rStyle w:val="Hyperlink"/>
            <w:lang w:val="hr-HR"/>
          </w:rPr>
          <w:t>https://www.cablelabs.com/technologies/docsis-4-0-technology</w:t>
        </w:r>
      </w:hyperlink>
    </w:p>
  </w:footnote>
  <w:footnote w:id="83">
    <w:p w14:paraId="3EF2F656" w14:textId="77777777" w:rsidR="00355738" w:rsidRDefault="00355738" w:rsidP="0002157F">
      <w:pPr>
        <w:pStyle w:val="FootnoteText"/>
      </w:pPr>
      <w:r>
        <w:rPr>
          <w:rStyle w:val="FootnoteReference"/>
        </w:rPr>
        <w:footnoteRef/>
      </w:r>
      <w:r w:rsidRPr="008B1B58">
        <w:rPr>
          <w:lang w:val="hr-HR"/>
        </w:rPr>
        <w:t xml:space="preserve"> </w:t>
      </w:r>
      <w:hyperlink r:id="rId51" w:history="1">
        <w:r w:rsidRPr="008B1B58">
          <w:rPr>
            <w:rStyle w:val="Hyperlink"/>
            <w:lang w:val="hr-HR"/>
          </w:rPr>
          <w:t>https://opennet.ge/eng/static/9/oufen-neti</w:t>
        </w:r>
      </w:hyperlink>
    </w:p>
  </w:footnote>
  <w:footnote w:id="84">
    <w:p w14:paraId="7341C3BA" w14:textId="4D158B4D" w:rsidR="00355738" w:rsidRPr="00950222" w:rsidRDefault="00355738">
      <w:pPr>
        <w:pStyle w:val="FootnoteText"/>
        <w:rPr>
          <w:lang w:val="hr-HR"/>
        </w:rPr>
      </w:pPr>
      <w:r>
        <w:rPr>
          <w:rStyle w:val="FootnoteReference"/>
        </w:rPr>
        <w:footnoteRef/>
      </w:r>
      <w:r>
        <w:t xml:space="preserve"> </w:t>
      </w:r>
      <w:r w:rsidRPr="00950222">
        <w:t xml:space="preserve">The details, in the form of coverage </w:t>
      </w:r>
      <w:r>
        <w:t xml:space="preserve">and take-up </w:t>
      </w:r>
      <w:r w:rsidRPr="00950222">
        <w:t>maps are described in Annex 1.</w:t>
      </w:r>
    </w:p>
  </w:footnote>
  <w:footnote w:id="85">
    <w:p w14:paraId="306CB9FC" w14:textId="77777777" w:rsidR="00355738" w:rsidRPr="00B26401" w:rsidRDefault="00355738" w:rsidP="008A258D">
      <w:pPr>
        <w:pStyle w:val="FootnoteText"/>
        <w:rPr>
          <w:lang w:val="hr-HR"/>
        </w:rPr>
      </w:pPr>
      <w:r w:rsidRPr="00394E97">
        <w:rPr>
          <w:rStyle w:val="FootnoteReference"/>
        </w:rPr>
        <w:footnoteRef/>
      </w:r>
      <w:r w:rsidRPr="00394E97">
        <w:rPr>
          <w:lang w:val="hr-HR"/>
        </w:rPr>
        <w:t xml:space="preserve"> </w:t>
      </w:r>
      <w:hyperlink r:id="rId52" w:history="1">
        <w:r w:rsidRPr="00394E97">
          <w:rPr>
            <w:rStyle w:val="Hyperlink"/>
            <w:sz w:val="20"/>
            <w:lang w:val="hr-HR"/>
          </w:rPr>
          <w:t>https://www.eib.org/attachments/efs/smes_and_private_sector_financing_in_georgia_en.pdf</w:t>
        </w:r>
      </w:hyperlink>
      <w:r w:rsidRPr="00394E97">
        <w:rPr>
          <w:lang w:val="hr-HR"/>
        </w:rPr>
        <w:t xml:space="preserve"> </w:t>
      </w:r>
    </w:p>
  </w:footnote>
  <w:footnote w:id="86">
    <w:p w14:paraId="5627D36F" w14:textId="77777777" w:rsidR="00355738" w:rsidRPr="00B26401" w:rsidRDefault="00355738" w:rsidP="008A258D">
      <w:pPr>
        <w:pStyle w:val="FootnoteText"/>
        <w:rPr>
          <w:lang w:val="hr-HR"/>
        </w:rPr>
      </w:pPr>
      <w:r w:rsidRPr="00122B8B">
        <w:rPr>
          <w:rStyle w:val="FootnoteReference"/>
        </w:rPr>
        <w:footnoteRef/>
      </w:r>
      <w:r w:rsidRPr="00122B8B">
        <w:rPr>
          <w:lang w:val="hr-HR"/>
        </w:rPr>
        <w:t xml:space="preserve"> </w:t>
      </w:r>
      <w:hyperlink r:id="rId53" w:history="1">
        <w:r w:rsidRPr="00122B8B">
          <w:rPr>
            <w:rStyle w:val="Hyperlink"/>
            <w:sz w:val="20"/>
            <w:lang w:val="hr-HR"/>
          </w:rPr>
          <w:t>https://www.commsupdate.com/articles/2016/11/23/magticom-snaps-up-a-second-isp-deltacom/</w:t>
        </w:r>
      </w:hyperlink>
    </w:p>
  </w:footnote>
  <w:footnote w:id="87">
    <w:p w14:paraId="231FF399" w14:textId="77777777" w:rsidR="00355738" w:rsidRDefault="00355738" w:rsidP="00E62FF1">
      <w:pPr>
        <w:pStyle w:val="FootnoteText"/>
      </w:pPr>
      <w:r>
        <w:rPr>
          <w:rStyle w:val="FootnoteReference"/>
        </w:rPr>
        <w:footnoteRef/>
      </w:r>
      <w:r w:rsidRPr="00C34299">
        <w:t xml:space="preserve"> Article 67(1) EECC</w:t>
      </w:r>
    </w:p>
  </w:footnote>
  <w:footnote w:id="88">
    <w:p w14:paraId="0FBC8213" w14:textId="77777777" w:rsidR="00355738" w:rsidRPr="008E2716" w:rsidRDefault="00355738" w:rsidP="0011197D">
      <w:pPr>
        <w:pStyle w:val="FootnoteText"/>
        <w:rPr>
          <w:lang w:val="en-GB"/>
        </w:rPr>
      </w:pPr>
      <w:r>
        <w:rPr>
          <w:rStyle w:val="FootnoteReference"/>
        </w:rPr>
        <w:footnoteRef/>
      </w:r>
      <w:r w:rsidRPr="000C17E1">
        <w:rPr>
          <w:lang w:val="en-GB"/>
        </w:rPr>
        <w:t xml:space="preserve"> Art.</w:t>
      </w:r>
      <w:r>
        <w:rPr>
          <w:lang w:val="en-GB"/>
        </w:rPr>
        <w:t xml:space="preserve"> 2, z</w:t>
      </w:r>
      <w:r w:rsidRPr="0011197D">
        <w:rPr>
          <w:vertAlign w:val="superscript"/>
          <w:lang w:val="en-GB"/>
        </w:rPr>
        <w:t>1</w:t>
      </w:r>
      <w:r>
        <w:rPr>
          <w:vertAlign w:val="superscript"/>
          <w:lang w:val="en-GB"/>
        </w:rPr>
        <w:t xml:space="preserve">3 </w:t>
      </w:r>
      <w:r>
        <w:rPr>
          <w:lang w:val="en-GB"/>
        </w:rPr>
        <w:t xml:space="preserve">of the Law of Georgia on Electronic Communications </w:t>
      </w:r>
      <w:hyperlink r:id="rId54" w:history="1">
        <w:r w:rsidRPr="005A7800">
          <w:rPr>
            <w:rStyle w:val="Hyperlink"/>
            <w:sz w:val="20"/>
            <w:lang w:val="en-GB"/>
          </w:rPr>
          <w:t>https://www.comcom.ge/uploads/other/1/1222.pdf</w:t>
        </w:r>
      </w:hyperlink>
    </w:p>
  </w:footnote>
  <w:footnote w:id="89">
    <w:p w14:paraId="4DD6C0D5" w14:textId="77777777" w:rsidR="00355738" w:rsidRPr="000C17E1" w:rsidRDefault="00355738" w:rsidP="00E82B0B">
      <w:pPr>
        <w:pStyle w:val="FootnoteText"/>
        <w:jc w:val="both"/>
        <w:rPr>
          <w:lang w:val="en-GB"/>
        </w:rPr>
      </w:pPr>
      <w:r>
        <w:rPr>
          <w:rStyle w:val="FootnoteReference"/>
        </w:rPr>
        <w:footnoteRef/>
      </w:r>
      <w:r>
        <w:t xml:space="preserve"> </w:t>
      </w:r>
      <w:r w:rsidRPr="009C4D1F">
        <w:t>ComCom’s Decision No. 620/9 of 6 November 2014 on the wholesale market of access to communication ducts and the wholesale market of access to copper subscriber line-cable pairs resources, as amended lastly by ComCom’s Decision N672/9 of 6 December 2018.</w:t>
      </w:r>
    </w:p>
  </w:footnote>
  <w:footnote w:id="90">
    <w:p w14:paraId="42B0927B" w14:textId="77777777" w:rsidR="00355738" w:rsidRPr="00EB5F1D" w:rsidRDefault="00355738" w:rsidP="00E82B0B">
      <w:pPr>
        <w:pStyle w:val="FootnoteText"/>
        <w:jc w:val="both"/>
        <w:rPr>
          <w:lang w:val="en-GB"/>
        </w:rPr>
      </w:pPr>
      <w:r>
        <w:rPr>
          <w:rStyle w:val="FootnoteReference"/>
        </w:rPr>
        <w:footnoteRef/>
      </w:r>
      <w:r>
        <w:t xml:space="preserve"> </w:t>
      </w:r>
      <w:r w:rsidRPr="0024490C">
        <w:rPr>
          <w:rFonts w:asciiTheme="minorHAnsi" w:hAnsiTheme="minorHAnsi" w:cstheme="minorHAnsi"/>
          <w:lang w:val="en-GB"/>
        </w:rPr>
        <w:t>A majority of NRAs have applied a similar approach at an overall level to deal with self-supply, addressing self-supply at both the market definition and SMP analysis stage</w:t>
      </w:r>
      <w:r w:rsidRPr="0024490C">
        <w:rPr>
          <w:rStyle w:val="Hyperlink"/>
          <w:color w:val="auto"/>
          <w:sz w:val="20"/>
          <w:u w:val="none"/>
          <w:lang w:val="en-GB"/>
        </w:rPr>
        <w:t>.</w:t>
      </w:r>
      <w:r w:rsidRPr="0024490C">
        <w:rPr>
          <w:rStyle w:val="Hyperlink"/>
          <w:color w:val="auto"/>
          <w:sz w:val="20"/>
          <w:lang w:val="en-GB"/>
        </w:rPr>
        <w:t xml:space="preserve"> </w:t>
      </w:r>
      <w:r>
        <w:rPr>
          <w:rStyle w:val="Hyperlink"/>
          <w:sz w:val="20"/>
          <w:lang w:val="en-GB"/>
        </w:rPr>
        <w:t xml:space="preserve">See </w:t>
      </w:r>
      <w:hyperlink r:id="rId55" w:history="1">
        <w:r w:rsidRPr="00EB5F1D">
          <w:rPr>
            <w:rStyle w:val="Hyperlink"/>
            <w:sz w:val="20"/>
          </w:rPr>
          <w:t>IRG Report on self-supply (europa.eu)</w:t>
        </w:r>
      </w:hyperlink>
    </w:p>
  </w:footnote>
  <w:footnote w:id="91">
    <w:p w14:paraId="0AF05021" w14:textId="3BD195A9" w:rsidR="00355738" w:rsidRPr="00BB370E" w:rsidRDefault="00355738" w:rsidP="00E82B0B">
      <w:pPr>
        <w:pStyle w:val="FootnoteText"/>
        <w:jc w:val="both"/>
      </w:pPr>
      <w:r>
        <w:rPr>
          <w:rStyle w:val="FootnoteReference"/>
        </w:rPr>
        <w:footnoteRef/>
      </w:r>
      <w:r>
        <w:t xml:space="preserve"> These coverage figures are based on the information provided by operators during Q4 2022. The operators reported the number of households passed by their FTTx networks. In our estimates of FTTx network coverage we have made adjustments taking into account the increase in households that has occurred since the 2014 census in order to provide more realistic estimates of premises passed. (see also Chapter 3.1.1)</w:t>
      </w:r>
    </w:p>
  </w:footnote>
  <w:footnote w:id="92">
    <w:p w14:paraId="403EB47E" w14:textId="0A41965E" w:rsidR="00355738" w:rsidRPr="00912618" w:rsidRDefault="00355738" w:rsidP="00E82B0B">
      <w:pPr>
        <w:pStyle w:val="FootnoteText"/>
        <w:jc w:val="both"/>
      </w:pPr>
      <w:r>
        <w:rPr>
          <w:rStyle w:val="FootnoteReference"/>
        </w:rPr>
        <w:footnoteRef/>
      </w:r>
      <w:r>
        <w:t xml:space="preserve"> It is considered that, even if Silknet completely replaced its existing copper local access network with FTTx, Silknet’s national coverage of FTTx would still not reach the same level as Magticom</w:t>
      </w:r>
    </w:p>
  </w:footnote>
  <w:footnote w:id="93">
    <w:p w14:paraId="409F0995" w14:textId="77777777" w:rsidR="00355738" w:rsidRPr="00FC3DC0" w:rsidRDefault="00355738" w:rsidP="00264F26">
      <w:pPr>
        <w:pStyle w:val="FootnoteText"/>
        <w:rPr>
          <w:lang w:val="en-GB"/>
        </w:rPr>
      </w:pPr>
      <w:r w:rsidRPr="00FC3DC0">
        <w:rPr>
          <w:rStyle w:val="FootnoteReference"/>
        </w:rPr>
        <w:footnoteRef/>
      </w:r>
      <w:r w:rsidRPr="00FC3DC0">
        <w:t xml:space="preserve"> </w:t>
      </w:r>
      <w:hyperlink r:id="rId56" w:history="1">
        <w:r w:rsidRPr="00FC3DC0">
          <w:rPr>
            <w:rStyle w:val="Hyperlink"/>
            <w:sz w:val="20"/>
          </w:rPr>
          <w:t>https://www.eib.org/attachments/efs/smes_and_private_sector_financing_in_georgia_en.pdf</w:t>
        </w:r>
      </w:hyperlink>
    </w:p>
  </w:footnote>
  <w:footnote w:id="94">
    <w:p w14:paraId="303F81BB" w14:textId="048732F8" w:rsidR="00355738" w:rsidRPr="00633BE9" w:rsidRDefault="00355738" w:rsidP="00264F26">
      <w:pPr>
        <w:pStyle w:val="FootnoteText"/>
        <w:rPr>
          <w:lang w:val="en-GB"/>
        </w:rPr>
      </w:pPr>
      <w:r>
        <w:rPr>
          <w:rStyle w:val="FootnoteReference"/>
        </w:rPr>
        <w:footnoteRef/>
      </w:r>
      <w:r>
        <w:t xml:space="preserve">EBITDA: </w:t>
      </w:r>
      <w:r>
        <w:rPr>
          <w:lang w:val="en-GB"/>
        </w:rPr>
        <w:t xml:space="preserve">Earnings Before Interest Tax Depreciation and Amortisation </w:t>
      </w:r>
    </w:p>
  </w:footnote>
  <w:footnote w:id="95">
    <w:p w14:paraId="78350444" w14:textId="53F14F40" w:rsidR="00355738" w:rsidRPr="005B2F71" w:rsidRDefault="00355738" w:rsidP="006067AA">
      <w:pPr>
        <w:spacing w:before="120" w:after="0" w:line="240" w:lineRule="auto"/>
        <w:jc w:val="both"/>
        <w:rPr>
          <w:highlight w:val="green"/>
          <w:lang w:val="en-GB"/>
        </w:rPr>
      </w:pPr>
      <w:r>
        <w:rPr>
          <w:rStyle w:val="FootnoteReference"/>
        </w:rPr>
        <w:footnoteRef/>
      </w:r>
      <w:r w:rsidRPr="005B2F71">
        <w:rPr>
          <w:lang w:val="en-GB"/>
        </w:rPr>
        <w:t xml:space="preserve"> </w:t>
      </w:r>
      <w:r w:rsidRPr="005B2F71">
        <w:rPr>
          <w:highlight w:val="green"/>
          <w:lang w:val="en-GB"/>
        </w:rPr>
        <w:t>In order to establish joint significant market power, along with the above-mentioned main criterion, it is necessary to meet the secondary criteria provided by Article 22, Clause 12 of the Law of Georgia "On Electronic Communications". In particular, it is necessary to meet the following three prerequisites:</w:t>
      </w:r>
    </w:p>
    <w:p w14:paraId="7840CB9C" w14:textId="47E8F76E" w:rsidR="00355738" w:rsidRPr="005B2F71" w:rsidRDefault="00355738" w:rsidP="006067AA">
      <w:pPr>
        <w:pStyle w:val="ListParagraph"/>
        <w:numPr>
          <w:ilvl w:val="0"/>
          <w:numId w:val="114"/>
        </w:numPr>
        <w:spacing w:before="120" w:after="0" w:line="240" w:lineRule="auto"/>
        <w:contextualSpacing w:val="0"/>
        <w:jc w:val="both"/>
        <w:rPr>
          <w:sz w:val="16"/>
          <w:szCs w:val="16"/>
          <w:highlight w:val="green"/>
          <w:lang w:val="en-GB"/>
        </w:rPr>
      </w:pPr>
      <w:r w:rsidRPr="005B2F71">
        <w:rPr>
          <w:highlight w:val="green"/>
          <w:lang w:val="en-GB"/>
        </w:rPr>
        <w:t xml:space="preserve">First, each member with joint market power must be able to know how other members behave in order to observe whether they are implementing common policies. It is not enough for each member of a joint power to know that interdependent market </w:t>
      </w:r>
      <w:r w:rsidR="00B134C3" w:rsidRPr="005B2F71">
        <w:rPr>
          <w:highlight w:val="green"/>
          <w:lang w:val="en-GB"/>
        </w:rPr>
        <w:t>behaviour</w:t>
      </w:r>
      <w:r w:rsidRPr="005B2F71">
        <w:rPr>
          <w:highlight w:val="green"/>
          <w:lang w:val="en-GB"/>
        </w:rPr>
        <w:t xml:space="preserve"> is beneficial to all of them, each member must also be able to know that another operator has the same strategy and is following it. Therefore, there must be sufficient market transparency so that each participant of the Tacit collusion can sufficiently accurately and quickly receive information on how the market behavio</w:t>
      </w:r>
      <w:r w:rsidR="00A01B91">
        <w:rPr>
          <w:highlight w:val="green"/>
          <w:lang w:val="en-GB"/>
        </w:rPr>
        <w:t>u</w:t>
      </w:r>
      <w:r w:rsidRPr="005B2F71">
        <w:rPr>
          <w:highlight w:val="green"/>
          <w:lang w:val="en-GB"/>
        </w:rPr>
        <w:t>r of other members is developing (Transparency).</w:t>
      </w:r>
    </w:p>
    <w:p w14:paraId="63AF5CDA" w14:textId="4F692149" w:rsidR="00355738" w:rsidRPr="005B2F71" w:rsidRDefault="00355738" w:rsidP="006067AA">
      <w:pPr>
        <w:pStyle w:val="ListParagraph"/>
        <w:numPr>
          <w:ilvl w:val="0"/>
          <w:numId w:val="114"/>
        </w:numPr>
        <w:spacing w:before="120" w:after="0" w:line="240" w:lineRule="auto"/>
        <w:contextualSpacing w:val="0"/>
        <w:jc w:val="both"/>
        <w:rPr>
          <w:highlight w:val="green"/>
          <w:lang w:val="en-GB"/>
        </w:rPr>
      </w:pPr>
      <w:r w:rsidRPr="005B2F71">
        <w:rPr>
          <w:highlight w:val="green"/>
          <w:lang w:val="en-GB"/>
        </w:rPr>
        <w:t xml:space="preserve">Second - the circumstances of the tacit  collusion must be sustainable, in particular there must be sufficient encouraging/incentive factors, so that there is no deviation from the common agreed policy. This is the case when maintaining the agreed </w:t>
      </w:r>
      <w:r w:rsidR="00A01B91" w:rsidRPr="005B2F71">
        <w:rPr>
          <w:highlight w:val="green"/>
          <w:lang w:val="en-GB"/>
        </w:rPr>
        <w:t>behavio</w:t>
      </w:r>
      <w:r w:rsidR="00A01B91">
        <w:rPr>
          <w:highlight w:val="green"/>
          <w:lang w:val="en-GB"/>
        </w:rPr>
        <w:t>u</w:t>
      </w:r>
      <w:r w:rsidR="00A01B91" w:rsidRPr="005B2F71">
        <w:rPr>
          <w:highlight w:val="green"/>
          <w:lang w:val="en-GB"/>
        </w:rPr>
        <w:t xml:space="preserve">r </w:t>
      </w:r>
      <w:r w:rsidRPr="005B2F71">
        <w:rPr>
          <w:highlight w:val="green"/>
          <w:lang w:val="en-GB"/>
        </w:rPr>
        <w:t>is beneficial for all members. Based on the above, the concept of repercussions (retaliation) for behavio</w:t>
      </w:r>
      <w:r w:rsidR="00A01B91">
        <w:rPr>
          <w:highlight w:val="green"/>
          <w:lang w:val="en-GB"/>
        </w:rPr>
        <w:t>u</w:t>
      </w:r>
      <w:r w:rsidRPr="005B2F71">
        <w:rPr>
          <w:highlight w:val="green"/>
          <w:lang w:val="en-GB"/>
        </w:rPr>
        <w:t>r deviating from the common policy is characteristic of this situation. In order for the situation of joint significant market power to be viable, there must be adequate deterrent mechanisms to ensure the existence of long-term incentive mechanisms so that the member with joint market power does not deviate from the common policy, which means that each member must know that highly competitive action on its part aimed at increasing its market share will provoke identical actions by others, thus it will not benefit from the mentioned initiative (Sustainability).</w:t>
      </w:r>
    </w:p>
    <w:p w14:paraId="598A14A0" w14:textId="1975B6C4" w:rsidR="00355738" w:rsidRPr="005B2F71" w:rsidRDefault="00355738" w:rsidP="006067AA">
      <w:pPr>
        <w:pStyle w:val="ListParagraph"/>
        <w:numPr>
          <w:ilvl w:val="0"/>
          <w:numId w:val="114"/>
        </w:numPr>
        <w:spacing w:before="120" w:after="0" w:line="240" w:lineRule="auto"/>
        <w:contextualSpacing w:val="0"/>
        <w:jc w:val="both"/>
        <w:rPr>
          <w:highlight w:val="green"/>
          <w:lang w:val="en-GB"/>
        </w:rPr>
      </w:pPr>
      <w:r w:rsidRPr="005B2F71">
        <w:rPr>
          <w:highlight w:val="green"/>
          <w:lang w:val="en-GB"/>
        </w:rPr>
        <w:t>Third - it must be proven that existing or potential competitors or customers cannot threaten the benefits that authori</w:t>
      </w:r>
      <w:r w:rsidR="001B67B9">
        <w:rPr>
          <w:highlight w:val="green"/>
          <w:lang w:val="en-GB"/>
        </w:rPr>
        <w:t>s</w:t>
      </w:r>
      <w:r w:rsidRPr="005B2F71">
        <w:rPr>
          <w:highlight w:val="green"/>
          <w:lang w:val="en-GB"/>
        </w:rPr>
        <w:t>ed persons participating in tacit coordination expect from the common policy (absence of externalities).</w:t>
      </w:r>
    </w:p>
    <w:p w14:paraId="21461A84" w14:textId="19B5DCFD" w:rsidR="00355738" w:rsidRPr="005B2F71" w:rsidRDefault="00355738" w:rsidP="006067AA">
      <w:pPr>
        <w:spacing w:before="120" w:after="0" w:line="240" w:lineRule="auto"/>
        <w:ind w:left="360"/>
        <w:jc w:val="both"/>
        <w:rPr>
          <w:highlight w:val="green"/>
          <w:lang w:val="en-GB"/>
        </w:rPr>
      </w:pPr>
      <w:r w:rsidRPr="005B2F71">
        <w:rPr>
          <w:sz w:val="16"/>
          <w:szCs w:val="16"/>
          <w:highlight w:val="green"/>
          <w:lang w:val="en-GB"/>
        </w:rPr>
        <w:t xml:space="preserve">5. </w:t>
      </w:r>
      <w:r w:rsidRPr="005B2F71">
        <w:rPr>
          <w:highlight w:val="green"/>
          <w:lang w:val="en-GB"/>
        </w:rPr>
        <w:t>When determining the condition of sufficient transparency in the relevant market segment, the Commission shall examine and evaluate the following circumstances:</w:t>
      </w:r>
    </w:p>
    <w:p w14:paraId="1973EC02" w14:textId="77777777" w:rsidR="00355738" w:rsidRPr="005B2F71" w:rsidRDefault="00355738" w:rsidP="00AB67A3">
      <w:pPr>
        <w:pStyle w:val="ListParagraph"/>
        <w:numPr>
          <w:ilvl w:val="0"/>
          <w:numId w:val="115"/>
        </w:numPr>
        <w:spacing w:before="120" w:after="0" w:line="240" w:lineRule="auto"/>
        <w:contextualSpacing w:val="0"/>
        <w:jc w:val="both"/>
        <w:rPr>
          <w:sz w:val="20"/>
          <w:szCs w:val="20"/>
          <w:highlight w:val="green"/>
          <w:lang w:val="en-GB"/>
        </w:rPr>
      </w:pPr>
      <w:r w:rsidRPr="005B2F71">
        <w:rPr>
          <w:highlight w:val="green"/>
          <w:lang w:val="en-GB"/>
        </w:rPr>
        <w:t xml:space="preserve">Whether or not there are strong incentives in the market for operators to act in concert and refrain from relying on anticompetitive behaviour is the case where the long-term benefits of anticompetitive behaviour </w:t>
      </w:r>
      <w:r w:rsidRPr="005B2F71">
        <w:rPr>
          <w:sz w:val="20"/>
          <w:szCs w:val="20"/>
          <w:highlight w:val="green"/>
          <w:lang w:val="en-GB"/>
        </w:rPr>
        <w:t>outweigh any short-term benefits derived from competitive behaviour.</w:t>
      </w:r>
    </w:p>
    <w:p w14:paraId="0F31C918" w14:textId="77777777" w:rsidR="00355738" w:rsidRPr="005B2F71" w:rsidRDefault="00355738" w:rsidP="00AB67A3">
      <w:pPr>
        <w:pStyle w:val="ListParagraph"/>
        <w:numPr>
          <w:ilvl w:val="0"/>
          <w:numId w:val="115"/>
        </w:numPr>
        <w:spacing w:before="120" w:after="0" w:line="240" w:lineRule="auto"/>
        <w:contextualSpacing w:val="0"/>
        <w:jc w:val="both"/>
        <w:rPr>
          <w:sz w:val="20"/>
          <w:szCs w:val="20"/>
          <w:highlight w:val="green"/>
          <w:lang w:val="en-GB"/>
        </w:rPr>
      </w:pPr>
      <w:r w:rsidRPr="005B2F71">
        <w:rPr>
          <w:sz w:val="20"/>
          <w:szCs w:val="20"/>
          <w:highlight w:val="green"/>
          <w:lang w:val="en-GB"/>
        </w:rPr>
        <w:t>In the context of the assessment of the existence of joint significant market power, in addition to the criteria described in paragraph 4 of this article, close convergence of prices over a long period, especially if they are above the competitive level, together with other factors characteristic of joint market power, in the absence of an alternative reasonable explanation, is sufficient to demonstrate the existence of joint significant market power, even in the absence of clear direct evidence of market transparency, as such transparency can be inferred. An examination of such circumstances should be carried out based on an analysis of possible strategies for credible coordination. The detection of the coordination mechanism is not necessary in this case, although it may take place,</w:t>
      </w:r>
      <w:r w:rsidRPr="005B2F71">
        <w:rPr>
          <w:sz w:val="20"/>
          <w:szCs w:val="20"/>
          <w:lang w:val="en-GB"/>
        </w:rPr>
        <w:t xml:space="preserve"> </w:t>
      </w:r>
      <w:r w:rsidRPr="005B2F71">
        <w:rPr>
          <w:sz w:val="20"/>
          <w:szCs w:val="20"/>
          <w:highlight w:val="green"/>
          <w:lang w:val="en-GB"/>
        </w:rPr>
        <w:t>especially if the characteristics of the market have not changed significantly and/or it is unlikely that this will happen before the next market review period;</w:t>
      </w:r>
    </w:p>
    <w:p w14:paraId="7EE2AEEE" w14:textId="324A5F01" w:rsidR="00355738" w:rsidRPr="005B2F71" w:rsidRDefault="00355738" w:rsidP="00AB67A3">
      <w:pPr>
        <w:pStyle w:val="ListParagraph"/>
        <w:numPr>
          <w:ilvl w:val="0"/>
          <w:numId w:val="115"/>
        </w:numPr>
        <w:spacing w:before="120" w:after="0" w:line="240" w:lineRule="auto"/>
        <w:contextualSpacing w:val="0"/>
        <w:jc w:val="both"/>
        <w:rPr>
          <w:sz w:val="20"/>
          <w:szCs w:val="20"/>
          <w:highlight w:val="green"/>
          <w:lang w:val="en-GB"/>
        </w:rPr>
      </w:pPr>
      <w:r w:rsidRPr="005B2F71">
        <w:rPr>
          <w:sz w:val="20"/>
          <w:szCs w:val="20"/>
          <w:highlight w:val="green"/>
          <w:lang w:val="en-GB"/>
        </w:rPr>
        <w:t>When the past behavio</w:t>
      </w:r>
      <w:r w:rsidR="00A01B91">
        <w:rPr>
          <w:sz w:val="20"/>
          <w:szCs w:val="20"/>
          <w:highlight w:val="green"/>
          <w:lang w:val="en-GB"/>
        </w:rPr>
        <w:t>u</w:t>
      </w:r>
      <w:r w:rsidRPr="005B2F71">
        <w:rPr>
          <w:sz w:val="20"/>
          <w:szCs w:val="20"/>
          <w:highlight w:val="green"/>
          <w:lang w:val="en-GB"/>
        </w:rPr>
        <w:t>r of market participants indicates to the regulator the dynamics of the likely development of the market for the future review period, the Commission should take into account the fact that even in the presence of the regulation, the imposition of tariff regulation on wholesale access products may not be a sufficient explanation for price convergence at the retail level for a long period. Such concurrence, in the absence of an alternative reasonable explanation, may be indicative of tacitly coordinated behavio</w:t>
      </w:r>
      <w:r w:rsidR="00A01B91">
        <w:rPr>
          <w:sz w:val="20"/>
          <w:szCs w:val="20"/>
          <w:highlight w:val="green"/>
          <w:lang w:val="en-GB"/>
        </w:rPr>
        <w:t>u</w:t>
      </w:r>
      <w:r w:rsidRPr="005B2F71">
        <w:rPr>
          <w:sz w:val="20"/>
          <w:szCs w:val="20"/>
          <w:highlight w:val="green"/>
          <w:lang w:val="en-GB"/>
        </w:rPr>
        <w:t>r if there are other factors characteristic of joint significant market power. In addition to the specific obligations of tariff regulation, an alternative reasonable explanation can be, for example, economic in nature, if the price level is derived from the cost structure in the market;</w:t>
      </w:r>
    </w:p>
    <w:p w14:paraId="01EEDAE6" w14:textId="762830BD" w:rsidR="00355738" w:rsidRPr="005B2F71" w:rsidRDefault="00355738" w:rsidP="00AB67A3">
      <w:pPr>
        <w:pStyle w:val="ListParagraph"/>
        <w:numPr>
          <w:ilvl w:val="0"/>
          <w:numId w:val="115"/>
        </w:numPr>
        <w:spacing w:before="120" w:after="0" w:line="240" w:lineRule="auto"/>
        <w:contextualSpacing w:val="0"/>
        <w:jc w:val="both"/>
        <w:rPr>
          <w:sz w:val="20"/>
          <w:szCs w:val="20"/>
          <w:highlight w:val="green"/>
          <w:lang w:val="en-GB"/>
        </w:rPr>
      </w:pPr>
      <w:r w:rsidRPr="005B2F71">
        <w:rPr>
          <w:sz w:val="20"/>
          <w:szCs w:val="20"/>
          <w:highlight w:val="green"/>
          <w:lang w:val="en-GB"/>
        </w:rPr>
        <w:t>In order to assess the condition of transparency in the electronic communications market, where barriers to entry for new entrants are typically high, the refusal of network owners to grant wholesale access on reasonable terms may be the focal point of a common policy adopted by oligopoly participants. Such a refusal by network operators may indicate the existence of a common policy, which is taken into account, among other factors, when carrying out a joint significant market power analysis. A focal point based on the denial of access may be established in the case of operators, regardless of whether they are subject to an obligation to provide access, taking into consideration specific conditions. Such conditions include a general incentive to maintain unreasonably high profits in retail markets, which would be considered by the regulator to be disproportionate to the investment made and the risks incurred.</w:t>
      </w:r>
    </w:p>
    <w:p w14:paraId="43506B7E" w14:textId="75744F44" w:rsidR="00355738" w:rsidRPr="005B2F71" w:rsidRDefault="00355738" w:rsidP="00AB67A3">
      <w:pPr>
        <w:pStyle w:val="ListParagraph"/>
        <w:numPr>
          <w:ilvl w:val="0"/>
          <w:numId w:val="118"/>
        </w:numPr>
        <w:spacing w:before="120" w:after="0" w:line="240" w:lineRule="auto"/>
        <w:jc w:val="both"/>
        <w:rPr>
          <w:highlight w:val="green"/>
          <w:lang w:val="en-GB"/>
        </w:rPr>
      </w:pPr>
      <w:r w:rsidRPr="005B2F71">
        <w:rPr>
          <w:highlight w:val="green"/>
          <w:lang w:val="en-GB"/>
        </w:rPr>
        <w:t>In order to assess the condition of sustainability, the Commission shall investigate and evaluate the following circumstances:</w:t>
      </w:r>
    </w:p>
    <w:p w14:paraId="7F38949E" w14:textId="77777777" w:rsidR="00355738" w:rsidRPr="005B2F71" w:rsidRDefault="00355738" w:rsidP="00AB67A3">
      <w:pPr>
        <w:pStyle w:val="ListParagraph"/>
        <w:numPr>
          <w:ilvl w:val="0"/>
          <w:numId w:val="116"/>
        </w:numPr>
        <w:spacing w:before="120" w:after="0" w:line="240" w:lineRule="auto"/>
        <w:jc w:val="both"/>
        <w:rPr>
          <w:highlight w:val="green"/>
          <w:lang w:val="en-GB"/>
        </w:rPr>
      </w:pPr>
      <w:r w:rsidRPr="005B2F71">
        <w:rPr>
          <w:highlight w:val="green"/>
          <w:lang w:val="en-GB"/>
        </w:rPr>
        <w:t>For the common policy to be sustainable over time, each member of the oligopoly must have an incentive not to deviate from the terms of coordination. This follows from the fact that members of a dominant oligopoly can only benefit if each of them maintains parallel behaviour.</w:t>
      </w:r>
    </w:p>
    <w:p w14:paraId="38AA6C0F" w14:textId="77777777" w:rsidR="00355738" w:rsidRPr="005B2F71" w:rsidRDefault="00355738" w:rsidP="00AB67A3">
      <w:pPr>
        <w:spacing w:before="120" w:after="0" w:line="240" w:lineRule="auto"/>
        <w:ind w:left="1080" w:hanging="360"/>
        <w:rPr>
          <w:highlight w:val="green"/>
          <w:lang w:val="en-GB"/>
        </w:rPr>
      </w:pPr>
      <w:r w:rsidRPr="005B2F71">
        <w:rPr>
          <w:highlight w:val="green"/>
          <w:lang w:val="en-GB"/>
        </w:rPr>
        <w:t>a.a)  In order to ensure the stability of the coordination mechanism, it is necessary to have a convincing threat of the reaction (retaliatory) mechanism. For example, the presence of countervailing (retaliatory) mechanisms on the part of operators with joint significant market power, among other circumstances, may indicate the emergence of a short-term price war between two or more companies in the main or other related retail market segment;</w:t>
      </w:r>
    </w:p>
    <w:p w14:paraId="7D003C42" w14:textId="77777777" w:rsidR="00355738" w:rsidRPr="005B2F71" w:rsidRDefault="00355738" w:rsidP="00AB67A3">
      <w:pPr>
        <w:pStyle w:val="ListParagraph"/>
        <w:numPr>
          <w:ilvl w:val="0"/>
          <w:numId w:val="116"/>
        </w:numPr>
        <w:spacing w:before="120" w:after="0" w:line="240" w:lineRule="auto"/>
        <w:jc w:val="both"/>
        <w:rPr>
          <w:highlight w:val="green"/>
          <w:lang w:val="en-GB"/>
        </w:rPr>
      </w:pPr>
      <w:r w:rsidRPr="005B2F71">
        <w:rPr>
          <w:highlight w:val="green"/>
          <w:lang w:val="en-GB"/>
        </w:rPr>
        <w:t>The reaction of end-users, which results from price changes and is expressed by user portability or termination of service consumption, may indicate the existence of a counteraction (retaliatory) mechanism in a specific market segment;</w:t>
      </w:r>
    </w:p>
    <w:p w14:paraId="0D14B4C1" w14:textId="12B67111" w:rsidR="00355738" w:rsidRPr="005B2F71" w:rsidRDefault="00355738" w:rsidP="00AB67A3">
      <w:pPr>
        <w:pStyle w:val="ListParagraph"/>
        <w:numPr>
          <w:ilvl w:val="0"/>
          <w:numId w:val="118"/>
        </w:numPr>
        <w:spacing w:before="120" w:after="0" w:line="240" w:lineRule="auto"/>
        <w:jc w:val="both"/>
        <w:rPr>
          <w:sz w:val="20"/>
          <w:szCs w:val="20"/>
          <w:highlight w:val="green"/>
          <w:lang w:val="ka-GE"/>
        </w:rPr>
      </w:pPr>
      <w:r w:rsidRPr="005B2F71">
        <w:rPr>
          <w:sz w:val="20"/>
          <w:szCs w:val="20"/>
          <w:highlight w:val="green"/>
          <w:lang w:val="ka-GE"/>
        </w:rPr>
        <w:t>In order to assess the condition of the absence of externalities, the Commission shall investigate and evaluate the following circumstances:</w:t>
      </w:r>
    </w:p>
    <w:p w14:paraId="6E66FE7E" w14:textId="77777777" w:rsidR="00355738" w:rsidRPr="005B2F71" w:rsidRDefault="00355738" w:rsidP="00AB67A3">
      <w:pPr>
        <w:pStyle w:val="ListParagraph"/>
        <w:numPr>
          <w:ilvl w:val="0"/>
          <w:numId w:val="117"/>
        </w:numPr>
        <w:spacing w:before="120" w:after="0" w:line="240" w:lineRule="auto"/>
        <w:jc w:val="both"/>
        <w:rPr>
          <w:sz w:val="20"/>
          <w:szCs w:val="20"/>
          <w:highlight w:val="green"/>
          <w:lang w:val="ka-GE"/>
        </w:rPr>
      </w:pPr>
      <w:r w:rsidRPr="005B2F71">
        <w:rPr>
          <w:sz w:val="20"/>
          <w:szCs w:val="20"/>
          <w:highlight w:val="green"/>
          <w:lang w:val="ka-GE"/>
        </w:rPr>
        <w:t>In assessing externalities, the Commission must take into account competing economic undertakings or customers operating outside the oligopoly in the relevant market who have sufficient economic or purchasing power to threaten the tacit coordination mechanism;</w:t>
      </w:r>
    </w:p>
    <w:p w14:paraId="003E1253" w14:textId="77777777" w:rsidR="00355738" w:rsidRPr="005B2F71" w:rsidRDefault="00355738" w:rsidP="00AB67A3">
      <w:pPr>
        <w:pStyle w:val="ListParagraph"/>
        <w:numPr>
          <w:ilvl w:val="0"/>
          <w:numId w:val="117"/>
        </w:numPr>
        <w:spacing w:before="120" w:after="0" w:line="240" w:lineRule="auto"/>
        <w:jc w:val="both"/>
        <w:rPr>
          <w:sz w:val="20"/>
          <w:szCs w:val="20"/>
          <w:highlight w:val="green"/>
          <w:lang w:val="ka-GE"/>
        </w:rPr>
      </w:pPr>
      <w:r w:rsidRPr="005B2F71">
        <w:rPr>
          <w:sz w:val="20"/>
          <w:szCs w:val="20"/>
          <w:highlight w:val="green"/>
          <w:lang w:val="ka-GE"/>
        </w:rPr>
        <w:t>It should be assessed whether the economic agents behind tacit coordination (potential and existing competitors) have the ability to create a threat to the expected benefits of tacit coordination, taking into account the following parameters for assessing their market entry/expansion barriers: the relative share held by potential and existing competitors in the relevant market segment, economies of scale , the potential of entering the retail market segments of all products in demand for consumers, their relative strength in the main area of activity, etc..</w:t>
      </w:r>
    </w:p>
    <w:p w14:paraId="1FDE9791" w14:textId="2EB66A80" w:rsidR="00355738" w:rsidRPr="00844882" w:rsidRDefault="00355738" w:rsidP="00AB67A3">
      <w:pPr>
        <w:pStyle w:val="FootnoteText"/>
        <w:jc w:val="both"/>
        <w:rPr>
          <w:i/>
        </w:rPr>
      </w:pPr>
    </w:p>
  </w:footnote>
  <w:footnote w:id="96">
    <w:p w14:paraId="3416A0E8" w14:textId="3D6AF50F" w:rsidR="00355738" w:rsidRPr="000935A4" w:rsidRDefault="00355738" w:rsidP="000935A4">
      <w:pPr>
        <w:pStyle w:val="FootnoteText"/>
        <w:jc w:val="both"/>
        <w:rPr>
          <w:lang w:val="hr-HR"/>
        </w:rPr>
      </w:pPr>
      <w:r>
        <w:rPr>
          <w:rStyle w:val="FootnoteReference"/>
        </w:rPr>
        <w:footnoteRef/>
      </w:r>
      <w:r>
        <w:t xml:space="preserve"> </w:t>
      </w:r>
      <w:r w:rsidRPr="00FD56CA">
        <w:t xml:space="preserve">It should be highlighted, as already defined in the chapter 4.4, that the wholesale local and central access market is national in its geographical scope. The legal and regulatory conditions applying to the wholesale fixed local and central access market are the same in the whole territory of Georgia and the evidence of any different intensity of infrastructure competition in different settlements were not sufficient to define different geographical markets, </w:t>
      </w:r>
      <w:r>
        <w:t>but</w:t>
      </w:r>
      <w:r w:rsidRPr="00FD56CA">
        <w:t xml:space="preserve"> different competitive conditions could justify the segmentation of remedies based on different geographical areas.</w:t>
      </w:r>
    </w:p>
  </w:footnote>
  <w:footnote w:id="97">
    <w:p w14:paraId="0F60AC4B" w14:textId="51BAFECD" w:rsidR="00355738" w:rsidRPr="00FC3DC0" w:rsidRDefault="00355738" w:rsidP="00E82B0B">
      <w:pPr>
        <w:pStyle w:val="pf0"/>
        <w:spacing w:before="0" w:beforeAutospacing="0"/>
        <w:jc w:val="both"/>
        <w:rPr>
          <w:rFonts w:asciiTheme="minorHAnsi" w:hAnsiTheme="minorHAnsi" w:cstheme="minorHAnsi"/>
          <w:sz w:val="20"/>
          <w:szCs w:val="20"/>
        </w:rPr>
      </w:pPr>
      <w:r w:rsidRPr="00FC3DC0">
        <w:rPr>
          <w:rStyle w:val="FootnoteReference"/>
          <w:rFonts w:asciiTheme="minorHAnsi" w:hAnsiTheme="minorHAnsi" w:cstheme="minorHAnsi"/>
          <w:sz w:val="20"/>
          <w:szCs w:val="20"/>
        </w:rPr>
        <w:footnoteRef/>
      </w:r>
      <w:r w:rsidRPr="00FC3DC0">
        <w:rPr>
          <w:rFonts w:asciiTheme="minorHAnsi" w:hAnsiTheme="minorHAnsi" w:cstheme="minorHAnsi"/>
          <w:sz w:val="20"/>
          <w:szCs w:val="20"/>
        </w:rPr>
        <w:t xml:space="preserve"> </w:t>
      </w:r>
      <w:r w:rsidRPr="00FC3DC0">
        <w:rPr>
          <w:rFonts w:asciiTheme="minorHAnsi" w:eastAsia="Calibri" w:hAnsiTheme="minorHAnsi" w:cstheme="minorHAnsi"/>
          <w:sz w:val="20"/>
          <w:szCs w:val="20"/>
          <w:lang w:eastAsia="en-US"/>
        </w:rPr>
        <w:t>Examples of differentiation of regulatory remedies used in the wholesale market for local and central access are: Market 3a: Slovenia, UK (according to Cullen International) – slightly relaxed charge control, Italy (Milan and rest of Italy, Cyprus, Spain, Belgium has it in decision, but so far there is no area which fulfils conditions, Market 3b: Slovenia, France, Italy</w:t>
      </w:r>
    </w:p>
    <w:p w14:paraId="0ABE660F" w14:textId="77777777" w:rsidR="00355738" w:rsidRPr="00775B54" w:rsidRDefault="00355738" w:rsidP="00A0244C">
      <w:pPr>
        <w:pStyle w:val="FootnoteText"/>
        <w:rPr>
          <w:lang w:val="en-GB"/>
        </w:rPr>
      </w:pPr>
    </w:p>
  </w:footnote>
  <w:footnote w:id="98">
    <w:p w14:paraId="1CF4FDA6" w14:textId="5052BFC5" w:rsidR="00355738" w:rsidRPr="00774D26" w:rsidRDefault="00355738" w:rsidP="001C390C">
      <w:pPr>
        <w:pStyle w:val="FootnoteText"/>
        <w:jc w:val="both"/>
        <w:rPr>
          <w:lang w:val="hr-HR"/>
        </w:rPr>
      </w:pPr>
      <w:r w:rsidRPr="00783ADF">
        <w:rPr>
          <w:rStyle w:val="FootnoteReference"/>
        </w:rPr>
        <w:footnoteRef/>
      </w:r>
      <w:r w:rsidRPr="00783ADF">
        <w:t xml:space="preserve"> The 10% threshold is borrowed from EU competition law (Article 101(1) TFEU - (prohibition of restrictive agreements), under which agreements between competitors of which the joint market share does not exceed 10% is deemed to have no appreciable impact on competition. Similarly, a third operator’s share of subscribers below 10% at settlement level cannot be deemed significant enough to conclude that the settlement is contestable.</w:t>
      </w:r>
    </w:p>
  </w:footnote>
  <w:footnote w:id="99">
    <w:p w14:paraId="571103A8" w14:textId="5D358C4C" w:rsidR="00355738" w:rsidRPr="00225D40" w:rsidRDefault="00355738">
      <w:pPr>
        <w:pStyle w:val="FootnoteText"/>
      </w:pPr>
      <w:r>
        <w:rPr>
          <w:rStyle w:val="FootnoteReference"/>
        </w:rPr>
        <w:footnoteRef/>
      </w:r>
      <w:r>
        <w:t xml:space="preserve"> </w:t>
      </w:r>
      <w:r w:rsidRPr="00C96399">
        <w:t>The</w:t>
      </w:r>
      <w:r>
        <w:t xml:space="preserve">re are no </w:t>
      </w:r>
      <w:r w:rsidRPr="00C96399">
        <w:t>settlement</w:t>
      </w:r>
      <w:r>
        <w:t xml:space="preserve">s with a population between 100,000 and </w:t>
      </w:r>
      <w:r w:rsidRPr="00C96399">
        <w:t>50,000 inhabitants</w:t>
      </w:r>
    </w:p>
  </w:footnote>
  <w:footnote w:id="100">
    <w:p w14:paraId="455DF264" w14:textId="77777777" w:rsidR="00355738" w:rsidRPr="004E42BE" w:rsidRDefault="00355738" w:rsidP="00A0244C">
      <w:pPr>
        <w:pStyle w:val="FootnoteText"/>
        <w:rPr>
          <w:lang w:val="sl-SI"/>
        </w:rPr>
      </w:pPr>
      <w:r>
        <w:rPr>
          <w:rStyle w:val="FootnoteReference"/>
        </w:rPr>
        <w:footnoteRef/>
      </w:r>
      <w:r>
        <w:t xml:space="preserve"> </w:t>
      </w:r>
      <w:hyperlink r:id="rId57" w:history="1">
        <w:r w:rsidRPr="006768B8">
          <w:rPr>
            <w:rStyle w:val="Hyperlink"/>
            <w:sz w:val="20"/>
          </w:rPr>
          <w:t>https://en.wikipedia.org/wiki/GPON</w:t>
        </w:r>
      </w:hyperlink>
    </w:p>
  </w:footnote>
  <w:footnote w:id="101">
    <w:p w14:paraId="4028AEDC" w14:textId="77777777" w:rsidR="00355738" w:rsidRPr="00324834" w:rsidRDefault="00355738" w:rsidP="00A0244C">
      <w:pPr>
        <w:pStyle w:val="FootnoteText"/>
        <w:rPr>
          <w:lang w:val="sl-SI"/>
        </w:rPr>
      </w:pPr>
      <w:r>
        <w:rPr>
          <w:rStyle w:val="FootnoteReference"/>
        </w:rPr>
        <w:footnoteRef/>
      </w:r>
      <w:r w:rsidRPr="00324834">
        <w:rPr>
          <w:lang w:val="sl-SI"/>
        </w:rPr>
        <w:t xml:space="preserve"> </w:t>
      </w:r>
      <w:hyperlink r:id="rId58" w:anchor=":~:text=What%20is%20a%20Split%20Ratio,(more%20on%20that%20later)" w:history="1">
        <w:r w:rsidRPr="00324834">
          <w:rPr>
            <w:rStyle w:val="Hyperlink"/>
            <w:sz w:val="20"/>
            <w:lang w:val="sl-SI"/>
          </w:rPr>
          <w:t>https://www.garlandtechnology.com/2014/02/14/split-ratios-and-loss-budget#:~:text=What%20is%20a%20Split%20Ratio,(more%20on%20that%20later)</w:t>
        </w:r>
      </w:hyperlink>
      <w:r w:rsidRPr="00324834">
        <w:rPr>
          <w:lang w:val="sl-SI"/>
        </w:rPr>
        <w:t>.</w:t>
      </w:r>
    </w:p>
  </w:footnote>
  <w:footnote w:id="102">
    <w:p w14:paraId="5984DB3E" w14:textId="0DCDECD8" w:rsidR="00355738" w:rsidRPr="003336AC" w:rsidRDefault="00355738" w:rsidP="00E82B0B">
      <w:pPr>
        <w:pStyle w:val="FootnoteText"/>
        <w:jc w:val="both"/>
        <w:rPr>
          <w:lang w:val="en-GB"/>
        </w:rPr>
      </w:pPr>
      <w:r w:rsidRPr="003336AC">
        <w:rPr>
          <w:rStyle w:val="FootnoteReference"/>
          <w:lang w:val="en-GB"/>
        </w:rPr>
        <w:footnoteRef/>
      </w:r>
      <w:r w:rsidRPr="003336AC">
        <w:rPr>
          <w:lang w:val="en-GB"/>
        </w:rPr>
        <w:t xml:space="preserve"> The coverage data of Akhali Kselebi Group are inaccurate. It is assumed that data about premises passed are in reality more than two times higher. However, Akhali Kselebi Group has less than 8% of market share. According to its market share and the fact, that approx. 40% of Akhali Kselebi Gorup's premises passed were reported, the total error is estimated less than 5%, what is accurate enough for the purpose of this analysis (see also chapter 6.3.5)</w:t>
      </w:r>
    </w:p>
  </w:footnote>
  <w:footnote w:id="103">
    <w:p w14:paraId="73C9012A" w14:textId="21556E3C" w:rsidR="00355738" w:rsidRPr="00E65640" w:rsidRDefault="00355738" w:rsidP="00C16E02">
      <w:pPr>
        <w:pStyle w:val="FootnoteText"/>
        <w:rPr>
          <w:lang w:val="en-GB"/>
        </w:rPr>
      </w:pPr>
      <w:r w:rsidRPr="00E65640">
        <w:rPr>
          <w:rStyle w:val="FootnoteReference"/>
          <w:lang w:val="en-GB"/>
        </w:rPr>
        <w:footnoteRef/>
      </w:r>
      <w:r w:rsidRPr="00E65640">
        <w:rPr>
          <w:lang w:val="en-GB"/>
        </w:rPr>
        <w:t xml:space="preserve"> By gross misuse (abuse) of the market advantage by the authorised undertaking with SMP</w:t>
      </w:r>
      <w:r w:rsidRPr="00E65640" w:rsidDel="00E67DE2">
        <w:rPr>
          <w:lang w:val="en-GB"/>
        </w:rPr>
        <w:t xml:space="preserve"> </w:t>
      </w:r>
    </w:p>
  </w:footnote>
  <w:footnote w:id="104">
    <w:p w14:paraId="013EA0E6" w14:textId="77777777" w:rsidR="00355738" w:rsidRPr="00397660" w:rsidRDefault="00355738">
      <w:pPr>
        <w:pStyle w:val="FootnoteText"/>
        <w:rPr>
          <w:lang w:val="sl-SI"/>
        </w:rPr>
      </w:pPr>
      <w:r>
        <w:rPr>
          <w:rStyle w:val="FootnoteReference"/>
        </w:rPr>
        <w:footnoteRef/>
      </w:r>
      <w:r w:rsidRPr="00397660">
        <w:rPr>
          <w:lang w:val="sl-SI"/>
        </w:rPr>
        <w:t xml:space="preserve"> </w:t>
      </w:r>
      <w:hyperlink r:id="rId59" w:history="1">
        <w:r w:rsidRPr="00397660">
          <w:rPr>
            <w:rStyle w:val="Hyperlink"/>
            <w:rFonts w:cs="Calibri"/>
            <w:sz w:val="18"/>
            <w:szCs w:val="18"/>
            <w:lang w:val="sl-SI"/>
          </w:rPr>
          <w:t>https://www.berec.europa.eu/sites/default/files/files/documents/erg_0330rev1_remedies_common_position.pdf</w:t>
        </w:r>
      </w:hyperlink>
      <w:r w:rsidRPr="00397660">
        <w:rPr>
          <w:rFonts w:cs="Calibri"/>
          <w:sz w:val="18"/>
          <w:szCs w:val="18"/>
          <w:lang w:val="sl-SI"/>
        </w:rPr>
        <w:t xml:space="preserve"> </w:t>
      </w:r>
    </w:p>
  </w:footnote>
  <w:footnote w:id="105">
    <w:p w14:paraId="5AAF35C0" w14:textId="77777777" w:rsidR="00355738" w:rsidRPr="00C72198" w:rsidRDefault="00355738">
      <w:pPr>
        <w:pStyle w:val="FootnoteText"/>
      </w:pPr>
      <w:r>
        <w:rPr>
          <w:rStyle w:val="FootnoteReference"/>
        </w:rPr>
        <w:footnoteRef/>
      </w:r>
      <w:r>
        <w:t xml:space="preserve"> </w:t>
      </w:r>
      <w:r w:rsidRPr="00C72198">
        <w:t>ERG (06) 33 Revised ERG Common Position on the approach to Appropriate remedies in the ECNS regulatory framework</w:t>
      </w:r>
      <w:r>
        <w:t xml:space="preserve"> (page 32)</w:t>
      </w:r>
    </w:p>
  </w:footnote>
  <w:footnote w:id="106">
    <w:p w14:paraId="4AB9A305" w14:textId="73AFCBA2" w:rsidR="00355738" w:rsidRPr="009113DD" w:rsidRDefault="00355738" w:rsidP="009113DD">
      <w:pPr>
        <w:pStyle w:val="FootnoteText"/>
        <w:jc w:val="both"/>
        <w:rPr>
          <w:lang w:val="hr-HR"/>
        </w:rPr>
      </w:pPr>
      <w:r w:rsidRPr="00384D6A">
        <w:rPr>
          <w:rStyle w:val="FootnoteReference"/>
        </w:rPr>
        <w:footnoteRef/>
      </w:r>
      <w:r w:rsidRPr="00384D6A">
        <w:t xml:space="preserve"> It should be emphasi</w:t>
      </w:r>
      <w:r w:rsidR="001B67B9">
        <w:t>s</w:t>
      </w:r>
      <w:r w:rsidRPr="00384D6A">
        <w:t>ed that those services do not form part of the market definition of this relevant market and the obligation imposed on Magticom to provide them is determined independently of possible SMP status on other relevant markets where those services form part of the market definition. Those services (ancillary services) are imposed in order to improve the basic obligation of access in this relevant market.</w:t>
      </w:r>
    </w:p>
  </w:footnote>
  <w:footnote w:id="107">
    <w:p w14:paraId="35E22C3D" w14:textId="644AEEB7" w:rsidR="00355738" w:rsidRPr="00667820" w:rsidRDefault="00355738" w:rsidP="009113DD">
      <w:pPr>
        <w:pStyle w:val="FootnoteText"/>
        <w:jc w:val="both"/>
        <w:rPr>
          <w:lang w:val="hr-HR"/>
        </w:rPr>
      </w:pPr>
      <w:r>
        <w:rPr>
          <w:rStyle w:val="FootnoteReference"/>
        </w:rPr>
        <w:footnoteRef/>
      </w:r>
      <w:r>
        <w:t xml:space="preserve"> Idem.</w:t>
      </w:r>
    </w:p>
  </w:footnote>
  <w:footnote w:id="108">
    <w:p w14:paraId="7D2AB5D6" w14:textId="5C19C069" w:rsidR="00355738" w:rsidRPr="00603F78" w:rsidRDefault="00355738" w:rsidP="00603F78">
      <w:pPr>
        <w:pStyle w:val="Default"/>
        <w:rPr>
          <w:rFonts w:ascii="Segoe UI" w:eastAsiaTheme="minorHAnsi" w:hAnsi="Segoe UI" w:cs="Segoe UI"/>
          <w:color w:val="000000"/>
          <w:szCs w:val="24"/>
        </w:rPr>
      </w:pPr>
      <w:r>
        <w:rPr>
          <w:rStyle w:val="FootnoteReference"/>
        </w:rPr>
        <w:footnoteRef/>
      </w:r>
      <w:r>
        <w:t xml:space="preserve"> </w:t>
      </w:r>
      <w:r w:rsidRPr="00603F78">
        <w:rPr>
          <w:rFonts w:ascii="Calibri" w:eastAsia="Calibri" w:hAnsi="Calibri"/>
          <w:sz w:val="20"/>
          <w:highlight w:val="yellow"/>
          <w:lang w:val="en-US" w:eastAsia="en-US"/>
        </w:rPr>
        <w:t>Subsidiaries (more than 50% shareholding and consolidated in the accounts) are part of the broader category of 'affiliated companies', together with companies on which the parent company can exercise a decisive influence, for example through a shareholder agreement with equity investors.</w:t>
      </w:r>
    </w:p>
  </w:footnote>
  <w:footnote w:id="109">
    <w:p w14:paraId="67DD6BDF" w14:textId="3F512014" w:rsidR="00355738" w:rsidRPr="005E2533" w:rsidRDefault="00355738" w:rsidP="00E82B0B">
      <w:pPr>
        <w:pStyle w:val="FootnoteText"/>
        <w:jc w:val="both"/>
        <w:rPr>
          <w:lang w:val="hr-HR"/>
        </w:rPr>
      </w:pPr>
      <w:r>
        <w:rPr>
          <w:rStyle w:val="FootnoteReference"/>
        </w:rPr>
        <w:footnoteRef/>
      </w:r>
      <w:r>
        <w:t xml:space="preserve"> </w:t>
      </w:r>
      <w:r w:rsidRPr="00F10F96">
        <w:t xml:space="preserve">Quality standards (e.g. deadlines for service activation, fault repair, etc.) </w:t>
      </w:r>
      <w:r>
        <w:t xml:space="preserve">should be in line </w:t>
      </w:r>
      <w:r w:rsidRPr="00F10F96">
        <w:t xml:space="preserve">with the service provision deadlines for retail users </w:t>
      </w:r>
    </w:p>
  </w:footnote>
  <w:footnote w:id="110">
    <w:p w14:paraId="1895CF4D" w14:textId="6969247B" w:rsidR="00355738" w:rsidRPr="00A84E29" w:rsidRDefault="00355738" w:rsidP="00A84E29">
      <w:pPr>
        <w:pStyle w:val="FootnoteText"/>
        <w:jc w:val="both"/>
        <w:rPr>
          <w:lang w:val="hr-HR"/>
        </w:rPr>
      </w:pPr>
      <w:r>
        <w:rPr>
          <w:rStyle w:val="FootnoteReference"/>
        </w:rPr>
        <w:footnoteRef/>
      </w:r>
      <w:r>
        <w:t xml:space="preserve"> </w:t>
      </w:r>
      <w:r w:rsidRPr="004253CC">
        <w:t xml:space="preserve">The term “reasonable demand” is legal term </w:t>
      </w:r>
      <w:r>
        <w:t xml:space="preserve">also </w:t>
      </w:r>
      <w:r w:rsidRPr="004253CC">
        <w:t>used in EU regulatory framework</w:t>
      </w:r>
      <w:r>
        <w:t xml:space="preserve">. If the regulated </w:t>
      </w:r>
      <w:r w:rsidRPr="004253CC">
        <w:t xml:space="preserve">operator </w:t>
      </w:r>
      <w:r>
        <w:t>claims</w:t>
      </w:r>
      <w:r w:rsidRPr="004253CC">
        <w:t xml:space="preserve"> that </w:t>
      </w:r>
      <w:r>
        <w:t>a specific demand is</w:t>
      </w:r>
      <w:r w:rsidRPr="004253CC">
        <w:t xml:space="preserve"> not reasonable, </w:t>
      </w:r>
      <w:r>
        <w:t xml:space="preserve">the access seeker will raise the matter to ComCom, which will assess the ‘reasonableness’ of the demand based on the factual circumstances at hand. </w:t>
      </w:r>
    </w:p>
  </w:footnote>
  <w:footnote w:id="111">
    <w:p w14:paraId="662609CD" w14:textId="7029C096" w:rsidR="00355738" w:rsidRPr="00810AC7" w:rsidRDefault="00355738" w:rsidP="00E82B0B">
      <w:pPr>
        <w:pStyle w:val="FootnoteText"/>
        <w:jc w:val="both"/>
      </w:pPr>
      <w:r>
        <w:rPr>
          <w:rStyle w:val="FootnoteReference"/>
        </w:rPr>
        <w:footnoteRef/>
      </w:r>
      <w:r>
        <w:t xml:space="preserve"> There will not be different reference offers of </w:t>
      </w:r>
      <w:r w:rsidR="00A01B91">
        <w:t xml:space="preserve">the </w:t>
      </w:r>
      <w:r>
        <w:t>SMP operator, but the differences between clusters will have to be clearly defined in the text of the reference offer.</w:t>
      </w:r>
    </w:p>
  </w:footnote>
  <w:footnote w:id="112">
    <w:p w14:paraId="3D427BD6" w14:textId="77777777" w:rsidR="00355738" w:rsidRPr="00996960" w:rsidRDefault="00355738" w:rsidP="00FD0C42">
      <w:pPr>
        <w:pStyle w:val="FootnoteText"/>
        <w:rPr>
          <w:lang w:val="hr-HR"/>
        </w:rPr>
      </w:pPr>
      <w:r>
        <w:rPr>
          <w:rStyle w:val="FootnoteReference"/>
        </w:rPr>
        <w:footnoteRef/>
      </w:r>
      <w:r>
        <w:t xml:space="preserve"> </w:t>
      </w:r>
      <w:r>
        <w:rPr>
          <w:lang w:val="hr-HR"/>
        </w:rPr>
        <w:t>Idem.</w:t>
      </w:r>
    </w:p>
  </w:footnote>
  <w:footnote w:id="113">
    <w:p w14:paraId="40B5F0AC" w14:textId="77777777" w:rsidR="00355738" w:rsidRPr="00455740" w:rsidRDefault="00355738" w:rsidP="00E82B0B">
      <w:pPr>
        <w:pStyle w:val="FootnoteText"/>
        <w:jc w:val="both"/>
        <w:rPr>
          <w:lang w:val="hr-HR"/>
        </w:rPr>
      </w:pPr>
      <w:r>
        <w:rPr>
          <w:rStyle w:val="FootnoteReference"/>
        </w:rPr>
        <w:footnoteRef/>
      </w:r>
      <w:r>
        <w:t xml:space="preserve"> </w:t>
      </w:r>
      <w:r w:rsidRPr="00455740">
        <w:t>The standard offer must in particular contain the information set out in the BEREC guidelines on the minimum standards for the standard offer.</w:t>
      </w:r>
    </w:p>
  </w:footnote>
  <w:footnote w:id="114">
    <w:p w14:paraId="764D80C6" w14:textId="0A35C0CF" w:rsidR="00355738" w:rsidRPr="00D237AF" w:rsidRDefault="00355738" w:rsidP="00903D5E">
      <w:pPr>
        <w:pStyle w:val="FootnoteText"/>
        <w:rPr>
          <w:lang w:val="sl-SI"/>
        </w:rPr>
      </w:pPr>
      <w:r>
        <w:rPr>
          <w:rStyle w:val="FootnoteReference"/>
        </w:rPr>
        <w:footnoteRef/>
      </w:r>
      <w:r>
        <w:t xml:space="preserve"> The number of premises passed is too low, but the error does not have any impact on the outcome of analysis.</w:t>
      </w:r>
    </w:p>
  </w:footnote>
  <w:footnote w:id="115">
    <w:p w14:paraId="16522611" w14:textId="4B328C3B" w:rsidR="00355738" w:rsidRPr="00D237AF" w:rsidRDefault="00355738" w:rsidP="00903D5E">
      <w:pPr>
        <w:pStyle w:val="FootnoteText"/>
        <w:rPr>
          <w:lang w:val="sl-SI"/>
        </w:rPr>
      </w:pPr>
      <w:r>
        <w:rPr>
          <w:rStyle w:val="FootnoteReference"/>
        </w:rPr>
        <w:footnoteRef/>
      </w:r>
      <w:r>
        <w:t xml:space="preserve"> The number of premises passed is too low, but the error does not have any impact on the outcome of analysis.</w:t>
      </w:r>
    </w:p>
  </w:footnote>
  <w:footnote w:id="116">
    <w:p w14:paraId="688B10A6" w14:textId="6D3A94C3" w:rsidR="00355738" w:rsidRPr="00D237AF" w:rsidRDefault="00355738" w:rsidP="00903D5E">
      <w:pPr>
        <w:pStyle w:val="FootnoteText"/>
        <w:rPr>
          <w:lang w:val="sl-SI"/>
        </w:rPr>
      </w:pPr>
      <w:r>
        <w:rPr>
          <w:rStyle w:val="FootnoteReference"/>
        </w:rPr>
        <w:footnoteRef/>
      </w:r>
      <w:r>
        <w:t xml:space="preserve"> </w:t>
      </w:r>
      <w:r>
        <w:rPr>
          <w:rStyle w:val="FootnoteReference"/>
        </w:rPr>
        <w:footnoteRef/>
      </w:r>
      <w:r>
        <w:t xml:space="preserve"> The number of premises passed is too low, but the error does not have any impact on the outcome of analysis.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F617A9C"/>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2D03848"/>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65BB098"/>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770BE4"/>
    <w:multiLevelType w:val="hybridMultilevel"/>
    <w:tmpl w:val="DBF8510C"/>
    <w:lvl w:ilvl="0" w:tplc="080C0017">
      <w:start w:val="1"/>
      <w:numFmt w:val="lowerLetter"/>
      <w:lvlText w:val="%1)"/>
      <w:lvlJc w:val="left"/>
      <w:pPr>
        <w:ind w:left="1080" w:hanging="720"/>
      </w:pPr>
      <w:rPr>
        <w:rFonts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4" w15:restartNumberingAfterBreak="0">
    <w:nsid w:val="03F16D2D"/>
    <w:multiLevelType w:val="hybridMultilevel"/>
    <w:tmpl w:val="12246FA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15:restartNumberingAfterBreak="0">
    <w:nsid w:val="061C099E"/>
    <w:multiLevelType w:val="hybridMultilevel"/>
    <w:tmpl w:val="5A40CD9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6905DAA"/>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6A77338"/>
    <w:multiLevelType w:val="hybridMultilevel"/>
    <w:tmpl w:val="F9B079B6"/>
    <w:lvl w:ilvl="0" w:tplc="840E9524">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7E75A28"/>
    <w:multiLevelType w:val="hybridMultilevel"/>
    <w:tmpl w:val="A1D84F6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07E810DA"/>
    <w:multiLevelType w:val="hybridMultilevel"/>
    <w:tmpl w:val="0C2A22A2"/>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 w15:restartNumberingAfterBreak="0">
    <w:nsid w:val="088743C8"/>
    <w:multiLevelType w:val="hybridMultilevel"/>
    <w:tmpl w:val="1C5A1ED6"/>
    <w:lvl w:ilvl="0" w:tplc="FFFFFFFF">
      <w:start w:val="1"/>
      <w:numFmt w:val="lowerRoman"/>
      <w:lvlText w:val="%1."/>
      <w:lvlJc w:val="right"/>
      <w:pPr>
        <w:ind w:left="780" w:hanging="360"/>
      </w:pPr>
      <w:rPr>
        <w:rFont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1" w15:restartNumberingAfterBreak="0">
    <w:nsid w:val="09537042"/>
    <w:multiLevelType w:val="multilevel"/>
    <w:tmpl w:val="AA68D1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95C46C3"/>
    <w:multiLevelType w:val="hybridMultilevel"/>
    <w:tmpl w:val="DB002CE0"/>
    <w:lvl w:ilvl="0" w:tplc="0409001B">
      <w:start w:val="1"/>
      <w:numFmt w:val="low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98A21E6"/>
    <w:multiLevelType w:val="hybridMultilevel"/>
    <w:tmpl w:val="360A7A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9FF32CE"/>
    <w:multiLevelType w:val="hybridMultilevel"/>
    <w:tmpl w:val="728E2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A5CAA0D"/>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F23719E"/>
    <w:multiLevelType w:val="hybridMultilevel"/>
    <w:tmpl w:val="3F6A424C"/>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17" w15:restartNumberingAfterBreak="0">
    <w:nsid w:val="1192467E"/>
    <w:multiLevelType w:val="hybridMultilevel"/>
    <w:tmpl w:val="DC462424"/>
    <w:lvl w:ilvl="0" w:tplc="04090001">
      <w:start w:val="1"/>
      <w:numFmt w:val="bullet"/>
      <w:lvlText w:val=""/>
      <w:lvlJc w:val="left"/>
      <w:pPr>
        <w:ind w:left="720" w:hanging="360"/>
      </w:pPr>
      <w:rPr>
        <w:rFonts w:ascii="Symbol" w:hAnsi="Symbol" w:hint="default"/>
      </w:rPr>
    </w:lvl>
    <w:lvl w:ilvl="1" w:tplc="396668D4">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2BF6557"/>
    <w:multiLevelType w:val="hybridMultilevel"/>
    <w:tmpl w:val="0B5623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2EA3D01"/>
    <w:multiLevelType w:val="hybridMultilevel"/>
    <w:tmpl w:val="40C2AE2E"/>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16FA3266"/>
    <w:multiLevelType w:val="multilevel"/>
    <w:tmpl w:val="4E080906"/>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b w:val="0"/>
        <w:bCs w:val="0"/>
        <w:i w:val="0"/>
        <w:iCs w:val="0"/>
        <w:color w:val="auto"/>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93F4369"/>
    <w:multiLevelType w:val="hybridMultilevel"/>
    <w:tmpl w:val="90127EF4"/>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98C48FB"/>
    <w:multiLevelType w:val="hybridMultilevel"/>
    <w:tmpl w:val="1AD6DFAA"/>
    <w:lvl w:ilvl="0" w:tplc="080C0017">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15:restartNumberingAfterBreak="0">
    <w:nsid w:val="19B03CAA"/>
    <w:multiLevelType w:val="multilevel"/>
    <w:tmpl w:val="5C70AE9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1A100C5D"/>
    <w:multiLevelType w:val="hybridMultilevel"/>
    <w:tmpl w:val="1F1CD9F2"/>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5" w15:restartNumberingAfterBreak="0">
    <w:nsid w:val="1D8C4702"/>
    <w:multiLevelType w:val="multilevel"/>
    <w:tmpl w:val="FAC64BAC"/>
    <w:lvl w:ilvl="0">
      <w:start w:val="1"/>
      <w:numFmt w:val="decimal"/>
      <w:lvlText w:val="%1."/>
      <w:lvlJc w:val="left"/>
      <w:pPr>
        <w:ind w:left="570" w:hanging="570"/>
      </w:pPr>
      <w:rPr>
        <w:rFonts w:hint="default"/>
      </w:rPr>
    </w:lvl>
    <w:lvl w:ilvl="1">
      <w:start w:val="3"/>
      <w:numFmt w:val="decimal"/>
      <w:lvlText w:val="%1.%2."/>
      <w:lvlJc w:val="left"/>
      <w:pPr>
        <w:ind w:left="1002" w:hanging="57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6" w15:restartNumberingAfterBreak="0">
    <w:nsid w:val="1E140A90"/>
    <w:multiLevelType w:val="hybridMultilevel"/>
    <w:tmpl w:val="6908D9F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7" w15:restartNumberingAfterBreak="0">
    <w:nsid w:val="1E95708D"/>
    <w:multiLevelType w:val="hybridMultilevel"/>
    <w:tmpl w:val="DE1433D6"/>
    <w:lvl w:ilvl="0" w:tplc="08090017">
      <w:start w:val="1"/>
      <w:numFmt w:val="lowerLetter"/>
      <w:lvlText w:val="%1)"/>
      <w:lvlJc w:val="left"/>
      <w:pPr>
        <w:ind w:left="1134" w:hanging="360"/>
      </w:pPr>
      <w:rPr>
        <w:rFonts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abstractNum w:abstractNumId="28" w15:restartNumberingAfterBreak="0">
    <w:nsid w:val="20023207"/>
    <w:multiLevelType w:val="hybridMultilevel"/>
    <w:tmpl w:val="CBE6D2C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9" w15:restartNumberingAfterBreak="0">
    <w:nsid w:val="2066236D"/>
    <w:multiLevelType w:val="hybridMultilevel"/>
    <w:tmpl w:val="75ACB4C0"/>
    <w:lvl w:ilvl="0" w:tplc="0424000F">
      <w:start w:val="1"/>
      <w:numFmt w:val="decimal"/>
      <w:lvlText w:val="%1."/>
      <w:lvlJc w:val="left"/>
      <w:pPr>
        <w:ind w:left="768" w:hanging="360"/>
      </w:pPr>
    </w:lvl>
    <w:lvl w:ilvl="1" w:tplc="04240019">
      <w:start w:val="1"/>
      <w:numFmt w:val="lowerLetter"/>
      <w:lvlText w:val="%2."/>
      <w:lvlJc w:val="left"/>
      <w:pPr>
        <w:ind w:left="1488" w:hanging="360"/>
      </w:pPr>
    </w:lvl>
    <w:lvl w:ilvl="2" w:tplc="0424001B">
      <w:start w:val="1"/>
      <w:numFmt w:val="lowerRoman"/>
      <w:lvlText w:val="%3."/>
      <w:lvlJc w:val="right"/>
      <w:pPr>
        <w:ind w:left="2208" w:hanging="180"/>
      </w:pPr>
    </w:lvl>
    <w:lvl w:ilvl="3" w:tplc="0424000F">
      <w:start w:val="1"/>
      <w:numFmt w:val="decimal"/>
      <w:lvlText w:val="%4."/>
      <w:lvlJc w:val="left"/>
      <w:pPr>
        <w:ind w:left="2928" w:hanging="360"/>
      </w:pPr>
    </w:lvl>
    <w:lvl w:ilvl="4" w:tplc="04240019">
      <w:start w:val="1"/>
      <w:numFmt w:val="lowerLetter"/>
      <w:lvlText w:val="%5."/>
      <w:lvlJc w:val="left"/>
      <w:pPr>
        <w:ind w:left="3648" w:hanging="360"/>
      </w:pPr>
    </w:lvl>
    <w:lvl w:ilvl="5" w:tplc="0424001B">
      <w:start w:val="1"/>
      <w:numFmt w:val="lowerRoman"/>
      <w:lvlText w:val="%6."/>
      <w:lvlJc w:val="right"/>
      <w:pPr>
        <w:ind w:left="4368" w:hanging="180"/>
      </w:pPr>
    </w:lvl>
    <w:lvl w:ilvl="6" w:tplc="0424000F">
      <w:start w:val="1"/>
      <w:numFmt w:val="decimal"/>
      <w:lvlText w:val="%7."/>
      <w:lvlJc w:val="left"/>
      <w:pPr>
        <w:ind w:left="5088" w:hanging="360"/>
      </w:pPr>
    </w:lvl>
    <w:lvl w:ilvl="7" w:tplc="04240019">
      <w:start w:val="1"/>
      <w:numFmt w:val="lowerLetter"/>
      <w:lvlText w:val="%8."/>
      <w:lvlJc w:val="left"/>
      <w:pPr>
        <w:ind w:left="5808" w:hanging="360"/>
      </w:pPr>
    </w:lvl>
    <w:lvl w:ilvl="8" w:tplc="0424001B">
      <w:start w:val="1"/>
      <w:numFmt w:val="lowerRoman"/>
      <w:lvlText w:val="%9."/>
      <w:lvlJc w:val="right"/>
      <w:pPr>
        <w:ind w:left="6528" w:hanging="180"/>
      </w:pPr>
    </w:lvl>
  </w:abstractNum>
  <w:abstractNum w:abstractNumId="30" w15:restartNumberingAfterBreak="0">
    <w:nsid w:val="274132BA"/>
    <w:multiLevelType w:val="hybridMultilevel"/>
    <w:tmpl w:val="B0AAEC2A"/>
    <w:lvl w:ilvl="0" w:tplc="080C0017">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1" w15:restartNumberingAfterBreak="0">
    <w:nsid w:val="27AE7636"/>
    <w:multiLevelType w:val="hybridMultilevel"/>
    <w:tmpl w:val="348EA28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280C7F5E"/>
    <w:multiLevelType w:val="hybridMultilevel"/>
    <w:tmpl w:val="D34C868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3" w15:restartNumberingAfterBreak="0">
    <w:nsid w:val="2965521E"/>
    <w:multiLevelType w:val="hybridMultilevel"/>
    <w:tmpl w:val="6F48A014"/>
    <w:lvl w:ilvl="0" w:tplc="E26CF79A">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4" w15:restartNumberingAfterBreak="0">
    <w:nsid w:val="2AB22AD4"/>
    <w:multiLevelType w:val="hybridMultilevel"/>
    <w:tmpl w:val="FB8A8724"/>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B09276B"/>
    <w:multiLevelType w:val="hybridMultilevel"/>
    <w:tmpl w:val="01FEE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BC42F43"/>
    <w:multiLevelType w:val="hybridMultilevel"/>
    <w:tmpl w:val="D124ECD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7" w15:restartNumberingAfterBreak="0">
    <w:nsid w:val="2E582E1C"/>
    <w:multiLevelType w:val="multilevel"/>
    <w:tmpl w:val="5FA82E66"/>
    <w:lvl w:ilvl="0">
      <w:start w:val="1"/>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2F3D63BC"/>
    <w:multiLevelType w:val="multilevel"/>
    <w:tmpl w:val="BB820A90"/>
    <w:lvl w:ilvl="0">
      <w:start w:val="5"/>
      <w:numFmt w:val="decimal"/>
      <w:lvlText w:val="%1"/>
      <w:lvlJc w:val="left"/>
      <w:pPr>
        <w:ind w:left="660" w:hanging="660"/>
      </w:pPr>
    </w:lvl>
    <w:lvl w:ilvl="1">
      <w:start w:val="8"/>
      <w:numFmt w:val="decimal"/>
      <w:lvlText w:val="%1.%2"/>
      <w:lvlJc w:val="left"/>
      <w:pPr>
        <w:ind w:left="660" w:hanging="660"/>
      </w:pPr>
    </w:lvl>
    <w:lvl w:ilvl="2">
      <w:start w:val="5"/>
      <w:numFmt w:val="decimal"/>
      <w:lvlText w:val="%1.%2.%3"/>
      <w:lvlJc w:val="left"/>
      <w:pPr>
        <w:ind w:left="720" w:hanging="720"/>
      </w:pPr>
    </w:lvl>
    <w:lvl w:ilvl="3">
      <w:start w:val="3"/>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 w15:restartNumberingAfterBreak="0">
    <w:nsid w:val="2FB328AE"/>
    <w:multiLevelType w:val="hybridMultilevel"/>
    <w:tmpl w:val="B01248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3A4527C"/>
    <w:multiLevelType w:val="hybridMultilevel"/>
    <w:tmpl w:val="33EC4156"/>
    <w:lvl w:ilvl="0" w:tplc="0409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1" w15:restartNumberingAfterBreak="0">
    <w:nsid w:val="3407415F"/>
    <w:multiLevelType w:val="hybridMultilevel"/>
    <w:tmpl w:val="EB5E363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2" w15:restartNumberingAfterBreak="0">
    <w:nsid w:val="34112C14"/>
    <w:multiLevelType w:val="hybridMultilevel"/>
    <w:tmpl w:val="1340E008"/>
    <w:lvl w:ilvl="0" w:tplc="04240017">
      <w:start w:val="1"/>
      <w:numFmt w:val="lowerLetter"/>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35B64B8A"/>
    <w:multiLevelType w:val="hybridMultilevel"/>
    <w:tmpl w:val="FBB8480A"/>
    <w:lvl w:ilvl="0" w:tplc="564034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36447D3A"/>
    <w:multiLevelType w:val="hybridMultilevel"/>
    <w:tmpl w:val="A2F4D25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36855924"/>
    <w:multiLevelType w:val="hybridMultilevel"/>
    <w:tmpl w:val="32FA022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6" w15:restartNumberingAfterBreak="0">
    <w:nsid w:val="36E1094B"/>
    <w:multiLevelType w:val="hybridMultilevel"/>
    <w:tmpl w:val="84985D10"/>
    <w:lvl w:ilvl="0" w:tplc="0409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7" w15:restartNumberingAfterBreak="0">
    <w:nsid w:val="36EB1FA8"/>
    <w:multiLevelType w:val="hybridMultilevel"/>
    <w:tmpl w:val="734499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37D47303"/>
    <w:multiLevelType w:val="hybridMultilevel"/>
    <w:tmpl w:val="50CABE00"/>
    <w:lvl w:ilvl="0" w:tplc="995CC8DC">
      <w:start w:val="1"/>
      <w:numFmt w:val="low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38281E7B"/>
    <w:multiLevelType w:val="hybridMultilevel"/>
    <w:tmpl w:val="429EF29A"/>
    <w:lvl w:ilvl="0" w:tplc="B1D25182">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0" w15:restartNumberingAfterBreak="0">
    <w:nsid w:val="3882129A"/>
    <w:multiLevelType w:val="hybridMultilevel"/>
    <w:tmpl w:val="E97A94FE"/>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3A5F10D5"/>
    <w:multiLevelType w:val="hybridMultilevel"/>
    <w:tmpl w:val="D5EC55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AB86AD0"/>
    <w:multiLevelType w:val="hybridMultilevel"/>
    <w:tmpl w:val="8424DE2A"/>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3" w15:restartNumberingAfterBreak="0">
    <w:nsid w:val="3B266649"/>
    <w:multiLevelType w:val="hybridMultilevel"/>
    <w:tmpl w:val="CA605E74"/>
    <w:lvl w:ilvl="0" w:tplc="041A0011">
      <w:start w:val="1"/>
      <w:numFmt w:val="decimal"/>
      <w:lvlText w:val="%1)"/>
      <w:lvlJc w:val="left"/>
      <w:pPr>
        <w:ind w:left="720" w:hanging="360"/>
      </w:pPr>
      <w:rPr>
        <w:rFonts w:hint="default"/>
      </w:rPr>
    </w:lvl>
    <w:lvl w:ilvl="1" w:tplc="ECDC6DA6">
      <w:start w:val="1"/>
      <w:numFmt w:val="decimal"/>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4" w15:restartNumberingAfterBreak="0">
    <w:nsid w:val="3BA86E5F"/>
    <w:multiLevelType w:val="hybridMultilevel"/>
    <w:tmpl w:val="405EBDA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5" w15:restartNumberingAfterBreak="0">
    <w:nsid w:val="3DF8207B"/>
    <w:multiLevelType w:val="hybridMultilevel"/>
    <w:tmpl w:val="77626DBE"/>
    <w:lvl w:ilvl="0" w:tplc="0409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6" w15:restartNumberingAfterBreak="0">
    <w:nsid w:val="3F9C13B6"/>
    <w:multiLevelType w:val="hybridMultilevel"/>
    <w:tmpl w:val="E472A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FF00974"/>
    <w:multiLevelType w:val="hybridMultilevel"/>
    <w:tmpl w:val="95EE703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8" w15:restartNumberingAfterBreak="0">
    <w:nsid w:val="40D27B7B"/>
    <w:multiLevelType w:val="hybridMultilevel"/>
    <w:tmpl w:val="C7E8AC3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42767483"/>
    <w:multiLevelType w:val="hybridMultilevel"/>
    <w:tmpl w:val="C2363EAC"/>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0" w15:restartNumberingAfterBreak="0">
    <w:nsid w:val="43443A75"/>
    <w:multiLevelType w:val="hybridMultilevel"/>
    <w:tmpl w:val="4FF0354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1" w15:restartNumberingAfterBreak="0">
    <w:nsid w:val="43641D3D"/>
    <w:multiLevelType w:val="hybridMultilevel"/>
    <w:tmpl w:val="DEB8C062"/>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447F766B"/>
    <w:multiLevelType w:val="hybridMultilevel"/>
    <w:tmpl w:val="8A60F4CE"/>
    <w:lvl w:ilvl="0" w:tplc="840E9524">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49428B5"/>
    <w:multiLevelType w:val="hybridMultilevel"/>
    <w:tmpl w:val="2ED27EB4"/>
    <w:lvl w:ilvl="0" w:tplc="840E9524">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8DA1ED6"/>
    <w:multiLevelType w:val="hybridMultilevel"/>
    <w:tmpl w:val="35D82A6E"/>
    <w:lvl w:ilvl="0" w:tplc="787A7EA0">
      <w:start w:val="1"/>
      <w:numFmt w:val="upperRoman"/>
      <w:lvlText w:val="(%1)"/>
      <w:lvlJc w:val="left"/>
      <w:pPr>
        <w:ind w:left="1080" w:hanging="720"/>
      </w:pPr>
      <w:rPr>
        <w:rFonts w:eastAsia="Calibr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9E76849"/>
    <w:multiLevelType w:val="hybridMultilevel"/>
    <w:tmpl w:val="070EED34"/>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6" w15:restartNumberingAfterBreak="0">
    <w:nsid w:val="4AE57575"/>
    <w:multiLevelType w:val="hybridMultilevel"/>
    <w:tmpl w:val="C45A5134"/>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7" w15:restartNumberingAfterBreak="0">
    <w:nsid w:val="4C4B1A2E"/>
    <w:multiLevelType w:val="hybridMultilevel"/>
    <w:tmpl w:val="396E90E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4C5823E4"/>
    <w:multiLevelType w:val="hybridMultilevel"/>
    <w:tmpl w:val="4A9212BC"/>
    <w:lvl w:ilvl="0" w:tplc="04090001">
      <w:start w:val="1"/>
      <w:numFmt w:val="bullet"/>
      <w:lvlText w:val=""/>
      <w:lvlJc w:val="left"/>
      <w:pPr>
        <w:ind w:left="720" w:hanging="360"/>
      </w:pPr>
      <w:rPr>
        <w:rFonts w:ascii="Symbol" w:hAnsi="Symbol" w:hint="default"/>
      </w:rPr>
    </w:lvl>
    <w:lvl w:ilvl="1" w:tplc="39CCD45C">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4C7851A7"/>
    <w:multiLevelType w:val="hybridMultilevel"/>
    <w:tmpl w:val="78CA4BA4"/>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70" w15:restartNumberingAfterBreak="0">
    <w:nsid w:val="4DBA1AFB"/>
    <w:multiLevelType w:val="hybridMultilevel"/>
    <w:tmpl w:val="6C86E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E753634"/>
    <w:multiLevelType w:val="hybridMultilevel"/>
    <w:tmpl w:val="2FBC8B7E"/>
    <w:lvl w:ilvl="0" w:tplc="0409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2" w15:restartNumberingAfterBreak="0">
    <w:nsid w:val="50F62878"/>
    <w:multiLevelType w:val="hybridMultilevel"/>
    <w:tmpl w:val="5BE48D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5205629C"/>
    <w:multiLevelType w:val="hybridMultilevel"/>
    <w:tmpl w:val="239A3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3232C98"/>
    <w:multiLevelType w:val="hybridMultilevel"/>
    <w:tmpl w:val="1C5A1ED6"/>
    <w:lvl w:ilvl="0" w:tplc="0409001B">
      <w:start w:val="1"/>
      <w:numFmt w:val="lowerRoman"/>
      <w:lvlText w:val="%1."/>
      <w:lvlJc w:val="right"/>
      <w:pPr>
        <w:ind w:left="780" w:hanging="360"/>
      </w:pPr>
      <w:rPr>
        <w:rFonts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75" w15:restartNumberingAfterBreak="0">
    <w:nsid w:val="535C4314"/>
    <w:multiLevelType w:val="hybridMultilevel"/>
    <w:tmpl w:val="856E75C2"/>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6" w15:restartNumberingAfterBreak="0">
    <w:nsid w:val="568D2B2E"/>
    <w:multiLevelType w:val="hybridMultilevel"/>
    <w:tmpl w:val="7B5ACB2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7" w15:restartNumberingAfterBreak="0">
    <w:nsid w:val="56B820B8"/>
    <w:multiLevelType w:val="hybridMultilevel"/>
    <w:tmpl w:val="E0E2D7D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15:restartNumberingAfterBreak="0">
    <w:nsid w:val="585C78FD"/>
    <w:multiLevelType w:val="hybridMultilevel"/>
    <w:tmpl w:val="C6FE7B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87A76B4"/>
    <w:multiLevelType w:val="multilevel"/>
    <w:tmpl w:val="5C70AE9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0" w15:restartNumberingAfterBreak="0">
    <w:nsid w:val="5913716C"/>
    <w:multiLevelType w:val="hybridMultilevel"/>
    <w:tmpl w:val="2E529038"/>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1" w15:restartNumberingAfterBreak="0">
    <w:nsid w:val="5A14027C"/>
    <w:multiLevelType w:val="hybridMultilevel"/>
    <w:tmpl w:val="EABA62C4"/>
    <w:lvl w:ilvl="0" w:tplc="04240017">
      <w:start w:val="1"/>
      <w:numFmt w:val="lowerLetter"/>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82" w15:restartNumberingAfterBreak="0">
    <w:nsid w:val="5A814124"/>
    <w:multiLevelType w:val="hybridMultilevel"/>
    <w:tmpl w:val="D116C1F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5AFC459A"/>
    <w:multiLevelType w:val="hybridMultilevel"/>
    <w:tmpl w:val="AB60FAD2"/>
    <w:lvl w:ilvl="0" w:tplc="0409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4" w15:restartNumberingAfterBreak="0">
    <w:nsid w:val="5B650735"/>
    <w:multiLevelType w:val="hybridMultilevel"/>
    <w:tmpl w:val="ED8489A2"/>
    <w:lvl w:ilvl="0" w:tplc="FFFFFFFF">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BB20AE2"/>
    <w:multiLevelType w:val="hybridMultilevel"/>
    <w:tmpl w:val="3E5CD352"/>
    <w:lvl w:ilvl="0" w:tplc="040C0017">
      <w:start w:val="1"/>
      <w:numFmt w:val="lowerLetter"/>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6" w15:restartNumberingAfterBreak="0">
    <w:nsid w:val="5D15262B"/>
    <w:multiLevelType w:val="hybridMultilevel"/>
    <w:tmpl w:val="CA026C1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7" w15:restartNumberingAfterBreak="0">
    <w:nsid w:val="5E82595F"/>
    <w:multiLevelType w:val="hybridMultilevel"/>
    <w:tmpl w:val="307C8046"/>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8" w15:restartNumberingAfterBreak="0">
    <w:nsid w:val="5ECE6033"/>
    <w:multiLevelType w:val="hybridMultilevel"/>
    <w:tmpl w:val="89AC19C8"/>
    <w:lvl w:ilvl="0" w:tplc="0409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9" w15:restartNumberingAfterBreak="0">
    <w:nsid w:val="600200BA"/>
    <w:multiLevelType w:val="hybridMultilevel"/>
    <w:tmpl w:val="E4E0F028"/>
    <w:lvl w:ilvl="0" w:tplc="98B00DEE">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90" w15:restartNumberingAfterBreak="0">
    <w:nsid w:val="60561802"/>
    <w:multiLevelType w:val="hybridMultilevel"/>
    <w:tmpl w:val="A4524F9E"/>
    <w:lvl w:ilvl="0" w:tplc="080C0017">
      <w:start w:val="1"/>
      <w:numFmt w:val="lowerLetter"/>
      <w:lvlText w:val="%1)"/>
      <w:lvlJc w:val="left"/>
      <w:pPr>
        <w:ind w:left="1080" w:hanging="720"/>
      </w:pPr>
      <w:rPr>
        <w:rFonts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91" w15:restartNumberingAfterBreak="0">
    <w:nsid w:val="63E8110E"/>
    <w:multiLevelType w:val="hybridMultilevel"/>
    <w:tmpl w:val="E80217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2" w15:restartNumberingAfterBreak="0">
    <w:nsid w:val="648F07D8"/>
    <w:multiLevelType w:val="hybridMultilevel"/>
    <w:tmpl w:val="3FF272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3" w15:restartNumberingAfterBreak="0">
    <w:nsid w:val="64A1488E"/>
    <w:multiLevelType w:val="hybridMultilevel"/>
    <w:tmpl w:val="BABE8E7E"/>
    <w:lvl w:ilvl="0" w:tplc="1F86A2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65326D35"/>
    <w:multiLevelType w:val="hybridMultilevel"/>
    <w:tmpl w:val="D578E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5C86E04"/>
    <w:multiLevelType w:val="hybridMultilevel"/>
    <w:tmpl w:val="D708C7B0"/>
    <w:lvl w:ilvl="0" w:tplc="840E9524">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66175989"/>
    <w:multiLevelType w:val="hybridMultilevel"/>
    <w:tmpl w:val="FDA42D0A"/>
    <w:lvl w:ilvl="0" w:tplc="A62422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15:restartNumberingAfterBreak="0">
    <w:nsid w:val="6728327E"/>
    <w:multiLevelType w:val="hybridMultilevel"/>
    <w:tmpl w:val="72885A8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8" w15:restartNumberingAfterBreak="0">
    <w:nsid w:val="68583E6D"/>
    <w:multiLevelType w:val="hybridMultilevel"/>
    <w:tmpl w:val="605C16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68623466"/>
    <w:multiLevelType w:val="hybridMultilevel"/>
    <w:tmpl w:val="E8F49474"/>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2A2809"/>
    <w:multiLevelType w:val="hybridMultilevel"/>
    <w:tmpl w:val="4E14C7C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1" w15:restartNumberingAfterBreak="0">
    <w:nsid w:val="6ACF4F81"/>
    <w:multiLevelType w:val="multilevel"/>
    <w:tmpl w:val="98742486"/>
    <w:lvl w:ilvl="0">
      <w:start w:val="9"/>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6BCD6AF3"/>
    <w:multiLevelType w:val="hybridMultilevel"/>
    <w:tmpl w:val="DDE06A0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3" w15:restartNumberingAfterBreak="0">
    <w:nsid w:val="6C012467"/>
    <w:multiLevelType w:val="hybridMultilevel"/>
    <w:tmpl w:val="98128C54"/>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712A322A"/>
    <w:multiLevelType w:val="hybridMultilevel"/>
    <w:tmpl w:val="619273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5" w15:restartNumberingAfterBreak="0">
    <w:nsid w:val="71AE65BD"/>
    <w:multiLevelType w:val="hybridMultilevel"/>
    <w:tmpl w:val="FDC6369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06" w15:restartNumberingAfterBreak="0">
    <w:nsid w:val="71DB3CE0"/>
    <w:multiLevelType w:val="hybridMultilevel"/>
    <w:tmpl w:val="5CF808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2417BE5"/>
    <w:multiLevelType w:val="hybridMultilevel"/>
    <w:tmpl w:val="A7807084"/>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108" w15:restartNumberingAfterBreak="0">
    <w:nsid w:val="74DF5479"/>
    <w:multiLevelType w:val="hybridMultilevel"/>
    <w:tmpl w:val="1340E00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75116C80"/>
    <w:multiLevelType w:val="hybridMultilevel"/>
    <w:tmpl w:val="DFE0156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0" w15:restartNumberingAfterBreak="0">
    <w:nsid w:val="75284606"/>
    <w:multiLevelType w:val="hybridMultilevel"/>
    <w:tmpl w:val="0E96F8F2"/>
    <w:lvl w:ilvl="0" w:tplc="0424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75F7459E"/>
    <w:multiLevelType w:val="hybridMultilevel"/>
    <w:tmpl w:val="FC8C478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77012634"/>
    <w:multiLevelType w:val="hybridMultilevel"/>
    <w:tmpl w:val="A0E607CC"/>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778B670D"/>
    <w:multiLevelType w:val="hybridMultilevel"/>
    <w:tmpl w:val="C06C8AF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4" w15:restartNumberingAfterBreak="0">
    <w:nsid w:val="794358DF"/>
    <w:multiLevelType w:val="hybridMultilevel"/>
    <w:tmpl w:val="6F488B1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5" w15:restartNumberingAfterBreak="0">
    <w:nsid w:val="7A2D58EB"/>
    <w:multiLevelType w:val="hybridMultilevel"/>
    <w:tmpl w:val="01C8D236"/>
    <w:lvl w:ilvl="0" w:tplc="93D019E6">
      <w:start w:val="21"/>
      <w:numFmt w:val="bullet"/>
      <w:lvlText w:val="-"/>
      <w:lvlJc w:val="left"/>
      <w:pPr>
        <w:ind w:left="1065" w:hanging="360"/>
      </w:pPr>
      <w:rPr>
        <w:rFonts w:ascii="Calibri" w:eastAsia="Calibri" w:hAnsi="Calibri" w:cs="Calibri"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116" w15:restartNumberingAfterBreak="0">
    <w:nsid w:val="7B0839E5"/>
    <w:multiLevelType w:val="hybridMultilevel"/>
    <w:tmpl w:val="ABC2CEA0"/>
    <w:lvl w:ilvl="0" w:tplc="0409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7" w15:restartNumberingAfterBreak="0">
    <w:nsid w:val="7B747288"/>
    <w:multiLevelType w:val="multilevel"/>
    <w:tmpl w:val="1FA66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7B750BF5"/>
    <w:multiLevelType w:val="multilevel"/>
    <w:tmpl w:val="D8A2509A"/>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9" w15:restartNumberingAfterBreak="0">
    <w:nsid w:val="7E195E5D"/>
    <w:multiLevelType w:val="hybridMultilevel"/>
    <w:tmpl w:val="D1DEDB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F605078"/>
    <w:multiLevelType w:val="hybridMultilevel"/>
    <w:tmpl w:val="426A4CA4"/>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1" w15:restartNumberingAfterBreak="0">
    <w:nsid w:val="7F901D80"/>
    <w:multiLevelType w:val="hybridMultilevel"/>
    <w:tmpl w:val="C9CE9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FA81273"/>
    <w:multiLevelType w:val="hybridMultilevel"/>
    <w:tmpl w:val="A912C34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16cid:durableId="930627898">
    <w:abstractNumId w:val="25"/>
  </w:num>
  <w:num w:numId="2" w16cid:durableId="1924072903">
    <w:abstractNumId w:val="17"/>
  </w:num>
  <w:num w:numId="3" w16cid:durableId="2077389256">
    <w:abstractNumId w:val="79"/>
  </w:num>
  <w:num w:numId="4" w16cid:durableId="1386679037">
    <w:abstractNumId w:val="116"/>
  </w:num>
  <w:num w:numId="5" w16cid:durableId="1103308466">
    <w:abstractNumId w:val="53"/>
  </w:num>
  <w:num w:numId="6" w16cid:durableId="670302919">
    <w:abstractNumId w:val="103"/>
  </w:num>
  <w:num w:numId="7" w16cid:durableId="1128623742">
    <w:abstractNumId w:val="61"/>
  </w:num>
  <w:num w:numId="8" w16cid:durableId="1463769068">
    <w:abstractNumId w:val="68"/>
  </w:num>
  <w:num w:numId="9" w16cid:durableId="1403135987">
    <w:abstractNumId w:val="111"/>
  </w:num>
  <w:num w:numId="10" w16cid:durableId="1900894709">
    <w:abstractNumId w:val="63"/>
  </w:num>
  <w:num w:numId="11" w16cid:durableId="1761752594">
    <w:abstractNumId w:val="62"/>
  </w:num>
  <w:num w:numId="12" w16cid:durableId="1402480269">
    <w:abstractNumId w:val="71"/>
  </w:num>
  <w:num w:numId="13" w16cid:durableId="1792048413">
    <w:abstractNumId w:val="95"/>
  </w:num>
  <w:num w:numId="14" w16cid:durableId="1499927287">
    <w:abstractNumId w:val="7"/>
  </w:num>
  <w:num w:numId="15" w16cid:durableId="1514492835">
    <w:abstractNumId w:val="44"/>
  </w:num>
  <w:num w:numId="16" w16cid:durableId="432475289">
    <w:abstractNumId w:val="82"/>
  </w:num>
  <w:num w:numId="17" w16cid:durableId="1618289625">
    <w:abstractNumId w:val="48"/>
  </w:num>
  <w:num w:numId="18" w16cid:durableId="2076969284">
    <w:abstractNumId w:val="112"/>
  </w:num>
  <w:num w:numId="19" w16cid:durableId="1657303246">
    <w:abstractNumId w:val="40"/>
  </w:num>
  <w:num w:numId="20" w16cid:durableId="640958569">
    <w:abstractNumId w:val="88"/>
  </w:num>
  <w:num w:numId="21" w16cid:durableId="2047481837">
    <w:abstractNumId w:val="50"/>
  </w:num>
  <w:num w:numId="22" w16cid:durableId="1240407391">
    <w:abstractNumId w:val="100"/>
  </w:num>
  <w:num w:numId="23" w16cid:durableId="822506404">
    <w:abstractNumId w:val="89"/>
  </w:num>
  <w:num w:numId="24" w16cid:durableId="1648707958">
    <w:abstractNumId w:val="70"/>
  </w:num>
  <w:num w:numId="25" w16cid:durableId="1946502679">
    <w:abstractNumId w:val="20"/>
  </w:num>
  <w:num w:numId="26" w16cid:durableId="1409766515">
    <w:abstractNumId w:val="97"/>
  </w:num>
  <w:num w:numId="27" w16cid:durableId="1094394867">
    <w:abstractNumId w:val="72"/>
  </w:num>
  <w:num w:numId="28" w16cid:durableId="8260193">
    <w:abstractNumId w:val="77"/>
  </w:num>
  <w:num w:numId="29" w16cid:durableId="663096059">
    <w:abstractNumId w:val="58"/>
  </w:num>
  <w:num w:numId="30" w16cid:durableId="397897962">
    <w:abstractNumId w:val="91"/>
  </w:num>
  <w:num w:numId="31" w16cid:durableId="1358654252">
    <w:abstractNumId w:val="54"/>
  </w:num>
  <w:num w:numId="32" w16cid:durableId="246774530">
    <w:abstractNumId w:val="12"/>
  </w:num>
  <w:num w:numId="33" w16cid:durableId="685013300">
    <w:abstractNumId w:val="83"/>
  </w:num>
  <w:num w:numId="34" w16cid:durableId="1751733582">
    <w:abstractNumId w:val="84"/>
  </w:num>
  <w:num w:numId="35" w16cid:durableId="1930580270">
    <w:abstractNumId w:val="98"/>
  </w:num>
  <w:num w:numId="36" w16cid:durableId="282425568">
    <w:abstractNumId w:val="115"/>
  </w:num>
  <w:num w:numId="37" w16cid:durableId="702706495">
    <w:abstractNumId w:val="23"/>
  </w:num>
  <w:num w:numId="38" w16cid:durableId="300618082">
    <w:abstractNumId w:val="74"/>
  </w:num>
  <w:num w:numId="39" w16cid:durableId="1477064655">
    <w:abstractNumId w:val="42"/>
  </w:num>
  <w:num w:numId="40" w16cid:durableId="576130091">
    <w:abstractNumId w:val="114"/>
  </w:num>
  <w:num w:numId="41" w16cid:durableId="1076902977">
    <w:abstractNumId w:val="92"/>
  </w:num>
  <w:num w:numId="42" w16cid:durableId="1423642608">
    <w:abstractNumId w:val="110"/>
  </w:num>
  <w:num w:numId="43" w16cid:durableId="1076167189">
    <w:abstractNumId w:val="35"/>
  </w:num>
  <w:num w:numId="44" w16cid:durableId="2132435701">
    <w:abstractNumId w:val="107"/>
  </w:num>
  <w:num w:numId="45" w16cid:durableId="1477333830">
    <w:abstractNumId w:val="69"/>
  </w:num>
  <w:num w:numId="46" w16cid:durableId="1698191484">
    <w:abstractNumId w:val="94"/>
  </w:num>
  <w:num w:numId="47" w16cid:durableId="2017344687">
    <w:abstractNumId w:val="27"/>
  </w:num>
  <w:num w:numId="48" w16cid:durableId="848907481">
    <w:abstractNumId w:val="39"/>
  </w:num>
  <w:num w:numId="49" w16cid:durableId="197860161">
    <w:abstractNumId w:val="119"/>
  </w:num>
  <w:num w:numId="50" w16cid:durableId="490173363">
    <w:abstractNumId w:val="121"/>
  </w:num>
  <w:num w:numId="51" w16cid:durableId="2128036275">
    <w:abstractNumId w:val="13"/>
  </w:num>
  <w:num w:numId="52" w16cid:durableId="341127278">
    <w:abstractNumId w:val="78"/>
  </w:num>
  <w:num w:numId="53" w16cid:durableId="18162410">
    <w:abstractNumId w:val="90"/>
  </w:num>
  <w:num w:numId="54" w16cid:durableId="1426462022">
    <w:abstractNumId w:val="3"/>
  </w:num>
  <w:num w:numId="55" w16cid:durableId="1584803815">
    <w:abstractNumId w:val="57"/>
  </w:num>
  <w:num w:numId="56" w16cid:durableId="1403259584">
    <w:abstractNumId w:val="16"/>
  </w:num>
  <w:num w:numId="57" w16cid:durableId="1691833621">
    <w:abstractNumId w:val="66"/>
  </w:num>
  <w:num w:numId="58" w16cid:durableId="2057703483">
    <w:abstractNumId w:val="104"/>
  </w:num>
  <w:num w:numId="59" w16cid:durableId="733744010">
    <w:abstractNumId w:val="59"/>
  </w:num>
  <w:num w:numId="60" w16cid:durableId="593825338">
    <w:abstractNumId w:val="87"/>
  </w:num>
  <w:num w:numId="61" w16cid:durableId="1036659513">
    <w:abstractNumId w:val="5"/>
  </w:num>
  <w:num w:numId="62" w16cid:durableId="2143493889">
    <w:abstractNumId w:val="41"/>
  </w:num>
  <w:num w:numId="63" w16cid:durableId="17044142">
    <w:abstractNumId w:val="49"/>
  </w:num>
  <w:num w:numId="64" w16cid:durableId="718823480">
    <w:abstractNumId w:val="86"/>
  </w:num>
  <w:num w:numId="65" w16cid:durableId="2029520535">
    <w:abstractNumId w:val="46"/>
  </w:num>
  <w:num w:numId="66" w16cid:durableId="1803691501">
    <w:abstractNumId w:val="76"/>
  </w:num>
  <w:num w:numId="67" w16cid:durableId="37240462">
    <w:abstractNumId w:val="122"/>
  </w:num>
  <w:num w:numId="68" w16cid:durableId="1547990261">
    <w:abstractNumId w:val="9"/>
  </w:num>
  <w:num w:numId="69" w16cid:durableId="1922521621">
    <w:abstractNumId w:val="109"/>
  </w:num>
  <w:num w:numId="70" w16cid:durableId="1148400285">
    <w:abstractNumId w:val="45"/>
  </w:num>
  <w:num w:numId="71" w16cid:durableId="1573855219">
    <w:abstractNumId w:val="100"/>
  </w:num>
  <w:num w:numId="72" w16cid:durableId="691227581">
    <w:abstractNumId w:val="75"/>
  </w:num>
  <w:num w:numId="73" w16cid:durableId="544027202">
    <w:abstractNumId w:val="31"/>
  </w:num>
  <w:num w:numId="74" w16cid:durableId="307515291">
    <w:abstractNumId w:val="18"/>
  </w:num>
  <w:num w:numId="75" w16cid:durableId="251361089">
    <w:abstractNumId w:val="60"/>
  </w:num>
  <w:num w:numId="76" w16cid:durableId="1146705789">
    <w:abstractNumId w:val="113"/>
  </w:num>
  <w:num w:numId="77" w16cid:durableId="76833012">
    <w:abstractNumId w:val="8"/>
  </w:num>
  <w:num w:numId="78" w16cid:durableId="1951352931">
    <w:abstractNumId w:val="26"/>
  </w:num>
  <w:num w:numId="79" w16cid:durableId="928928608">
    <w:abstractNumId w:val="33"/>
  </w:num>
  <w:num w:numId="80" w16cid:durableId="569927650">
    <w:abstractNumId w:val="4"/>
  </w:num>
  <w:num w:numId="81" w16cid:durableId="1706516722">
    <w:abstractNumId w:val="32"/>
  </w:num>
  <w:num w:numId="82" w16cid:durableId="1241982248">
    <w:abstractNumId w:val="55"/>
  </w:num>
  <w:num w:numId="83" w16cid:durableId="1403913904">
    <w:abstractNumId w:val="102"/>
  </w:num>
  <w:num w:numId="84" w16cid:durableId="1321035712">
    <w:abstractNumId w:val="105"/>
  </w:num>
  <w:num w:numId="85" w16cid:durableId="802583017">
    <w:abstractNumId w:val="28"/>
  </w:num>
  <w:num w:numId="86" w16cid:durableId="1043596285">
    <w:abstractNumId w:val="47"/>
  </w:num>
  <w:num w:numId="87" w16cid:durableId="1153718910">
    <w:abstractNumId w:val="38"/>
    <w:lvlOverride w:ilvl="0">
      <w:startOverride w:val="5"/>
    </w:lvlOverride>
    <w:lvlOverride w:ilvl="1">
      <w:startOverride w:val="8"/>
    </w:lvlOverride>
    <w:lvlOverride w:ilvl="2">
      <w:startOverride w:val="5"/>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030423973">
    <w:abstractNumId w:val="118"/>
  </w:num>
  <w:num w:numId="89" w16cid:durableId="1515536870">
    <w:abstractNumId w:val="80"/>
  </w:num>
  <w:num w:numId="90" w16cid:durableId="1449006819">
    <w:abstractNumId w:val="65"/>
  </w:num>
  <w:num w:numId="91" w16cid:durableId="1652521914">
    <w:abstractNumId w:val="24"/>
  </w:num>
  <w:num w:numId="92" w16cid:durableId="893154471">
    <w:abstractNumId w:val="29"/>
  </w:num>
  <w:num w:numId="93" w16cid:durableId="1957564801">
    <w:abstractNumId w:val="19"/>
  </w:num>
  <w:num w:numId="94" w16cid:durableId="927007932">
    <w:abstractNumId w:val="81"/>
  </w:num>
  <w:num w:numId="95" w16cid:durableId="671570257">
    <w:abstractNumId w:val="38"/>
  </w:num>
  <w:num w:numId="96" w16cid:durableId="2026637415">
    <w:abstractNumId w:val="30"/>
  </w:num>
  <w:num w:numId="97" w16cid:durableId="1630552877">
    <w:abstractNumId w:val="52"/>
  </w:num>
  <w:num w:numId="98" w16cid:durableId="1569882039">
    <w:abstractNumId w:val="22"/>
  </w:num>
  <w:num w:numId="99" w16cid:durableId="27802011">
    <w:abstractNumId w:val="120"/>
  </w:num>
  <w:num w:numId="100" w16cid:durableId="1384712849">
    <w:abstractNumId w:val="85"/>
  </w:num>
  <w:num w:numId="101" w16cid:durableId="172230813">
    <w:abstractNumId w:val="36"/>
  </w:num>
  <w:num w:numId="102" w16cid:durableId="357049321">
    <w:abstractNumId w:val="11"/>
  </w:num>
  <w:num w:numId="103" w16cid:durableId="1560244196">
    <w:abstractNumId w:val="56"/>
  </w:num>
  <w:num w:numId="104" w16cid:durableId="1433210187">
    <w:abstractNumId w:val="21"/>
  </w:num>
  <w:num w:numId="105" w16cid:durableId="1262378484">
    <w:abstractNumId w:val="67"/>
  </w:num>
  <w:num w:numId="106" w16cid:durableId="193003609">
    <w:abstractNumId w:val="37"/>
  </w:num>
  <w:num w:numId="107" w16cid:durableId="1224369029">
    <w:abstractNumId w:val="14"/>
  </w:num>
  <w:num w:numId="108" w16cid:durableId="1476025689">
    <w:abstractNumId w:val="10"/>
  </w:num>
  <w:num w:numId="109" w16cid:durableId="1592470797">
    <w:abstractNumId w:val="108"/>
  </w:num>
  <w:num w:numId="110" w16cid:durableId="404843021">
    <w:abstractNumId w:val="73"/>
  </w:num>
  <w:num w:numId="111" w16cid:durableId="999893281">
    <w:abstractNumId w:val="106"/>
  </w:num>
  <w:num w:numId="112" w16cid:durableId="668220586">
    <w:abstractNumId w:val="117"/>
  </w:num>
  <w:num w:numId="113" w16cid:durableId="967667107">
    <w:abstractNumId w:val="99"/>
  </w:num>
  <w:num w:numId="114" w16cid:durableId="1669359733">
    <w:abstractNumId w:val="51"/>
  </w:num>
  <w:num w:numId="115" w16cid:durableId="172064287">
    <w:abstractNumId w:val="93"/>
  </w:num>
  <w:num w:numId="116" w16cid:durableId="332343832">
    <w:abstractNumId w:val="96"/>
  </w:num>
  <w:num w:numId="117" w16cid:durableId="712467751">
    <w:abstractNumId w:val="43"/>
  </w:num>
  <w:num w:numId="118" w16cid:durableId="659772677">
    <w:abstractNumId w:val="34"/>
  </w:num>
  <w:num w:numId="119" w16cid:durableId="23214710">
    <w:abstractNumId w:val="1"/>
  </w:num>
  <w:num w:numId="120" w16cid:durableId="617416156">
    <w:abstractNumId w:val="2"/>
  </w:num>
  <w:num w:numId="121" w16cid:durableId="59985060">
    <w:abstractNumId w:val="6"/>
  </w:num>
  <w:num w:numId="122" w16cid:durableId="84300800">
    <w:abstractNumId w:val="0"/>
  </w:num>
  <w:num w:numId="123" w16cid:durableId="1754936627">
    <w:abstractNumId w:val="15"/>
  </w:num>
  <w:num w:numId="124" w16cid:durableId="221216492">
    <w:abstractNumId w:val="64"/>
  </w:num>
  <w:num w:numId="125" w16cid:durableId="325977657">
    <w:abstractNumId w:val="101"/>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de-DE" w:vendorID="64" w:dllVersion="6" w:nlCheck="1" w:checkStyle="0"/>
  <w:activeWritingStyle w:appName="MSWord" w:lang="en-GB" w:vendorID="64" w:dllVersion="6" w:nlCheck="1" w:checkStyle="1"/>
  <w:activeWritingStyle w:appName="MSWord" w:lang="en-US" w:vendorID="64" w:dllVersion="6" w:nlCheck="1" w:checkStyle="1"/>
  <w:activeWritingStyle w:appName="MSWord" w:lang="fr-BE" w:vendorID="64" w:dllVersion="6" w:nlCheck="1" w:checkStyle="0"/>
  <w:activeWritingStyle w:appName="MSWord" w:lang="it-IT" w:vendorID="64" w:dllVersion="6" w:nlCheck="1" w:checkStyle="0"/>
  <w:activeWritingStyle w:appName="MSWord" w:lang="es-ES" w:vendorID="64" w:dllVersion="6" w:nlCheck="1" w:checkStyle="0"/>
  <w:activeWritingStyle w:appName="MSWord" w:lang="fr-FR" w:vendorID="64" w:dllVersion="6" w:nlCheck="1" w:checkStyle="1"/>
  <w:activeWritingStyle w:appName="MSWord" w:lang="en-GB" w:vendorID="64" w:dllVersion="0" w:nlCheck="1" w:checkStyle="0"/>
  <w:activeWritingStyle w:appName="MSWord" w:lang="fr-BE" w:vendorID="64" w:dllVersion="0" w:nlCheck="1" w:checkStyle="0"/>
  <w:activeWritingStyle w:appName="MSWord" w:lang="en-US" w:vendorID="64" w:dllVersion="0" w:nlCheck="1" w:checkStyle="0"/>
  <w:activeWritingStyle w:appName="MSWord" w:lang="de-DE" w:vendorID="64" w:dllVersion="0" w:nlCheck="1" w:checkStyle="0"/>
  <w:activeWritingStyle w:appName="MSWord" w:lang="es-ES" w:vendorID="64" w:dllVersion="0" w:nlCheck="1" w:checkStyle="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5B5"/>
    <w:rsid w:val="0000006B"/>
    <w:rsid w:val="000003A3"/>
    <w:rsid w:val="000004F9"/>
    <w:rsid w:val="00000D7A"/>
    <w:rsid w:val="00000DA8"/>
    <w:rsid w:val="00000FE2"/>
    <w:rsid w:val="000014E5"/>
    <w:rsid w:val="000015A4"/>
    <w:rsid w:val="00001A8C"/>
    <w:rsid w:val="00001B69"/>
    <w:rsid w:val="00001BF2"/>
    <w:rsid w:val="00001D94"/>
    <w:rsid w:val="00001FE0"/>
    <w:rsid w:val="0000267F"/>
    <w:rsid w:val="000026C0"/>
    <w:rsid w:val="00002995"/>
    <w:rsid w:val="00003069"/>
    <w:rsid w:val="000038E1"/>
    <w:rsid w:val="00003B19"/>
    <w:rsid w:val="0000448E"/>
    <w:rsid w:val="000048D8"/>
    <w:rsid w:val="00004992"/>
    <w:rsid w:val="000056D2"/>
    <w:rsid w:val="00005803"/>
    <w:rsid w:val="0000585E"/>
    <w:rsid w:val="00005C35"/>
    <w:rsid w:val="00006649"/>
    <w:rsid w:val="000067FB"/>
    <w:rsid w:val="00006803"/>
    <w:rsid w:val="00006856"/>
    <w:rsid w:val="00006EBD"/>
    <w:rsid w:val="00006EC7"/>
    <w:rsid w:val="00007367"/>
    <w:rsid w:val="0000750A"/>
    <w:rsid w:val="00007606"/>
    <w:rsid w:val="00007AD8"/>
    <w:rsid w:val="000101EE"/>
    <w:rsid w:val="00010567"/>
    <w:rsid w:val="00011039"/>
    <w:rsid w:val="00012155"/>
    <w:rsid w:val="0001389D"/>
    <w:rsid w:val="0001393A"/>
    <w:rsid w:val="000143AB"/>
    <w:rsid w:val="000155A8"/>
    <w:rsid w:val="0001601A"/>
    <w:rsid w:val="0001651A"/>
    <w:rsid w:val="00016DDB"/>
    <w:rsid w:val="00016E29"/>
    <w:rsid w:val="000174BE"/>
    <w:rsid w:val="000176ED"/>
    <w:rsid w:val="00017DBE"/>
    <w:rsid w:val="00017E68"/>
    <w:rsid w:val="000201F0"/>
    <w:rsid w:val="0002027B"/>
    <w:rsid w:val="00020309"/>
    <w:rsid w:val="00020562"/>
    <w:rsid w:val="000207F3"/>
    <w:rsid w:val="00020988"/>
    <w:rsid w:val="0002157F"/>
    <w:rsid w:val="000220D0"/>
    <w:rsid w:val="00022BCA"/>
    <w:rsid w:val="000236F7"/>
    <w:rsid w:val="00023D11"/>
    <w:rsid w:val="00024035"/>
    <w:rsid w:val="000241A0"/>
    <w:rsid w:val="00024E7D"/>
    <w:rsid w:val="0002506B"/>
    <w:rsid w:val="000253C3"/>
    <w:rsid w:val="000258AE"/>
    <w:rsid w:val="00025F02"/>
    <w:rsid w:val="00026295"/>
    <w:rsid w:val="000263D9"/>
    <w:rsid w:val="00026476"/>
    <w:rsid w:val="0002667C"/>
    <w:rsid w:val="000269BD"/>
    <w:rsid w:val="00026B52"/>
    <w:rsid w:val="00027A75"/>
    <w:rsid w:val="000301E6"/>
    <w:rsid w:val="00030779"/>
    <w:rsid w:val="000311D7"/>
    <w:rsid w:val="0003189E"/>
    <w:rsid w:val="000321BE"/>
    <w:rsid w:val="00032A92"/>
    <w:rsid w:val="00032D37"/>
    <w:rsid w:val="00033181"/>
    <w:rsid w:val="00033918"/>
    <w:rsid w:val="000339C8"/>
    <w:rsid w:val="00033EBE"/>
    <w:rsid w:val="00034773"/>
    <w:rsid w:val="00034F31"/>
    <w:rsid w:val="0003546D"/>
    <w:rsid w:val="000356CE"/>
    <w:rsid w:val="00035803"/>
    <w:rsid w:val="0003737D"/>
    <w:rsid w:val="0004009A"/>
    <w:rsid w:val="00040AA6"/>
    <w:rsid w:val="00040DF0"/>
    <w:rsid w:val="00041282"/>
    <w:rsid w:val="000413E5"/>
    <w:rsid w:val="000414CA"/>
    <w:rsid w:val="00041519"/>
    <w:rsid w:val="00041F60"/>
    <w:rsid w:val="00042103"/>
    <w:rsid w:val="0004248B"/>
    <w:rsid w:val="0004264D"/>
    <w:rsid w:val="00042E56"/>
    <w:rsid w:val="00043DB7"/>
    <w:rsid w:val="00043E85"/>
    <w:rsid w:val="000443D1"/>
    <w:rsid w:val="00044680"/>
    <w:rsid w:val="0004470A"/>
    <w:rsid w:val="000447F8"/>
    <w:rsid w:val="00044922"/>
    <w:rsid w:val="00044C83"/>
    <w:rsid w:val="00045321"/>
    <w:rsid w:val="00046272"/>
    <w:rsid w:val="0004641B"/>
    <w:rsid w:val="00046B09"/>
    <w:rsid w:val="00047E97"/>
    <w:rsid w:val="00050815"/>
    <w:rsid w:val="00051781"/>
    <w:rsid w:val="0005187E"/>
    <w:rsid w:val="00051A3D"/>
    <w:rsid w:val="00051A42"/>
    <w:rsid w:val="00051A5B"/>
    <w:rsid w:val="0005218F"/>
    <w:rsid w:val="0005235D"/>
    <w:rsid w:val="000524C9"/>
    <w:rsid w:val="00052825"/>
    <w:rsid w:val="00052A5E"/>
    <w:rsid w:val="00052AA4"/>
    <w:rsid w:val="00052B29"/>
    <w:rsid w:val="00053AC2"/>
    <w:rsid w:val="000544D9"/>
    <w:rsid w:val="00054DAA"/>
    <w:rsid w:val="0005598A"/>
    <w:rsid w:val="00056098"/>
    <w:rsid w:val="00056999"/>
    <w:rsid w:val="00056E6C"/>
    <w:rsid w:val="000570C4"/>
    <w:rsid w:val="000574F7"/>
    <w:rsid w:val="0005756A"/>
    <w:rsid w:val="00057FA9"/>
    <w:rsid w:val="000616DF"/>
    <w:rsid w:val="00061807"/>
    <w:rsid w:val="00061C23"/>
    <w:rsid w:val="000621D9"/>
    <w:rsid w:val="00062878"/>
    <w:rsid w:val="0006308E"/>
    <w:rsid w:val="00063A11"/>
    <w:rsid w:val="00063ABC"/>
    <w:rsid w:val="00064740"/>
    <w:rsid w:val="000648BF"/>
    <w:rsid w:val="00064BFA"/>
    <w:rsid w:val="00066643"/>
    <w:rsid w:val="00066E24"/>
    <w:rsid w:val="0006772B"/>
    <w:rsid w:val="000701FC"/>
    <w:rsid w:val="00070729"/>
    <w:rsid w:val="0007074E"/>
    <w:rsid w:val="000709B7"/>
    <w:rsid w:val="000711AB"/>
    <w:rsid w:val="000714BF"/>
    <w:rsid w:val="00072211"/>
    <w:rsid w:val="00072714"/>
    <w:rsid w:val="00072EF3"/>
    <w:rsid w:val="00073779"/>
    <w:rsid w:val="0007444D"/>
    <w:rsid w:val="00074724"/>
    <w:rsid w:val="000752B7"/>
    <w:rsid w:val="00075E57"/>
    <w:rsid w:val="00075E99"/>
    <w:rsid w:val="00076417"/>
    <w:rsid w:val="00076F13"/>
    <w:rsid w:val="00076F7E"/>
    <w:rsid w:val="0007709B"/>
    <w:rsid w:val="000772E0"/>
    <w:rsid w:val="0007748B"/>
    <w:rsid w:val="00077F7F"/>
    <w:rsid w:val="000802B4"/>
    <w:rsid w:val="00080335"/>
    <w:rsid w:val="0008036B"/>
    <w:rsid w:val="0008045D"/>
    <w:rsid w:val="0008099A"/>
    <w:rsid w:val="0008117B"/>
    <w:rsid w:val="00081607"/>
    <w:rsid w:val="00081916"/>
    <w:rsid w:val="00082745"/>
    <w:rsid w:val="00082887"/>
    <w:rsid w:val="00082B5C"/>
    <w:rsid w:val="0008355F"/>
    <w:rsid w:val="00083BDB"/>
    <w:rsid w:val="00083DEE"/>
    <w:rsid w:val="00083FB0"/>
    <w:rsid w:val="00083FDE"/>
    <w:rsid w:val="00084113"/>
    <w:rsid w:val="000845D8"/>
    <w:rsid w:val="00084914"/>
    <w:rsid w:val="0008542E"/>
    <w:rsid w:val="00085573"/>
    <w:rsid w:val="00085B1C"/>
    <w:rsid w:val="00085F99"/>
    <w:rsid w:val="0008620A"/>
    <w:rsid w:val="00086CE5"/>
    <w:rsid w:val="000900CA"/>
    <w:rsid w:val="000901EB"/>
    <w:rsid w:val="00090CD1"/>
    <w:rsid w:val="00090F20"/>
    <w:rsid w:val="000913B1"/>
    <w:rsid w:val="00091AAC"/>
    <w:rsid w:val="00091B2F"/>
    <w:rsid w:val="000926F7"/>
    <w:rsid w:val="00092B35"/>
    <w:rsid w:val="000934E5"/>
    <w:rsid w:val="000935A4"/>
    <w:rsid w:val="00093D52"/>
    <w:rsid w:val="00093FC9"/>
    <w:rsid w:val="000945C7"/>
    <w:rsid w:val="00095D06"/>
    <w:rsid w:val="00095DE1"/>
    <w:rsid w:val="00096E78"/>
    <w:rsid w:val="0009788E"/>
    <w:rsid w:val="000A124C"/>
    <w:rsid w:val="000A22B6"/>
    <w:rsid w:val="000A4558"/>
    <w:rsid w:val="000A48D6"/>
    <w:rsid w:val="000A4D50"/>
    <w:rsid w:val="000A52C9"/>
    <w:rsid w:val="000A5B06"/>
    <w:rsid w:val="000A620C"/>
    <w:rsid w:val="000A660E"/>
    <w:rsid w:val="000A6D08"/>
    <w:rsid w:val="000A7606"/>
    <w:rsid w:val="000A7EC8"/>
    <w:rsid w:val="000B0058"/>
    <w:rsid w:val="000B0335"/>
    <w:rsid w:val="000B03CF"/>
    <w:rsid w:val="000B0B9E"/>
    <w:rsid w:val="000B0D8E"/>
    <w:rsid w:val="000B1392"/>
    <w:rsid w:val="000B1801"/>
    <w:rsid w:val="000B191E"/>
    <w:rsid w:val="000B249C"/>
    <w:rsid w:val="000B2F9B"/>
    <w:rsid w:val="000B3606"/>
    <w:rsid w:val="000B407D"/>
    <w:rsid w:val="000B4D3E"/>
    <w:rsid w:val="000B4E21"/>
    <w:rsid w:val="000B5861"/>
    <w:rsid w:val="000B66BC"/>
    <w:rsid w:val="000B67CC"/>
    <w:rsid w:val="000B6FB3"/>
    <w:rsid w:val="000B71EE"/>
    <w:rsid w:val="000B77DE"/>
    <w:rsid w:val="000B7834"/>
    <w:rsid w:val="000C0A0E"/>
    <w:rsid w:val="000C0DFC"/>
    <w:rsid w:val="000C1410"/>
    <w:rsid w:val="000C1529"/>
    <w:rsid w:val="000C16A8"/>
    <w:rsid w:val="000C1A5D"/>
    <w:rsid w:val="000C1A9B"/>
    <w:rsid w:val="000C1CCE"/>
    <w:rsid w:val="000C1D1C"/>
    <w:rsid w:val="000C2A8D"/>
    <w:rsid w:val="000C31B2"/>
    <w:rsid w:val="000C432E"/>
    <w:rsid w:val="000C4709"/>
    <w:rsid w:val="000C4F4E"/>
    <w:rsid w:val="000C52B8"/>
    <w:rsid w:val="000C5C66"/>
    <w:rsid w:val="000C5E31"/>
    <w:rsid w:val="000C6045"/>
    <w:rsid w:val="000C686C"/>
    <w:rsid w:val="000C6B03"/>
    <w:rsid w:val="000C6D3C"/>
    <w:rsid w:val="000C7245"/>
    <w:rsid w:val="000C760C"/>
    <w:rsid w:val="000C7C96"/>
    <w:rsid w:val="000C7DA1"/>
    <w:rsid w:val="000D016D"/>
    <w:rsid w:val="000D01FD"/>
    <w:rsid w:val="000D05BC"/>
    <w:rsid w:val="000D0732"/>
    <w:rsid w:val="000D0897"/>
    <w:rsid w:val="000D0E89"/>
    <w:rsid w:val="000D0E95"/>
    <w:rsid w:val="000D100B"/>
    <w:rsid w:val="000D1254"/>
    <w:rsid w:val="000D14EA"/>
    <w:rsid w:val="000D1B59"/>
    <w:rsid w:val="000D1E57"/>
    <w:rsid w:val="000D21E6"/>
    <w:rsid w:val="000D22EA"/>
    <w:rsid w:val="000D251D"/>
    <w:rsid w:val="000D2FAD"/>
    <w:rsid w:val="000D357E"/>
    <w:rsid w:val="000D35DD"/>
    <w:rsid w:val="000D3B71"/>
    <w:rsid w:val="000D3BAB"/>
    <w:rsid w:val="000D4919"/>
    <w:rsid w:val="000D4996"/>
    <w:rsid w:val="000D4D41"/>
    <w:rsid w:val="000D5B61"/>
    <w:rsid w:val="000D5CF7"/>
    <w:rsid w:val="000D5DD9"/>
    <w:rsid w:val="000D5FDA"/>
    <w:rsid w:val="000D64BE"/>
    <w:rsid w:val="000D6C86"/>
    <w:rsid w:val="000D6EC2"/>
    <w:rsid w:val="000D6FC1"/>
    <w:rsid w:val="000D7251"/>
    <w:rsid w:val="000D7E51"/>
    <w:rsid w:val="000D7F7D"/>
    <w:rsid w:val="000E0A35"/>
    <w:rsid w:val="000E11F9"/>
    <w:rsid w:val="000E1901"/>
    <w:rsid w:val="000E2320"/>
    <w:rsid w:val="000E25AC"/>
    <w:rsid w:val="000E26F2"/>
    <w:rsid w:val="000E27B1"/>
    <w:rsid w:val="000E3110"/>
    <w:rsid w:val="000E37A4"/>
    <w:rsid w:val="000E4004"/>
    <w:rsid w:val="000E41A1"/>
    <w:rsid w:val="000E47E2"/>
    <w:rsid w:val="000E5459"/>
    <w:rsid w:val="000E5518"/>
    <w:rsid w:val="000E5E4F"/>
    <w:rsid w:val="000E6698"/>
    <w:rsid w:val="000E716C"/>
    <w:rsid w:val="000F048C"/>
    <w:rsid w:val="000F05BC"/>
    <w:rsid w:val="000F07D4"/>
    <w:rsid w:val="000F1856"/>
    <w:rsid w:val="000F26EF"/>
    <w:rsid w:val="000F2818"/>
    <w:rsid w:val="000F44BD"/>
    <w:rsid w:val="000F476C"/>
    <w:rsid w:val="000F5020"/>
    <w:rsid w:val="000F51EF"/>
    <w:rsid w:val="000F54B0"/>
    <w:rsid w:val="000F5707"/>
    <w:rsid w:val="000F5A70"/>
    <w:rsid w:val="000F5DE5"/>
    <w:rsid w:val="00100175"/>
    <w:rsid w:val="0010038A"/>
    <w:rsid w:val="0010054C"/>
    <w:rsid w:val="00100AED"/>
    <w:rsid w:val="00101328"/>
    <w:rsid w:val="001019B0"/>
    <w:rsid w:val="001030F4"/>
    <w:rsid w:val="00103644"/>
    <w:rsid w:val="00103BC0"/>
    <w:rsid w:val="00103F9C"/>
    <w:rsid w:val="001045A7"/>
    <w:rsid w:val="001049F5"/>
    <w:rsid w:val="00104EAE"/>
    <w:rsid w:val="00104FD5"/>
    <w:rsid w:val="0010554D"/>
    <w:rsid w:val="00105F4F"/>
    <w:rsid w:val="00106127"/>
    <w:rsid w:val="00106718"/>
    <w:rsid w:val="00107BD7"/>
    <w:rsid w:val="00107D61"/>
    <w:rsid w:val="00110A4E"/>
    <w:rsid w:val="00110E17"/>
    <w:rsid w:val="00111679"/>
    <w:rsid w:val="00111809"/>
    <w:rsid w:val="0011181C"/>
    <w:rsid w:val="00111829"/>
    <w:rsid w:val="001118C6"/>
    <w:rsid w:val="0011197D"/>
    <w:rsid w:val="00111B69"/>
    <w:rsid w:val="00111DBD"/>
    <w:rsid w:val="0011231F"/>
    <w:rsid w:val="00112850"/>
    <w:rsid w:val="00112F88"/>
    <w:rsid w:val="00113841"/>
    <w:rsid w:val="00113AAF"/>
    <w:rsid w:val="00113B95"/>
    <w:rsid w:val="00113CD8"/>
    <w:rsid w:val="00114544"/>
    <w:rsid w:val="001151B8"/>
    <w:rsid w:val="0011543F"/>
    <w:rsid w:val="001154F9"/>
    <w:rsid w:val="00115759"/>
    <w:rsid w:val="001157A1"/>
    <w:rsid w:val="0011588F"/>
    <w:rsid w:val="00115A9A"/>
    <w:rsid w:val="001161E0"/>
    <w:rsid w:val="00116CFD"/>
    <w:rsid w:val="001178FF"/>
    <w:rsid w:val="001212BC"/>
    <w:rsid w:val="001212BD"/>
    <w:rsid w:val="00121AE4"/>
    <w:rsid w:val="001222D1"/>
    <w:rsid w:val="00122828"/>
    <w:rsid w:val="00122B8B"/>
    <w:rsid w:val="00122B9D"/>
    <w:rsid w:val="00122DC5"/>
    <w:rsid w:val="00123127"/>
    <w:rsid w:val="0012346C"/>
    <w:rsid w:val="00123827"/>
    <w:rsid w:val="00123ADA"/>
    <w:rsid w:val="00124727"/>
    <w:rsid w:val="00124738"/>
    <w:rsid w:val="00124D51"/>
    <w:rsid w:val="00126498"/>
    <w:rsid w:val="001265D8"/>
    <w:rsid w:val="00126604"/>
    <w:rsid w:val="00126689"/>
    <w:rsid w:val="00126CED"/>
    <w:rsid w:val="00127E2B"/>
    <w:rsid w:val="0013016D"/>
    <w:rsid w:val="001304B1"/>
    <w:rsid w:val="00130954"/>
    <w:rsid w:val="00130C1E"/>
    <w:rsid w:val="00131865"/>
    <w:rsid w:val="001344EE"/>
    <w:rsid w:val="00134AD0"/>
    <w:rsid w:val="00134AF2"/>
    <w:rsid w:val="001350C6"/>
    <w:rsid w:val="00135297"/>
    <w:rsid w:val="00135376"/>
    <w:rsid w:val="00136E19"/>
    <w:rsid w:val="0013729D"/>
    <w:rsid w:val="00137755"/>
    <w:rsid w:val="001377A1"/>
    <w:rsid w:val="001378DC"/>
    <w:rsid w:val="00137C91"/>
    <w:rsid w:val="0014011C"/>
    <w:rsid w:val="001412BC"/>
    <w:rsid w:val="001413D1"/>
    <w:rsid w:val="00141BA4"/>
    <w:rsid w:val="00141D78"/>
    <w:rsid w:val="0014296B"/>
    <w:rsid w:val="00144226"/>
    <w:rsid w:val="001443C9"/>
    <w:rsid w:val="001443DE"/>
    <w:rsid w:val="00144766"/>
    <w:rsid w:val="0014487F"/>
    <w:rsid w:val="001449B6"/>
    <w:rsid w:val="00145071"/>
    <w:rsid w:val="00145268"/>
    <w:rsid w:val="0014596E"/>
    <w:rsid w:val="00145CC4"/>
    <w:rsid w:val="0014616D"/>
    <w:rsid w:val="00146781"/>
    <w:rsid w:val="001471DD"/>
    <w:rsid w:val="001516FD"/>
    <w:rsid w:val="001518E8"/>
    <w:rsid w:val="00151D07"/>
    <w:rsid w:val="00151F17"/>
    <w:rsid w:val="0015221C"/>
    <w:rsid w:val="0015254C"/>
    <w:rsid w:val="00153DB6"/>
    <w:rsid w:val="00153F18"/>
    <w:rsid w:val="001545D6"/>
    <w:rsid w:val="00155689"/>
    <w:rsid w:val="00155F29"/>
    <w:rsid w:val="00156209"/>
    <w:rsid w:val="0015726B"/>
    <w:rsid w:val="00157311"/>
    <w:rsid w:val="00157478"/>
    <w:rsid w:val="00161404"/>
    <w:rsid w:val="0016143A"/>
    <w:rsid w:val="00161487"/>
    <w:rsid w:val="00162183"/>
    <w:rsid w:val="0016286E"/>
    <w:rsid w:val="00162AC7"/>
    <w:rsid w:val="00163441"/>
    <w:rsid w:val="00163B7D"/>
    <w:rsid w:val="0016403C"/>
    <w:rsid w:val="001641E6"/>
    <w:rsid w:val="001644C2"/>
    <w:rsid w:val="00165282"/>
    <w:rsid w:val="00165EB3"/>
    <w:rsid w:val="00165FF0"/>
    <w:rsid w:val="001661C9"/>
    <w:rsid w:val="0016640A"/>
    <w:rsid w:val="0016694A"/>
    <w:rsid w:val="001669D3"/>
    <w:rsid w:val="00166F07"/>
    <w:rsid w:val="00167139"/>
    <w:rsid w:val="001676A0"/>
    <w:rsid w:val="00167E94"/>
    <w:rsid w:val="0017058A"/>
    <w:rsid w:val="00171318"/>
    <w:rsid w:val="001716D1"/>
    <w:rsid w:val="00172340"/>
    <w:rsid w:val="0017321A"/>
    <w:rsid w:val="001733EB"/>
    <w:rsid w:val="00173651"/>
    <w:rsid w:val="0017372C"/>
    <w:rsid w:val="00173A66"/>
    <w:rsid w:val="00173C6E"/>
    <w:rsid w:val="00173FCD"/>
    <w:rsid w:val="00174008"/>
    <w:rsid w:val="001740B3"/>
    <w:rsid w:val="0017419A"/>
    <w:rsid w:val="00174C0C"/>
    <w:rsid w:val="00174E99"/>
    <w:rsid w:val="00175371"/>
    <w:rsid w:val="001753FA"/>
    <w:rsid w:val="00175C78"/>
    <w:rsid w:val="00175EE6"/>
    <w:rsid w:val="001760C7"/>
    <w:rsid w:val="00176B0A"/>
    <w:rsid w:val="00176D1F"/>
    <w:rsid w:val="00176E68"/>
    <w:rsid w:val="00177380"/>
    <w:rsid w:val="001773C5"/>
    <w:rsid w:val="001775A7"/>
    <w:rsid w:val="00177D5C"/>
    <w:rsid w:val="0018115F"/>
    <w:rsid w:val="001816E8"/>
    <w:rsid w:val="001817BA"/>
    <w:rsid w:val="00182094"/>
    <w:rsid w:val="001820AC"/>
    <w:rsid w:val="00182713"/>
    <w:rsid w:val="0018273F"/>
    <w:rsid w:val="001831F6"/>
    <w:rsid w:val="001835E0"/>
    <w:rsid w:val="00184EB7"/>
    <w:rsid w:val="001854F5"/>
    <w:rsid w:val="00185A1F"/>
    <w:rsid w:val="00185F37"/>
    <w:rsid w:val="00186916"/>
    <w:rsid w:val="00186B20"/>
    <w:rsid w:val="00186D90"/>
    <w:rsid w:val="00186FE8"/>
    <w:rsid w:val="00187499"/>
    <w:rsid w:val="00187750"/>
    <w:rsid w:val="001877ED"/>
    <w:rsid w:val="00187C86"/>
    <w:rsid w:val="00190FE8"/>
    <w:rsid w:val="00191518"/>
    <w:rsid w:val="001915F5"/>
    <w:rsid w:val="0019322C"/>
    <w:rsid w:val="001933E0"/>
    <w:rsid w:val="00193A29"/>
    <w:rsid w:val="001946EC"/>
    <w:rsid w:val="00194AB4"/>
    <w:rsid w:val="00194E9A"/>
    <w:rsid w:val="0019574B"/>
    <w:rsid w:val="00195804"/>
    <w:rsid w:val="001959B5"/>
    <w:rsid w:val="00195A3F"/>
    <w:rsid w:val="00195B2F"/>
    <w:rsid w:val="00196171"/>
    <w:rsid w:val="001961E6"/>
    <w:rsid w:val="001964ED"/>
    <w:rsid w:val="001967BD"/>
    <w:rsid w:val="00196A8A"/>
    <w:rsid w:val="00196CC9"/>
    <w:rsid w:val="00196D70"/>
    <w:rsid w:val="0019714F"/>
    <w:rsid w:val="00197335"/>
    <w:rsid w:val="001A02CA"/>
    <w:rsid w:val="001A038B"/>
    <w:rsid w:val="001A0CEA"/>
    <w:rsid w:val="001A1215"/>
    <w:rsid w:val="001A1816"/>
    <w:rsid w:val="001A1969"/>
    <w:rsid w:val="001A19E2"/>
    <w:rsid w:val="001A1B4A"/>
    <w:rsid w:val="001A1D9E"/>
    <w:rsid w:val="001A2860"/>
    <w:rsid w:val="001A2A01"/>
    <w:rsid w:val="001A2AA6"/>
    <w:rsid w:val="001A33FF"/>
    <w:rsid w:val="001A344D"/>
    <w:rsid w:val="001A39AD"/>
    <w:rsid w:val="001A41BA"/>
    <w:rsid w:val="001A48F0"/>
    <w:rsid w:val="001A4B5F"/>
    <w:rsid w:val="001A5062"/>
    <w:rsid w:val="001A5134"/>
    <w:rsid w:val="001A51A1"/>
    <w:rsid w:val="001A5DE3"/>
    <w:rsid w:val="001A5F32"/>
    <w:rsid w:val="001A660D"/>
    <w:rsid w:val="001A669C"/>
    <w:rsid w:val="001A6EF9"/>
    <w:rsid w:val="001A7E43"/>
    <w:rsid w:val="001A7FB7"/>
    <w:rsid w:val="001B0470"/>
    <w:rsid w:val="001B0633"/>
    <w:rsid w:val="001B0688"/>
    <w:rsid w:val="001B0F04"/>
    <w:rsid w:val="001B1465"/>
    <w:rsid w:val="001B1738"/>
    <w:rsid w:val="001B19CE"/>
    <w:rsid w:val="001B30FB"/>
    <w:rsid w:val="001B3D03"/>
    <w:rsid w:val="001B43CD"/>
    <w:rsid w:val="001B43FC"/>
    <w:rsid w:val="001B4C13"/>
    <w:rsid w:val="001B500D"/>
    <w:rsid w:val="001B6272"/>
    <w:rsid w:val="001B67B9"/>
    <w:rsid w:val="001B68C4"/>
    <w:rsid w:val="001B7558"/>
    <w:rsid w:val="001B7F4F"/>
    <w:rsid w:val="001C0173"/>
    <w:rsid w:val="001C06C0"/>
    <w:rsid w:val="001C0FDD"/>
    <w:rsid w:val="001C28CC"/>
    <w:rsid w:val="001C2E95"/>
    <w:rsid w:val="001C390C"/>
    <w:rsid w:val="001C43CB"/>
    <w:rsid w:val="001C4914"/>
    <w:rsid w:val="001C4A65"/>
    <w:rsid w:val="001C4CC7"/>
    <w:rsid w:val="001C5096"/>
    <w:rsid w:val="001C5CDF"/>
    <w:rsid w:val="001C5FBE"/>
    <w:rsid w:val="001C688A"/>
    <w:rsid w:val="001C710C"/>
    <w:rsid w:val="001C7749"/>
    <w:rsid w:val="001C77CE"/>
    <w:rsid w:val="001C790B"/>
    <w:rsid w:val="001C797E"/>
    <w:rsid w:val="001D094F"/>
    <w:rsid w:val="001D0D22"/>
    <w:rsid w:val="001D1D0C"/>
    <w:rsid w:val="001D28D8"/>
    <w:rsid w:val="001D28FA"/>
    <w:rsid w:val="001D2D7F"/>
    <w:rsid w:val="001D33E6"/>
    <w:rsid w:val="001D5441"/>
    <w:rsid w:val="001D5831"/>
    <w:rsid w:val="001D5C13"/>
    <w:rsid w:val="001D6381"/>
    <w:rsid w:val="001D6F5B"/>
    <w:rsid w:val="001D768C"/>
    <w:rsid w:val="001E069C"/>
    <w:rsid w:val="001E0DD8"/>
    <w:rsid w:val="001E2574"/>
    <w:rsid w:val="001E2F5E"/>
    <w:rsid w:val="001E3648"/>
    <w:rsid w:val="001E4C67"/>
    <w:rsid w:val="001E5327"/>
    <w:rsid w:val="001E5CFB"/>
    <w:rsid w:val="001E662C"/>
    <w:rsid w:val="001E6796"/>
    <w:rsid w:val="001E684C"/>
    <w:rsid w:val="001E79F5"/>
    <w:rsid w:val="001E7B46"/>
    <w:rsid w:val="001E7F88"/>
    <w:rsid w:val="001F0155"/>
    <w:rsid w:val="001F052F"/>
    <w:rsid w:val="001F0A4F"/>
    <w:rsid w:val="001F0AB3"/>
    <w:rsid w:val="001F1227"/>
    <w:rsid w:val="001F14DA"/>
    <w:rsid w:val="001F1F2A"/>
    <w:rsid w:val="001F2494"/>
    <w:rsid w:val="001F2525"/>
    <w:rsid w:val="001F2617"/>
    <w:rsid w:val="001F2950"/>
    <w:rsid w:val="001F29FC"/>
    <w:rsid w:val="001F2C22"/>
    <w:rsid w:val="001F3071"/>
    <w:rsid w:val="001F31B1"/>
    <w:rsid w:val="001F351F"/>
    <w:rsid w:val="001F3857"/>
    <w:rsid w:val="001F4464"/>
    <w:rsid w:val="001F4FD4"/>
    <w:rsid w:val="001F5D35"/>
    <w:rsid w:val="001F73CC"/>
    <w:rsid w:val="00200010"/>
    <w:rsid w:val="00200BFB"/>
    <w:rsid w:val="00201388"/>
    <w:rsid w:val="002018E6"/>
    <w:rsid w:val="00201921"/>
    <w:rsid w:val="00203CD0"/>
    <w:rsid w:val="00203F61"/>
    <w:rsid w:val="00203FDF"/>
    <w:rsid w:val="0020417F"/>
    <w:rsid w:val="00204559"/>
    <w:rsid w:val="00204667"/>
    <w:rsid w:val="00204F7F"/>
    <w:rsid w:val="002055E6"/>
    <w:rsid w:val="00205A0F"/>
    <w:rsid w:val="002062DF"/>
    <w:rsid w:val="00206316"/>
    <w:rsid w:val="0020653E"/>
    <w:rsid w:val="0020782C"/>
    <w:rsid w:val="0020792C"/>
    <w:rsid w:val="00207ED5"/>
    <w:rsid w:val="002101AF"/>
    <w:rsid w:val="00210BF4"/>
    <w:rsid w:val="00210DF3"/>
    <w:rsid w:val="0021119E"/>
    <w:rsid w:val="0021209E"/>
    <w:rsid w:val="00212144"/>
    <w:rsid w:val="002122D7"/>
    <w:rsid w:val="00212380"/>
    <w:rsid w:val="0021255D"/>
    <w:rsid w:val="002127F5"/>
    <w:rsid w:val="00213184"/>
    <w:rsid w:val="00213DE4"/>
    <w:rsid w:val="00214621"/>
    <w:rsid w:val="00214E08"/>
    <w:rsid w:val="00215550"/>
    <w:rsid w:val="002155A9"/>
    <w:rsid w:val="002158B5"/>
    <w:rsid w:val="002159B2"/>
    <w:rsid w:val="00215E33"/>
    <w:rsid w:val="00215FD4"/>
    <w:rsid w:val="00216379"/>
    <w:rsid w:val="002167F6"/>
    <w:rsid w:val="00216EAD"/>
    <w:rsid w:val="00217614"/>
    <w:rsid w:val="00217EBB"/>
    <w:rsid w:val="002205ED"/>
    <w:rsid w:val="002206BB"/>
    <w:rsid w:val="002207AC"/>
    <w:rsid w:val="00220B73"/>
    <w:rsid w:val="00220F68"/>
    <w:rsid w:val="0022160D"/>
    <w:rsid w:val="00221628"/>
    <w:rsid w:val="002218B9"/>
    <w:rsid w:val="002228DC"/>
    <w:rsid w:val="002230AE"/>
    <w:rsid w:val="002234EB"/>
    <w:rsid w:val="0022528A"/>
    <w:rsid w:val="00225325"/>
    <w:rsid w:val="00225D40"/>
    <w:rsid w:val="002267DE"/>
    <w:rsid w:val="0022787A"/>
    <w:rsid w:val="00232F2C"/>
    <w:rsid w:val="00233274"/>
    <w:rsid w:val="00233768"/>
    <w:rsid w:val="00234E94"/>
    <w:rsid w:val="002351FB"/>
    <w:rsid w:val="002352B7"/>
    <w:rsid w:val="002353F4"/>
    <w:rsid w:val="002361DF"/>
    <w:rsid w:val="00236F51"/>
    <w:rsid w:val="00237300"/>
    <w:rsid w:val="00237B46"/>
    <w:rsid w:val="00240564"/>
    <w:rsid w:val="0024114B"/>
    <w:rsid w:val="0024188B"/>
    <w:rsid w:val="00241C69"/>
    <w:rsid w:val="0024207A"/>
    <w:rsid w:val="002420EE"/>
    <w:rsid w:val="0024247A"/>
    <w:rsid w:val="002426FA"/>
    <w:rsid w:val="00243142"/>
    <w:rsid w:val="00243BE1"/>
    <w:rsid w:val="00243EE9"/>
    <w:rsid w:val="0024490C"/>
    <w:rsid w:val="00244AFE"/>
    <w:rsid w:val="002452BC"/>
    <w:rsid w:val="0024624B"/>
    <w:rsid w:val="002465A7"/>
    <w:rsid w:val="00246BE8"/>
    <w:rsid w:val="002476E5"/>
    <w:rsid w:val="00247F06"/>
    <w:rsid w:val="002509D2"/>
    <w:rsid w:val="00251C93"/>
    <w:rsid w:val="002521EC"/>
    <w:rsid w:val="00252330"/>
    <w:rsid w:val="00253943"/>
    <w:rsid w:val="00253BE4"/>
    <w:rsid w:val="00253ED9"/>
    <w:rsid w:val="0025422E"/>
    <w:rsid w:val="002545C8"/>
    <w:rsid w:val="00254C4D"/>
    <w:rsid w:val="002558A3"/>
    <w:rsid w:val="00256975"/>
    <w:rsid w:val="00256D33"/>
    <w:rsid w:val="0025709E"/>
    <w:rsid w:val="0025729E"/>
    <w:rsid w:val="00257902"/>
    <w:rsid w:val="002579D0"/>
    <w:rsid w:val="00257B6D"/>
    <w:rsid w:val="00257B91"/>
    <w:rsid w:val="00257F1C"/>
    <w:rsid w:val="002609D6"/>
    <w:rsid w:val="00260B6D"/>
    <w:rsid w:val="00261A7D"/>
    <w:rsid w:val="00261E36"/>
    <w:rsid w:val="00262F40"/>
    <w:rsid w:val="002630A4"/>
    <w:rsid w:val="002632DC"/>
    <w:rsid w:val="002632E2"/>
    <w:rsid w:val="0026376B"/>
    <w:rsid w:val="002637B4"/>
    <w:rsid w:val="00264D94"/>
    <w:rsid w:val="00264F26"/>
    <w:rsid w:val="002655A1"/>
    <w:rsid w:val="00265CCB"/>
    <w:rsid w:val="00266022"/>
    <w:rsid w:val="0026666F"/>
    <w:rsid w:val="00266A05"/>
    <w:rsid w:val="0026728A"/>
    <w:rsid w:val="002672D5"/>
    <w:rsid w:val="00267E41"/>
    <w:rsid w:val="002710C3"/>
    <w:rsid w:val="002712C0"/>
    <w:rsid w:val="002713E1"/>
    <w:rsid w:val="00272189"/>
    <w:rsid w:val="00272E6E"/>
    <w:rsid w:val="00272F0F"/>
    <w:rsid w:val="00273B98"/>
    <w:rsid w:val="00273DD6"/>
    <w:rsid w:val="00274017"/>
    <w:rsid w:val="0027472A"/>
    <w:rsid w:val="00275326"/>
    <w:rsid w:val="002755D3"/>
    <w:rsid w:val="002755F9"/>
    <w:rsid w:val="00275D46"/>
    <w:rsid w:val="00275EC6"/>
    <w:rsid w:val="00276CE2"/>
    <w:rsid w:val="0027704D"/>
    <w:rsid w:val="002775B5"/>
    <w:rsid w:val="0027792F"/>
    <w:rsid w:val="00280435"/>
    <w:rsid w:val="00280EAB"/>
    <w:rsid w:val="002818F8"/>
    <w:rsid w:val="00281909"/>
    <w:rsid w:val="002820B4"/>
    <w:rsid w:val="002820F5"/>
    <w:rsid w:val="00282C49"/>
    <w:rsid w:val="00282D25"/>
    <w:rsid w:val="00282F3E"/>
    <w:rsid w:val="00283CE3"/>
    <w:rsid w:val="00284257"/>
    <w:rsid w:val="0028538E"/>
    <w:rsid w:val="0028677A"/>
    <w:rsid w:val="00286B40"/>
    <w:rsid w:val="00286B62"/>
    <w:rsid w:val="00286C5F"/>
    <w:rsid w:val="00287697"/>
    <w:rsid w:val="0028770C"/>
    <w:rsid w:val="00291ECE"/>
    <w:rsid w:val="00291F62"/>
    <w:rsid w:val="0029200E"/>
    <w:rsid w:val="00292094"/>
    <w:rsid w:val="00292538"/>
    <w:rsid w:val="002937C3"/>
    <w:rsid w:val="00293E33"/>
    <w:rsid w:val="00295349"/>
    <w:rsid w:val="002959C8"/>
    <w:rsid w:val="0029620A"/>
    <w:rsid w:val="0029667D"/>
    <w:rsid w:val="00297238"/>
    <w:rsid w:val="002978BD"/>
    <w:rsid w:val="00297B59"/>
    <w:rsid w:val="00297BB5"/>
    <w:rsid w:val="00297EB5"/>
    <w:rsid w:val="002A0824"/>
    <w:rsid w:val="002A09AE"/>
    <w:rsid w:val="002A12BE"/>
    <w:rsid w:val="002A21CD"/>
    <w:rsid w:val="002A21F9"/>
    <w:rsid w:val="002A26C4"/>
    <w:rsid w:val="002A2E8F"/>
    <w:rsid w:val="002A3BF7"/>
    <w:rsid w:val="002A3CDD"/>
    <w:rsid w:val="002A4D1F"/>
    <w:rsid w:val="002A4D23"/>
    <w:rsid w:val="002A4FEB"/>
    <w:rsid w:val="002A5B0D"/>
    <w:rsid w:val="002A5E35"/>
    <w:rsid w:val="002A5EF2"/>
    <w:rsid w:val="002A62E4"/>
    <w:rsid w:val="002A65C6"/>
    <w:rsid w:val="002B126E"/>
    <w:rsid w:val="002B1369"/>
    <w:rsid w:val="002B15E4"/>
    <w:rsid w:val="002B1A19"/>
    <w:rsid w:val="002B322A"/>
    <w:rsid w:val="002B35F1"/>
    <w:rsid w:val="002B3CDE"/>
    <w:rsid w:val="002B42C9"/>
    <w:rsid w:val="002B4605"/>
    <w:rsid w:val="002B4ACA"/>
    <w:rsid w:val="002B5D43"/>
    <w:rsid w:val="002B6200"/>
    <w:rsid w:val="002B66D7"/>
    <w:rsid w:val="002B6C58"/>
    <w:rsid w:val="002B6CC2"/>
    <w:rsid w:val="002B7429"/>
    <w:rsid w:val="002C0ACA"/>
    <w:rsid w:val="002C0B4B"/>
    <w:rsid w:val="002C1849"/>
    <w:rsid w:val="002C20FC"/>
    <w:rsid w:val="002C39C8"/>
    <w:rsid w:val="002C3B71"/>
    <w:rsid w:val="002C40C5"/>
    <w:rsid w:val="002C46C0"/>
    <w:rsid w:val="002C4799"/>
    <w:rsid w:val="002C4FB1"/>
    <w:rsid w:val="002C5556"/>
    <w:rsid w:val="002C59EC"/>
    <w:rsid w:val="002C6B0D"/>
    <w:rsid w:val="002C7D69"/>
    <w:rsid w:val="002C7E02"/>
    <w:rsid w:val="002D0598"/>
    <w:rsid w:val="002D0925"/>
    <w:rsid w:val="002D1DED"/>
    <w:rsid w:val="002D1F65"/>
    <w:rsid w:val="002D291B"/>
    <w:rsid w:val="002D317C"/>
    <w:rsid w:val="002D3637"/>
    <w:rsid w:val="002D3DCE"/>
    <w:rsid w:val="002D4713"/>
    <w:rsid w:val="002D520F"/>
    <w:rsid w:val="002D52E7"/>
    <w:rsid w:val="002D5507"/>
    <w:rsid w:val="002D57C5"/>
    <w:rsid w:val="002D60A6"/>
    <w:rsid w:val="002D6544"/>
    <w:rsid w:val="002D69DE"/>
    <w:rsid w:val="002D7C3D"/>
    <w:rsid w:val="002E0155"/>
    <w:rsid w:val="002E03B9"/>
    <w:rsid w:val="002E0768"/>
    <w:rsid w:val="002E1092"/>
    <w:rsid w:val="002E1735"/>
    <w:rsid w:val="002E1B05"/>
    <w:rsid w:val="002E1B39"/>
    <w:rsid w:val="002E1DD2"/>
    <w:rsid w:val="002E2801"/>
    <w:rsid w:val="002E2E3D"/>
    <w:rsid w:val="002E3384"/>
    <w:rsid w:val="002E4522"/>
    <w:rsid w:val="002E53AF"/>
    <w:rsid w:val="002E5617"/>
    <w:rsid w:val="002E6593"/>
    <w:rsid w:val="002E66C0"/>
    <w:rsid w:val="002E6F7A"/>
    <w:rsid w:val="002E7235"/>
    <w:rsid w:val="002E7D43"/>
    <w:rsid w:val="002E7EAF"/>
    <w:rsid w:val="002F05D0"/>
    <w:rsid w:val="002F0BAB"/>
    <w:rsid w:val="002F0E62"/>
    <w:rsid w:val="002F13C0"/>
    <w:rsid w:val="002F1CE7"/>
    <w:rsid w:val="002F201D"/>
    <w:rsid w:val="002F22D3"/>
    <w:rsid w:val="002F32D1"/>
    <w:rsid w:val="002F39BA"/>
    <w:rsid w:val="002F3CFF"/>
    <w:rsid w:val="002F4482"/>
    <w:rsid w:val="002F564C"/>
    <w:rsid w:val="002F5AAC"/>
    <w:rsid w:val="002F6776"/>
    <w:rsid w:val="002F7BC5"/>
    <w:rsid w:val="00300A35"/>
    <w:rsid w:val="00300BCC"/>
    <w:rsid w:val="00300E46"/>
    <w:rsid w:val="0030123E"/>
    <w:rsid w:val="00301650"/>
    <w:rsid w:val="00301704"/>
    <w:rsid w:val="00301DA4"/>
    <w:rsid w:val="00302174"/>
    <w:rsid w:val="00302936"/>
    <w:rsid w:val="00303398"/>
    <w:rsid w:val="00303DEA"/>
    <w:rsid w:val="003044E9"/>
    <w:rsid w:val="00304B8D"/>
    <w:rsid w:val="00304CED"/>
    <w:rsid w:val="00304DA3"/>
    <w:rsid w:val="00304FEF"/>
    <w:rsid w:val="00305484"/>
    <w:rsid w:val="00305ED6"/>
    <w:rsid w:val="00306F3E"/>
    <w:rsid w:val="00306F46"/>
    <w:rsid w:val="00306FB7"/>
    <w:rsid w:val="00307B66"/>
    <w:rsid w:val="00310352"/>
    <w:rsid w:val="00310A57"/>
    <w:rsid w:val="00310A89"/>
    <w:rsid w:val="00311A25"/>
    <w:rsid w:val="00311F1D"/>
    <w:rsid w:val="0031332E"/>
    <w:rsid w:val="0031351B"/>
    <w:rsid w:val="00313AAC"/>
    <w:rsid w:val="00313DA6"/>
    <w:rsid w:val="003143AB"/>
    <w:rsid w:val="00315108"/>
    <w:rsid w:val="003153C2"/>
    <w:rsid w:val="003156F8"/>
    <w:rsid w:val="00315904"/>
    <w:rsid w:val="00315C56"/>
    <w:rsid w:val="0031604A"/>
    <w:rsid w:val="00316258"/>
    <w:rsid w:val="00317AA9"/>
    <w:rsid w:val="00320776"/>
    <w:rsid w:val="00320861"/>
    <w:rsid w:val="00320CE9"/>
    <w:rsid w:val="00320E4A"/>
    <w:rsid w:val="00321048"/>
    <w:rsid w:val="003212A7"/>
    <w:rsid w:val="003213B6"/>
    <w:rsid w:val="003217F3"/>
    <w:rsid w:val="00321844"/>
    <w:rsid w:val="00321AB3"/>
    <w:rsid w:val="00322776"/>
    <w:rsid w:val="0032342B"/>
    <w:rsid w:val="00323659"/>
    <w:rsid w:val="003244D4"/>
    <w:rsid w:val="00324834"/>
    <w:rsid w:val="00325217"/>
    <w:rsid w:val="003253BD"/>
    <w:rsid w:val="00325467"/>
    <w:rsid w:val="003255C2"/>
    <w:rsid w:val="00325B99"/>
    <w:rsid w:val="0032627D"/>
    <w:rsid w:val="00326611"/>
    <w:rsid w:val="00326C9B"/>
    <w:rsid w:val="00327158"/>
    <w:rsid w:val="00327301"/>
    <w:rsid w:val="0033032A"/>
    <w:rsid w:val="00330727"/>
    <w:rsid w:val="00331CD6"/>
    <w:rsid w:val="00331DDA"/>
    <w:rsid w:val="00332184"/>
    <w:rsid w:val="003326A4"/>
    <w:rsid w:val="00332F77"/>
    <w:rsid w:val="00333484"/>
    <w:rsid w:val="003336AC"/>
    <w:rsid w:val="00333AB3"/>
    <w:rsid w:val="00333E45"/>
    <w:rsid w:val="00333F1E"/>
    <w:rsid w:val="0033408C"/>
    <w:rsid w:val="003348BA"/>
    <w:rsid w:val="00334B8C"/>
    <w:rsid w:val="00334D90"/>
    <w:rsid w:val="00335278"/>
    <w:rsid w:val="003353AA"/>
    <w:rsid w:val="00335F11"/>
    <w:rsid w:val="00336DEF"/>
    <w:rsid w:val="0033765A"/>
    <w:rsid w:val="00337C98"/>
    <w:rsid w:val="00337D90"/>
    <w:rsid w:val="00340E01"/>
    <w:rsid w:val="00341566"/>
    <w:rsid w:val="0034274B"/>
    <w:rsid w:val="0034280D"/>
    <w:rsid w:val="00343B09"/>
    <w:rsid w:val="00344462"/>
    <w:rsid w:val="00344A46"/>
    <w:rsid w:val="00344B37"/>
    <w:rsid w:val="00344E07"/>
    <w:rsid w:val="00345320"/>
    <w:rsid w:val="0034548B"/>
    <w:rsid w:val="003456DD"/>
    <w:rsid w:val="0034609B"/>
    <w:rsid w:val="003462E4"/>
    <w:rsid w:val="003469AA"/>
    <w:rsid w:val="00347C02"/>
    <w:rsid w:val="00347C81"/>
    <w:rsid w:val="00347DAF"/>
    <w:rsid w:val="003506BD"/>
    <w:rsid w:val="00351263"/>
    <w:rsid w:val="00351900"/>
    <w:rsid w:val="0035237E"/>
    <w:rsid w:val="00352A84"/>
    <w:rsid w:val="00354281"/>
    <w:rsid w:val="00354972"/>
    <w:rsid w:val="00354A29"/>
    <w:rsid w:val="00354F9F"/>
    <w:rsid w:val="00355738"/>
    <w:rsid w:val="00355A2C"/>
    <w:rsid w:val="00355F87"/>
    <w:rsid w:val="00355FE7"/>
    <w:rsid w:val="003569E9"/>
    <w:rsid w:val="003578E2"/>
    <w:rsid w:val="003604FF"/>
    <w:rsid w:val="00361393"/>
    <w:rsid w:val="003615A2"/>
    <w:rsid w:val="00362166"/>
    <w:rsid w:val="00362610"/>
    <w:rsid w:val="00363A35"/>
    <w:rsid w:val="00363B16"/>
    <w:rsid w:val="00364391"/>
    <w:rsid w:val="003644A0"/>
    <w:rsid w:val="003645EC"/>
    <w:rsid w:val="00364A6C"/>
    <w:rsid w:val="0036512D"/>
    <w:rsid w:val="00365482"/>
    <w:rsid w:val="00365930"/>
    <w:rsid w:val="00365EB0"/>
    <w:rsid w:val="0036625D"/>
    <w:rsid w:val="00367AD1"/>
    <w:rsid w:val="00367F39"/>
    <w:rsid w:val="00370551"/>
    <w:rsid w:val="003709E2"/>
    <w:rsid w:val="00370A45"/>
    <w:rsid w:val="0037102D"/>
    <w:rsid w:val="00371650"/>
    <w:rsid w:val="003716BD"/>
    <w:rsid w:val="00371B35"/>
    <w:rsid w:val="00371F5E"/>
    <w:rsid w:val="00372271"/>
    <w:rsid w:val="00372696"/>
    <w:rsid w:val="00372ABB"/>
    <w:rsid w:val="00372AFE"/>
    <w:rsid w:val="00373480"/>
    <w:rsid w:val="00373B22"/>
    <w:rsid w:val="00373B99"/>
    <w:rsid w:val="00373D58"/>
    <w:rsid w:val="00374613"/>
    <w:rsid w:val="0037479D"/>
    <w:rsid w:val="003747A7"/>
    <w:rsid w:val="00374A1C"/>
    <w:rsid w:val="0037552D"/>
    <w:rsid w:val="003760E1"/>
    <w:rsid w:val="0037619E"/>
    <w:rsid w:val="003764C6"/>
    <w:rsid w:val="00376D7F"/>
    <w:rsid w:val="00376F47"/>
    <w:rsid w:val="003779A5"/>
    <w:rsid w:val="00377EEC"/>
    <w:rsid w:val="003805EA"/>
    <w:rsid w:val="00380D10"/>
    <w:rsid w:val="00380E30"/>
    <w:rsid w:val="00380E95"/>
    <w:rsid w:val="003815A2"/>
    <w:rsid w:val="0038181B"/>
    <w:rsid w:val="0038187C"/>
    <w:rsid w:val="00381E70"/>
    <w:rsid w:val="003821B1"/>
    <w:rsid w:val="003827B0"/>
    <w:rsid w:val="0038343D"/>
    <w:rsid w:val="00383564"/>
    <w:rsid w:val="0038392B"/>
    <w:rsid w:val="0038396A"/>
    <w:rsid w:val="00383EB1"/>
    <w:rsid w:val="00384D6A"/>
    <w:rsid w:val="00385251"/>
    <w:rsid w:val="0038556B"/>
    <w:rsid w:val="00386286"/>
    <w:rsid w:val="00386505"/>
    <w:rsid w:val="00387271"/>
    <w:rsid w:val="00387C3C"/>
    <w:rsid w:val="00390074"/>
    <w:rsid w:val="003905AC"/>
    <w:rsid w:val="00390BF7"/>
    <w:rsid w:val="00390C70"/>
    <w:rsid w:val="00390CAB"/>
    <w:rsid w:val="003911BD"/>
    <w:rsid w:val="00391365"/>
    <w:rsid w:val="00392021"/>
    <w:rsid w:val="00392238"/>
    <w:rsid w:val="003922D4"/>
    <w:rsid w:val="00392546"/>
    <w:rsid w:val="003925C1"/>
    <w:rsid w:val="0039291A"/>
    <w:rsid w:val="0039311B"/>
    <w:rsid w:val="0039318E"/>
    <w:rsid w:val="003938ED"/>
    <w:rsid w:val="00393C53"/>
    <w:rsid w:val="00394DD3"/>
    <w:rsid w:val="00394E97"/>
    <w:rsid w:val="00395DE2"/>
    <w:rsid w:val="00395F3D"/>
    <w:rsid w:val="003969F8"/>
    <w:rsid w:val="00396D18"/>
    <w:rsid w:val="00397660"/>
    <w:rsid w:val="00397A96"/>
    <w:rsid w:val="00397BDC"/>
    <w:rsid w:val="003A0461"/>
    <w:rsid w:val="003A0504"/>
    <w:rsid w:val="003A0695"/>
    <w:rsid w:val="003A081F"/>
    <w:rsid w:val="003A0B40"/>
    <w:rsid w:val="003A0ECA"/>
    <w:rsid w:val="003A0F35"/>
    <w:rsid w:val="003A1097"/>
    <w:rsid w:val="003A1582"/>
    <w:rsid w:val="003A165A"/>
    <w:rsid w:val="003A2C00"/>
    <w:rsid w:val="003A30AB"/>
    <w:rsid w:val="003A335B"/>
    <w:rsid w:val="003A3A74"/>
    <w:rsid w:val="003A3D23"/>
    <w:rsid w:val="003A3EB9"/>
    <w:rsid w:val="003A3EF5"/>
    <w:rsid w:val="003A3FE5"/>
    <w:rsid w:val="003A464E"/>
    <w:rsid w:val="003A5958"/>
    <w:rsid w:val="003A6BBD"/>
    <w:rsid w:val="003A706B"/>
    <w:rsid w:val="003B0331"/>
    <w:rsid w:val="003B067E"/>
    <w:rsid w:val="003B0703"/>
    <w:rsid w:val="003B0E89"/>
    <w:rsid w:val="003B16AB"/>
    <w:rsid w:val="003B20A4"/>
    <w:rsid w:val="003B233E"/>
    <w:rsid w:val="003B2535"/>
    <w:rsid w:val="003B2BD4"/>
    <w:rsid w:val="003B3486"/>
    <w:rsid w:val="003B36D0"/>
    <w:rsid w:val="003B37E5"/>
    <w:rsid w:val="003B3BA6"/>
    <w:rsid w:val="003B42DD"/>
    <w:rsid w:val="003B43FD"/>
    <w:rsid w:val="003B4492"/>
    <w:rsid w:val="003B4F91"/>
    <w:rsid w:val="003B52FC"/>
    <w:rsid w:val="003B53CB"/>
    <w:rsid w:val="003B55F9"/>
    <w:rsid w:val="003B62D1"/>
    <w:rsid w:val="003B66F7"/>
    <w:rsid w:val="003B68A3"/>
    <w:rsid w:val="003B6BA2"/>
    <w:rsid w:val="003B701D"/>
    <w:rsid w:val="003B7279"/>
    <w:rsid w:val="003B79C1"/>
    <w:rsid w:val="003B7A89"/>
    <w:rsid w:val="003B7AB4"/>
    <w:rsid w:val="003C0059"/>
    <w:rsid w:val="003C00B2"/>
    <w:rsid w:val="003C016E"/>
    <w:rsid w:val="003C0517"/>
    <w:rsid w:val="003C0D06"/>
    <w:rsid w:val="003C1305"/>
    <w:rsid w:val="003C28F1"/>
    <w:rsid w:val="003C2B89"/>
    <w:rsid w:val="003C3284"/>
    <w:rsid w:val="003C3D0B"/>
    <w:rsid w:val="003C4AAE"/>
    <w:rsid w:val="003C52B2"/>
    <w:rsid w:val="003C552C"/>
    <w:rsid w:val="003C69BF"/>
    <w:rsid w:val="003C6A98"/>
    <w:rsid w:val="003C7143"/>
    <w:rsid w:val="003C780E"/>
    <w:rsid w:val="003D0040"/>
    <w:rsid w:val="003D0976"/>
    <w:rsid w:val="003D0BB7"/>
    <w:rsid w:val="003D14CD"/>
    <w:rsid w:val="003D1CCD"/>
    <w:rsid w:val="003D2EB7"/>
    <w:rsid w:val="003D3497"/>
    <w:rsid w:val="003D35EA"/>
    <w:rsid w:val="003D38B7"/>
    <w:rsid w:val="003D3C68"/>
    <w:rsid w:val="003D446D"/>
    <w:rsid w:val="003D4AF1"/>
    <w:rsid w:val="003D4C61"/>
    <w:rsid w:val="003D4CB6"/>
    <w:rsid w:val="003D5599"/>
    <w:rsid w:val="003D5B89"/>
    <w:rsid w:val="003D5BBF"/>
    <w:rsid w:val="003D621A"/>
    <w:rsid w:val="003D675B"/>
    <w:rsid w:val="003D6DC3"/>
    <w:rsid w:val="003D7079"/>
    <w:rsid w:val="003D730E"/>
    <w:rsid w:val="003D772D"/>
    <w:rsid w:val="003E04E3"/>
    <w:rsid w:val="003E0813"/>
    <w:rsid w:val="003E148B"/>
    <w:rsid w:val="003E1511"/>
    <w:rsid w:val="003E16C6"/>
    <w:rsid w:val="003E1FA8"/>
    <w:rsid w:val="003E1FDC"/>
    <w:rsid w:val="003E200A"/>
    <w:rsid w:val="003E3272"/>
    <w:rsid w:val="003E3B21"/>
    <w:rsid w:val="003E48C0"/>
    <w:rsid w:val="003E51E6"/>
    <w:rsid w:val="003E5448"/>
    <w:rsid w:val="003E57A1"/>
    <w:rsid w:val="003E63D2"/>
    <w:rsid w:val="003E6D58"/>
    <w:rsid w:val="003E6F40"/>
    <w:rsid w:val="003E7014"/>
    <w:rsid w:val="003E705A"/>
    <w:rsid w:val="003E779C"/>
    <w:rsid w:val="003F03F3"/>
    <w:rsid w:val="003F0598"/>
    <w:rsid w:val="003F0E01"/>
    <w:rsid w:val="003F161C"/>
    <w:rsid w:val="003F1C0C"/>
    <w:rsid w:val="003F2590"/>
    <w:rsid w:val="003F270F"/>
    <w:rsid w:val="003F2B7B"/>
    <w:rsid w:val="003F2D1F"/>
    <w:rsid w:val="003F2E54"/>
    <w:rsid w:val="003F2E94"/>
    <w:rsid w:val="003F2F72"/>
    <w:rsid w:val="003F34A5"/>
    <w:rsid w:val="003F3C2E"/>
    <w:rsid w:val="003F3D27"/>
    <w:rsid w:val="003F439D"/>
    <w:rsid w:val="003F4B11"/>
    <w:rsid w:val="003F4EED"/>
    <w:rsid w:val="003F5AAF"/>
    <w:rsid w:val="003F5B2C"/>
    <w:rsid w:val="003F5EDC"/>
    <w:rsid w:val="003F6854"/>
    <w:rsid w:val="003F6A69"/>
    <w:rsid w:val="003F7150"/>
    <w:rsid w:val="003F7A5D"/>
    <w:rsid w:val="003F7DA5"/>
    <w:rsid w:val="00400314"/>
    <w:rsid w:val="004022CA"/>
    <w:rsid w:val="00402967"/>
    <w:rsid w:val="00403588"/>
    <w:rsid w:val="004044B5"/>
    <w:rsid w:val="00404E74"/>
    <w:rsid w:val="00404EEE"/>
    <w:rsid w:val="00405C15"/>
    <w:rsid w:val="00406114"/>
    <w:rsid w:val="004078BB"/>
    <w:rsid w:val="00407BCD"/>
    <w:rsid w:val="00410012"/>
    <w:rsid w:val="004103F5"/>
    <w:rsid w:val="0041085E"/>
    <w:rsid w:val="0041144A"/>
    <w:rsid w:val="00411895"/>
    <w:rsid w:val="00411D4B"/>
    <w:rsid w:val="00412D68"/>
    <w:rsid w:val="004132AD"/>
    <w:rsid w:val="00414826"/>
    <w:rsid w:val="004150BA"/>
    <w:rsid w:val="00415C93"/>
    <w:rsid w:val="0041654E"/>
    <w:rsid w:val="004168EA"/>
    <w:rsid w:val="00416C19"/>
    <w:rsid w:val="00416C1D"/>
    <w:rsid w:val="0042095E"/>
    <w:rsid w:val="00420DCC"/>
    <w:rsid w:val="00420FAF"/>
    <w:rsid w:val="00421015"/>
    <w:rsid w:val="00421160"/>
    <w:rsid w:val="00421864"/>
    <w:rsid w:val="00421BF8"/>
    <w:rsid w:val="00422241"/>
    <w:rsid w:val="004224C6"/>
    <w:rsid w:val="00422589"/>
    <w:rsid w:val="00423158"/>
    <w:rsid w:val="00424229"/>
    <w:rsid w:val="00424897"/>
    <w:rsid w:val="00424A96"/>
    <w:rsid w:val="004253CC"/>
    <w:rsid w:val="004259CC"/>
    <w:rsid w:val="00425ACC"/>
    <w:rsid w:val="004267C5"/>
    <w:rsid w:val="00427770"/>
    <w:rsid w:val="004277E8"/>
    <w:rsid w:val="00427DA3"/>
    <w:rsid w:val="00427E59"/>
    <w:rsid w:val="0043075C"/>
    <w:rsid w:val="00431091"/>
    <w:rsid w:val="00431ACF"/>
    <w:rsid w:val="0043208D"/>
    <w:rsid w:val="004322E1"/>
    <w:rsid w:val="00432975"/>
    <w:rsid w:val="00433355"/>
    <w:rsid w:val="0043350F"/>
    <w:rsid w:val="004338AC"/>
    <w:rsid w:val="00433C6D"/>
    <w:rsid w:val="00433F8E"/>
    <w:rsid w:val="00434271"/>
    <w:rsid w:val="00435ADA"/>
    <w:rsid w:val="00435B4B"/>
    <w:rsid w:val="0043675D"/>
    <w:rsid w:val="00436A37"/>
    <w:rsid w:val="00437144"/>
    <w:rsid w:val="0043786A"/>
    <w:rsid w:val="0044082E"/>
    <w:rsid w:val="00440F9C"/>
    <w:rsid w:val="0044198A"/>
    <w:rsid w:val="00443186"/>
    <w:rsid w:val="00443325"/>
    <w:rsid w:val="00443772"/>
    <w:rsid w:val="00443B40"/>
    <w:rsid w:val="00445671"/>
    <w:rsid w:val="00445B5E"/>
    <w:rsid w:val="0044622F"/>
    <w:rsid w:val="00447319"/>
    <w:rsid w:val="00447485"/>
    <w:rsid w:val="00447E64"/>
    <w:rsid w:val="004500D3"/>
    <w:rsid w:val="004503AC"/>
    <w:rsid w:val="004505F2"/>
    <w:rsid w:val="004509DE"/>
    <w:rsid w:val="004511CF"/>
    <w:rsid w:val="00451417"/>
    <w:rsid w:val="0045291A"/>
    <w:rsid w:val="00452B2C"/>
    <w:rsid w:val="00453328"/>
    <w:rsid w:val="004539F3"/>
    <w:rsid w:val="00454043"/>
    <w:rsid w:val="004541AA"/>
    <w:rsid w:val="00454ACF"/>
    <w:rsid w:val="00455740"/>
    <w:rsid w:val="00455B23"/>
    <w:rsid w:val="004563C7"/>
    <w:rsid w:val="004568B0"/>
    <w:rsid w:val="00457F24"/>
    <w:rsid w:val="004600A3"/>
    <w:rsid w:val="0046077D"/>
    <w:rsid w:val="00460CD8"/>
    <w:rsid w:val="00462D2E"/>
    <w:rsid w:val="004631AD"/>
    <w:rsid w:val="00463635"/>
    <w:rsid w:val="0046403A"/>
    <w:rsid w:val="0046477D"/>
    <w:rsid w:val="00464EB4"/>
    <w:rsid w:val="00465394"/>
    <w:rsid w:val="004665C6"/>
    <w:rsid w:val="00466DB7"/>
    <w:rsid w:val="0046727B"/>
    <w:rsid w:val="00467337"/>
    <w:rsid w:val="004676CF"/>
    <w:rsid w:val="00467F40"/>
    <w:rsid w:val="00470566"/>
    <w:rsid w:val="00470576"/>
    <w:rsid w:val="004706B0"/>
    <w:rsid w:val="00471676"/>
    <w:rsid w:val="00471829"/>
    <w:rsid w:val="0047211C"/>
    <w:rsid w:val="00472C28"/>
    <w:rsid w:val="00472CEF"/>
    <w:rsid w:val="00472FE8"/>
    <w:rsid w:val="00473B1B"/>
    <w:rsid w:val="00473F8F"/>
    <w:rsid w:val="004744AD"/>
    <w:rsid w:val="0047501D"/>
    <w:rsid w:val="00475274"/>
    <w:rsid w:val="0047578C"/>
    <w:rsid w:val="00475817"/>
    <w:rsid w:val="00476236"/>
    <w:rsid w:val="0047702E"/>
    <w:rsid w:val="004779BD"/>
    <w:rsid w:val="00477DB1"/>
    <w:rsid w:val="00477DFD"/>
    <w:rsid w:val="004809E1"/>
    <w:rsid w:val="00480C29"/>
    <w:rsid w:val="00480D36"/>
    <w:rsid w:val="00481D6B"/>
    <w:rsid w:val="00481F5C"/>
    <w:rsid w:val="0048261D"/>
    <w:rsid w:val="0048309C"/>
    <w:rsid w:val="0048318F"/>
    <w:rsid w:val="00483593"/>
    <w:rsid w:val="00483B65"/>
    <w:rsid w:val="00483BB0"/>
    <w:rsid w:val="00484363"/>
    <w:rsid w:val="0048443A"/>
    <w:rsid w:val="00484485"/>
    <w:rsid w:val="00484FBE"/>
    <w:rsid w:val="00485983"/>
    <w:rsid w:val="00485BF4"/>
    <w:rsid w:val="00487B91"/>
    <w:rsid w:val="004910BB"/>
    <w:rsid w:val="004916B6"/>
    <w:rsid w:val="004918C5"/>
    <w:rsid w:val="00491D16"/>
    <w:rsid w:val="00492114"/>
    <w:rsid w:val="0049290E"/>
    <w:rsid w:val="0049361E"/>
    <w:rsid w:val="004944E7"/>
    <w:rsid w:val="00494C33"/>
    <w:rsid w:val="00494D40"/>
    <w:rsid w:val="00495036"/>
    <w:rsid w:val="0049517F"/>
    <w:rsid w:val="0049558E"/>
    <w:rsid w:val="00496095"/>
    <w:rsid w:val="00496627"/>
    <w:rsid w:val="00496D99"/>
    <w:rsid w:val="00496DFE"/>
    <w:rsid w:val="004970E2"/>
    <w:rsid w:val="0049791C"/>
    <w:rsid w:val="00497A13"/>
    <w:rsid w:val="004A09B1"/>
    <w:rsid w:val="004A11EB"/>
    <w:rsid w:val="004A307E"/>
    <w:rsid w:val="004A3487"/>
    <w:rsid w:val="004A36AE"/>
    <w:rsid w:val="004A3C1D"/>
    <w:rsid w:val="004A40EA"/>
    <w:rsid w:val="004A4273"/>
    <w:rsid w:val="004A4475"/>
    <w:rsid w:val="004A468B"/>
    <w:rsid w:val="004A4A09"/>
    <w:rsid w:val="004A4CD7"/>
    <w:rsid w:val="004A4ED6"/>
    <w:rsid w:val="004A4FA9"/>
    <w:rsid w:val="004A5475"/>
    <w:rsid w:val="004A5C9B"/>
    <w:rsid w:val="004A62A9"/>
    <w:rsid w:val="004A6E77"/>
    <w:rsid w:val="004A7688"/>
    <w:rsid w:val="004A785C"/>
    <w:rsid w:val="004B0B44"/>
    <w:rsid w:val="004B0FAD"/>
    <w:rsid w:val="004B0FBE"/>
    <w:rsid w:val="004B2752"/>
    <w:rsid w:val="004B3254"/>
    <w:rsid w:val="004B4D24"/>
    <w:rsid w:val="004B5703"/>
    <w:rsid w:val="004B62DB"/>
    <w:rsid w:val="004B630C"/>
    <w:rsid w:val="004B6656"/>
    <w:rsid w:val="004B68D7"/>
    <w:rsid w:val="004B6C56"/>
    <w:rsid w:val="004B7613"/>
    <w:rsid w:val="004B7F7C"/>
    <w:rsid w:val="004C062E"/>
    <w:rsid w:val="004C0A0E"/>
    <w:rsid w:val="004C1031"/>
    <w:rsid w:val="004C1725"/>
    <w:rsid w:val="004C1A21"/>
    <w:rsid w:val="004C1C27"/>
    <w:rsid w:val="004C211E"/>
    <w:rsid w:val="004C246C"/>
    <w:rsid w:val="004C277D"/>
    <w:rsid w:val="004C28E7"/>
    <w:rsid w:val="004C3063"/>
    <w:rsid w:val="004C34D9"/>
    <w:rsid w:val="004C3B9A"/>
    <w:rsid w:val="004C3FA8"/>
    <w:rsid w:val="004C440E"/>
    <w:rsid w:val="004C60D4"/>
    <w:rsid w:val="004C6228"/>
    <w:rsid w:val="004C638F"/>
    <w:rsid w:val="004C6F0E"/>
    <w:rsid w:val="004C6F34"/>
    <w:rsid w:val="004D106E"/>
    <w:rsid w:val="004D1FAC"/>
    <w:rsid w:val="004D2404"/>
    <w:rsid w:val="004D2447"/>
    <w:rsid w:val="004D32B2"/>
    <w:rsid w:val="004D34C6"/>
    <w:rsid w:val="004D357D"/>
    <w:rsid w:val="004D4651"/>
    <w:rsid w:val="004D7593"/>
    <w:rsid w:val="004D7C98"/>
    <w:rsid w:val="004E0464"/>
    <w:rsid w:val="004E0763"/>
    <w:rsid w:val="004E0DC7"/>
    <w:rsid w:val="004E2496"/>
    <w:rsid w:val="004E292E"/>
    <w:rsid w:val="004E29E2"/>
    <w:rsid w:val="004E443D"/>
    <w:rsid w:val="004E44E8"/>
    <w:rsid w:val="004E472E"/>
    <w:rsid w:val="004E4A99"/>
    <w:rsid w:val="004E4B99"/>
    <w:rsid w:val="004E5A07"/>
    <w:rsid w:val="004E5C16"/>
    <w:rsid w:val="004E6FE3"/>
    <w:rsid w:val="004E7350"/>
    <w:rsid w:val="004F0A9A"/>
    <w:rsid w:val="004F0C1E"/>
    <w:rsid w:val="004F1083"/>
    <w:rsid w:val="004F1CE6"/>
    <w:rsid w:val="004F2B6B"/>
    <w:rsid w:val="004F2E3C"/>
    <w:rsid w:val="004F364F"/>
    <w:rsid w:val="004F3705"/>
    <w:rsid w:val="004F4219"/>
    <w:rsid w:val="004F449C"/>
    <w:rsid w:val="004F4677"/>
    <w:rsid w:val="004F4803"/>
    <w:rsid w:val="004F4A23"/>
    <w:rsid w:val="004F4D28"/>
    <w:rsid w:val="004F5099"/>
    <w:rsid w:val="004F6344"/>
    <w:rsid w:val="004F6B18"/>
    <w:rsid w:val="004F7A43"/>
    <w:rsid w:val="0050009A"/>
    <w:rsid w:val="0050067B"/>
    <w:rsid w:val="005007DA"/>
    <w:rsid w:val="00500843"/>
    <w:rsid w:val="00500ECE"/>
    <w:rsid w:val="00501067"/>
    <w:rsid w:val="005010E6"/>
    <w:rsid w:val="005016BA"/>
    <w:rsid w:val="00501D1F"/>
    <w:rsid w:val="005029D9"/>
    <w:rsid w:val="00503179"/>
    <w:rsid w:val="0050343A"/>
    <w:rsid w:val="00503A57"/>
    <w:rsid w:val="00503ADC"/>
    <w:rsid w:val="005048BD"/>
    <w:rsid w:val="00504E00"/>
    <w:rsid w:val="00505A15"/>
    <w:rsid w:val="005071EC"/>
    <w:rsid w:val="0050782D"/>
    <w:rsid w:val="005102AF"/>
    <w:rsid w:val="005106F9"/>
    <w:rsid w:val="00510AC2"/>
    <w:rsid w:val="005110ED"/>
    <w:rsid w:val="005114E3"/>
    <w:rsid w:val="00511B74"/>
    <w:rsid w:val="00512A42"/>
    <w:rsid w:val="00512AD6"/>
    <w:rsid w:val="00513448"/>
    <w:rsid w:val="00513BCA"/>
    <w:rsid w:val="00514E9A"/>
    <w:rsid w:val="005155F1"/>
    <w:rsid w:val="00515E00"/>
    <w:rsid w:val="00516243"/>
    <w:rsid w:val="00516267"/>
    <w:rsid w:val="005165C7"/>
    <w:rsid w:val="00516B54"/>
    <w:rsid w:val="005174B8"/>
    <w:rsid w:val="00517989"/>
    <w:rsid w:val="00517F6B"/>
    <w:rsid w:val="005212BB"/>
    <w:rsid w:val="00521D56"/>
    <w:rsid w:val="00521FE0"/>
    <w:rsid w:val="0052212F"/>
    <w:rsid w:val="005221D8"/>
    <w:rsid w:val="00522410"/>
    <w:rsid w:val="00522524"/>
    <w:rsid w:val="005226C1"/>
    <w:rsid w:val="00522D1E"/>
    <w:rsid w:val="00524682"/>
    <w:rsid w:val="005246AE"/>
    <w:rsid w:val="005248DD"/>
    <w:rsid w:val="00524BB8"/>
    <w:rsid w:val="005250A5"/>
    <w:rsid w:val="005255D2"/>
    <w:rsid w:val="00525D5E"/>
    <w:rsid w:val="00525DC2"/>
    <w:rsid w:val="00525E9C"/>
    <w:rsid w:val="0052616C"/>
    <w:rsid w:val="005264EA"/>
    <w:rsid w:val="005265E5"/>
    <w:rsid w:val="005269A5"/>
    <w:rsid w:val="005271F0"/>
    <w:rsid w:val="005273A1"/>
    <w:rsid w:val="005273BC"/>
    <w:rsid w:val="00527638"/>
    <w:rsid w:val="00527DCC"/>
    <w:rsid w:val="005302A3"/>
    <w:rsid w:val="00530DAC"/>
    <w:rsid w:val="00531457"/>
    <w:rsid w:val="00531DF3"/>
    <w:rsid w:val="005321C7"/>
    <w:rsid w:val="005327F1"/>
    <w:rsid w:val="00532E1A"/>
    <w:rsid w:val="00533242"/>
    <w:rsid w:val="00533D3B"/>
    <w:rsid w:val="00534235"/>
    <w:rsid w:val="0053431D"/>
    <w:rsid w:val="005345F4"/>
    <w:rsid w:val="00534BCE"/>
    <w:rsid w:val="0053553A"/>
    <w:rsid w:val="00535CE9"/>
    <w:rsid w:val="00535D68"/>
    <w:rsid w:val="00536A78"/>
    <w:rsid w:val="00536D58"/>
    <w:rsid w:val="00536E97"/>
    <w:rsid w:val="00537C49"/>
    <w:rsid w:val="00540049"/>
    <w:rsid w:val="00540422"/>
    <w:rsid w:val="00540B9D"/>
    <w:rsid w:val="0054128E"/>
    <w:rsid w:val="00541457"/>
    <w:rsid w:val="0054291B"/>
    <w:rsid w:val="00543A3A"/>
    <w:rsid w:val="00543D60"/>
    <w:rsid w:val="005440B7"/>
    <w:rsid w:val="00545038"/>
    <w:rsid w:val="00545167"/>
    <w:rsid w:val="00545377"/>
    <w:rsid w:val="0054537D"/>
    <w:rsid w:val="0054537F"/>
    <w:rsid w:val="00545437"/>
    <w:rsid w:val="005468BF"/>
    <w:rsid w:val="005471C4"/>
    <w:rsid w:val="0054745D"/>
    <w:rsid w:val="00547CDE"/>
    <w:rsid w:val="00547D5A"/>
    <w:rsid w:val="00550582"/>
    <w:rsid w:val="00550589"/>
    <w:rsid w:val="00550D97"/>
    <w:rsid w:val="00551721"/>
    <w:rsid w:val="00551BD9"/>
    <w:rsid w:val="0055207C"/>
    <w:rsid w:val="005527DD"/>
    <w:rsid w:val="0055300F"/>
    <w:rsid w:val="00553847"/>
    <w:rsid w:val="00553D6B"/>
    <w:rsid w:val="00554187"/>
    <w:rsid w:val="00554247"/>
    <w:rsid w:val="005545B6"/>
    <w:rsid w:val="00555004"/>
    <w:rsid w:val="0055506F"/>
    <w:rsid w:val="00555D39"/>
    <w:rsid w:val="005561B1"/>
    <w:rsid w:val="00557555"/>
    <w:rsid w:val="00557814"/>
    <w:rsid w:val="00557B6C"/>
    <w:rsid w:val="00557BD5"/>
    <w:rsid w:val="00557D9F"/>
    <w:rsid w:val="005608C0"/>
    <w:rsid w:val="00560CAA"/>
    <w:rsid w:val="005614C6"/>
    <w:rsid w:val="00561D9C"/>
    <w:rsid w:val="0056306C"/>
    <w:rsid w:val="005630EE"/>
    <w:rsid w:val="00563220"/>
    <w:rsid w:val="005635BB"/>
    <w:rsid w:val="005639C8"/>
    <w:rsid w:val="00564417"/>
    <w:rsid w:val="00564B71"/>
    <w:rsid w:val="00564C49"/>
    <w:rsid w:val="005650AB"/>
    <w:rsid w:val="0056525F"/>
    <w:rsid w:val="00566651"/>
    <w:rsid w:val="005667A0"/>
    <w:rsid w:val="0056725D"/>
    <w:rsid w:val="005677D7"/>
    <w:rsid w:val="00567D93"/>
    <w:rsid w:val="00570D64"/>
    <w:rsid w:val="005711E4"/>
    <w:rsid w:val="00571B74"/>
    <w:rsid w:val="00572697"/>
    <w:rsid w:val="00572A42"/>
    <w:rsid w:val="005733C1"/>
    <w:rsid w:val="005733D9"/>
    <w:rsid w:val="00573FF5"/>
    <w:rsid w:val="005742A6"/>
    <w:rsid w:val="00574374"/>
    <w:rsid w:val="00574849"/>
    <w:rsid w:val="005758E1"/>
    <w:rsid w:val="00575CD0"/>
    <w:rsid w:val="00576A45"/>
    <w:rsid w:val="00576A97"/>
    <w:rsid w:val="00577016"/>
    <w:rsid w:val="00577207"/>
    <w:rsid w:val="0057780D"/>
    <w:rsid w:val="0058029E"/>
    <w:rsid w:val="00580732"/>
    <w:rsid w:val="00580CC0"/>
    <w:rsid w:val="00583370"/>
    <w:rsid w:val="00583925"/>
    <w:rsid w:val="00583C42"/>
    <w:rsid w:val="00584124"/>
    <w:rsid w:val="0058445C"/>
    <w:rsid w:val="00584B3C"/>
    <w:rsid w:val="00585337"/>
    <w:rsid w:val="005854A9"/>
    <w:rsid w:val="005859D5"/>
    <w:rsid w:val="00585CAE"/>
    <w:rsid w:val="005865CB"/>
    <w:rsid w:val="00586812"/>
    <w:rsid w:val="00586A6A"/>
    <w:rsid w:val="005871FB"/>
    <w:rsid w:val="005904E5"/>
    <w:rsid w:val="005909BB"/>
    <w:rsid w:val="005915A1"/>
    <w:rsid w:val="0059203E"/>
    <w:rsid w:val="00592449"/>
    <w:rsid w:val="005929D6"/>
    <w:rsid w:val="00592D55"/>
    <w:rsid w:val="00592D94"/>
    <w:rsid w:val="00592E49"/>
    <w:rsid w:val="00593039"/>
    <w:rsid w:val="005932E1"/>
    <w:rsid w:val="00593E2F"/>
    <w:rsid w:val="00594375"/>
    <w:rsid w:val="005949AE"/>
    <w:rsid w:val="0059517D"/>
    <w:rsid w:val="005957EE"/>
    <w:rsid w:val="00595FA9"/>
    <w:rsid w:val="00596674"/>
    <w:rsid w:val="00596F1B"/>
    <w:rsid w:val="00597908"/>
    <w:rsid w:val="005A00D2"/>
    <w:rsid w:val="005A0206"/>
    <w:rsid w:val="005A082E"/>
    <w:rsid w:val="005A0B56"/>
    <w:rsid w:val="005A0C78"/>
    <w:rsid w:val="005A1D89"/>
    <w:rsid w:val="005A1FA8"/>
    <w:rsid w:val="005A35D7"/>
    <w:rsid w:val="005A36F3"/>
    <w:rsid w:val="005A3BC8"/>
    <w:rsid w:val="005A3E94"/>
    <w:rsid w:val="005A3F40"/>
    <w:rsid w:val="005A53EB"/>
    <w:rsid w:val="005A5A9F"/>
    <w:rsid w:val="005A5AF5"/>
    <w:rsid w:val="005A5CDE"/>
    <w:rsid w:val="005A6246"/>
    <w:rsid w:val="005A6391"/>
    <w:rsid w:val="005A64E4"/>
    <w:rsid w:val="005A6501"/>
    <w:rsid w:val="005A694C"/>
    <w:rsid w:val="005A6C3A"/>
    <w:rsid w:val="005A6D67"/>
    <w:rsid w:val="005A6DDE"/>
    <w:rsid w:val="005A6DF6"/>
    <w:rsid w:val="005A7482"/>
    <w:rsid w:val="005A79E7"/>
    <w:rsid w:val="005B0221"/>
    <w:rsid w:val="005B0470"/>
    <w:rsid w:val="005B0FBE"/>
    <w:rsid w:val="005B1378"/>
    <w:rsid w:val="005B1B62"/>
    <w:rsid w:val="005B2047"/>
    <w:rsid w:val="005B2AA4"/>
    <w:rsid w:val="005B2AD9"/>
    <w:rsid w:val="005B2F71"/>
    <w:rsid w:val="005B2F83"/>
    <w:rsid w:val="005B335C"/>
    <w:rsid w:val="005B3DC9"/>
    <w:rsid w:val="005B401D"/>
    <w:rsid w:val="005B532D"/>
    <w:rsid w:val="005B5E88"/>
    <w:rsid w:val="005B6095"/>
    <w:rsid w:val="005B6C9C"/>
    <w:rsid w:val="005B6E0B"/>
    <w:rsid w:val="005B726C"/>
    <w:rsid w:val="005B7375"/>
    <w:rsid w:val="005B7996"/>
    <w:rsid w:val="005C0E05"/>
    <w:rsid w:val="005C1446"/>
    <w:rsid w:val="005C2D54"/>
    <w:rsid w:val="005C44B1"/>
    <w:rsid w:val="005C4FEA"/>
    <w:rsid w:val="005C5479"/>
    <w:rsid w:val="005C5618"/>
    <w:rsid w:val="005C595A"/>
    <w:rsid w:val="005C6690"/>
    <w:rsid w:val="005C67C3"/>
    <w:rsid w:val="005C7176"/>
    <w:rsid w:val="005C7301"/>
    <w:rsid w:val="005D0110"/>
    <w:rsid w:val="005D199E"/>
    <w:rsid w:val="005D2852"/>
    <w:rsid w:val="005D2E52"/>
    <w:rsid w:val="005D2FC0"/>
    <w:rsid w:val="005D331C"/>
    <w:rsid w:val="005D477F"/>
    <w:rsid w:val="005D4929"/>
    <w:rsid w:val="005D551D"/>
    <w:rsid w:val="005D598F"/>
    <w:rsid w:val="005D5A22"/>
    <w:rsid w:val="005D5A78"/>
    <w:rsid w:val="005D5C59"/>
    <w:rsid w:val="005D6346"/>
    <w:rsid w:val="005D6F95"/>
    <w:rsid w:val="005D77ED"/>
    <w:rsid w:val="005D7A7B"/>
    <w:rsid w:val="005D7AFB"/>
    <w:rsid w:val="005D7C5F"/>
    <w:rsid w:val="005E04E1"/>
    <w:rsid w:val="005E05AF"/>
    <w:rsid w:val="005E0A2D"/>
    <w:rsid w:val="005E0BD9"/>
    <w:rsid w:val="005E0CC5"/>
    <w:rsid w:val="005E16B9"/>
    <w:rsid w:val="005E1734"/>
    <w:rsid w:val="005E1B15"/>
    <w:rsid w:val="005E2533"/>
    <w:rsid w:val="005E2759"/>
    <w:rsid w:val="005E3022"/>
    <w:rsid w:val="005E3221"/>
    <w:rsid w:val="005E3BD7"/>
    <w:rsid w:val="005E494D"/>
    <w:rsid w:val="005E4F18"/>
    <w:rsid w:val="005E4F64"/>
    <w:rsid w:val="005E529E"/>
    <w:rsid w:val="005E5831"/>
    <w:rsid w:val="005E5A6F"/>
    <w:rsid w:val="005E5E89"/>
    <w:rsid w:val="005E65D7"/>
    <w:rsid w:val="005E74D7"/>
    <w:rsid w:val="005E76A5"/>
    <w:rsid w:val="005E7763"/>
    <w:rsid w:val="005E7EA2"/>
    <w:rsid w:val="005F0BE4"/>
    <w:rsid w:val="005F0D0F"/>
    <w:rsid w:val="005F0E42"/>
    <w:rsid w:val="005F0F74"/>
    <w:rsid w:val="005F192F"/>
    <w:rsid w:val="005F1D19"/>
    <w:rsid w:val="005F20E2"/>
    <w:rsid w:val="005F2398"/>
    <w:rsid w:val="005F24A1"/>
    <w:rsid w:val="005F3DD8"/>
    <w:rsid w:val="005F4372"/>
    <w:rsid w:val="005F46E9"/>
    <w:rsid w:val="005F7052"/>
    <w:rsid w:val="005F7335"/>
    <w:rsid w:val="005F7482"/>
    <w:rsid w:val="005F7CCE"/>
    <w:rsid w:val="005F7E66"/>
    <w:rsid w:val="00600137"/>
    <w:rsid w:val="006008E2"/>
    <w:rsid w:val="00600F93"/>
    <w:rsid w:val="006014B4"/>
    <w:rsid w:val="00601E31"/>
    <w:rsid w:val="006025DF"/>
    <w:rsid w:val="0060272F"/>
    <w:rsid w:val="00603251"/>
    <w:rsid w:val="0060326F"/>
    <w:rsid w:val="006032DD"/>
    <w:rsid w:val="006037A9"/>
    <w:rsid w:val="00603AD6"/>
    <w:rsid w:val="00603F78"/>
    <w:rsid w:val="00604139"/>
    <w:rsid w:val="00604757"/>
    <w:rsid w:val="00604A50"/>
    <w:rsid w:val="006056CF"/>
    <w:rsid w:val="00606646"/>
    <w:rsid w:val="006067AA"/>
    <w:rsid w:val="00606868"/>
    <w:rsid w:val="00606A45"/>
    <w:rsid w:val="006075B3"/>
    <w:rsid w:val="00607657"/>
    <w:rsid w:val="006101CA"/>
    <w:rsid w:val="00610A41"/>
    <w:rsid w:val="00610A92"/>
    <w:rsid w:val="00611069"/>
    <w:rsid w:val="00611261"/>
    <w:rsid w:val="00612573"/>
    <w:rsid w:val="0061270C"/>
    <w:rsid w:val="00612A10"/>
    <w:rsid w:val="00612AE6"/>
    <w:rsid w:val="00612F5A"/>
    <w:rsid w:val="0061391A"/>
    <w:rsid w:val="00613BBB"/>
    <w:rsid w:val="00613D8B"/>
    <w:rsid w:val="00614096"/>
    <w:rsid w:val="00614117"/>
    <w:rsid w:val="00614271"/>
    <w:rsid w:val="006152F2"/>
    <w:rsid w:val="00615B54"/>
    <w:rsid w:val="00616310"/>
    <w:rsid w:val="00616467"/>
    <w:rsid w:val="0061689E"/>
    <w:rsid w:val="00616A7A"/>
    <w:rsid w:val="0061755C"/>
    <w:rsid w:val="00617BC8"/>
    <w:rsid w:val="00617BD7"/>
    <w:rsid w:val="00620562"/>
    <w:rsid w:val="006208FB"/>
    <w:rsid w:val="00620A2A"/>
    <w:rsid w:val="00620B2E"/>
    <w:rsid w:val="00621166"/>
    <w:rsid w:val="006215B4"/>
    <w:rsid w:val="006216DA"/>
    <w:rsid w:val="00621703"/>
    <w:rsid w:val="006226D7"/>
    <w:rsid w:val="00623B5E"/>
    <w:rsid w:val="00623C3F"/>
    <w:rsid w:val="00624899"/>
    <w:rsid w:val="0062665D"/>
    <w:rsid w:val="00626956"/>
    <w:rsid w:val="00626AE7"/>
    <w:rsid w:val="00626D67"/>
    <w:rsid w:val="00630407"/>
    <w:rsid w:val="0063055F"/>
    <w:rsid w:val="0063070F"/>
    <w:rsid w:val="00630AD5"/>
    <w:rsid w:val="00631757"/>
    <w:rsid w:val="00631913"/>
    <w:rsid w:val="00631EFE"/>
    <w:rsid w:val="0063217D"/>
    <w:rsid w:val="006322FD"/>
    <w:rsid w:val="006325E7"/>
    <w:rsid w:val="00632667"/>
    <w:rsid w:val="00633EA0"/>
    <w:rsid w:val="006343FD"/>
    <w:rsid w:val="0063482B"/>
    <w:rsid w:val="006348F7"/>
    <w:rsid w:val="00634B1B"/>
    <w:rsid w:val="00635106"/>
    <w:rsid w:val="00635DEF"/>
    <w:rsid w:val="0063616B"/>
    <w:rsid w:val="006366D1"/>
    <w:rsid w:val="0063696A"/>
    <w:rsid w:val="0063707A"/>
    <w:rsid w:val="0064042D"/>
    <w:rsid w:val="006404BE"/>
    <w:rsid w:val="006412C0"/>
    <w:rsid w:val="00641856"/>
    <w:rsid w:val="00641AF8"/>
    <w:rsid w:val="0064201B"/>
    <w:rsid w:val="00642730"/>
    <w:rsid w:val="00643017"/>
    <w:rsid w:val="006437C7"/>
    <w:rsid w:val="00644A4F"/>
    <w:rsid w:val="0064563A"/>
    <w:rsid w:val="00645962"/>
    <w:rsid w:val="00645CCA"/>
    <w:rsid w:val="0064644B"/>
    <w:rsid w:val="00646733"/>
    <w:rsid w:val="00646F61"/>
    <w:rsid w:val="00646FF7"/>
    <w:rsid w:val="00647F4F"/>
    <w:rsid w:val="00651229"/>
    <w:rsid w:val="0065193B"/>
    <w:rsid w:val="00651D09"/>
    <w:rsid w:val="00651FD7"/>
    <w:rsid w:val="006522ED"/>
    <w:rsid w:val="0065304D"/>
    <w:rsid w:val="006535CE"/>
    <w:rsid w:val="006539AA"/>
    <w:rsid w:val="00654031"/>
    <w:rsid w:val="00654A56"/>
    <w:rsid w:val="006568BE"/>
    <w:rsid w:val="00656B70"/>
    <w:rsid w:val="00657438"/>
    <w:rsid w:val="0065767F"/>
    <w:rsid w:val="00657767"/>
    <w:rsid w:val="00657C6F"/>
    <w:rsid w:val="00660B68"/>
    <w:rsid w:val="006610FA"/>
    <w:rsid w:val="006614E0"/>
    <w:rsid w:val="006618FA"/>
    <w:rsid w:val="00662A0B"/>
    <w:rsid w:val="00662BA4"/>
    <w:rsid w:val="006637F6"/>
    <w:rsid w:val="00663C92"/>
    <w:rsid w:val="00663E9B"/>
    <w:rsid w:val="00664190"/>
    <w:rsid w:val="006641C7"/>
    <w:rsid w:val="00664547"/>
    <w:rsid w:val="00664FF5"/>
    <w:rsid w:val="00666365"/>
    <w:rsid w:val="00666549"/>
    <w:rsid w:val="00667662"/>
    <w:rsid w:val="00667DAD"/>
    <w:rsid w:val="0067090B"/>
    <w:rsid w:val="006709E4"/>
    <w:rsid w:val="00670CD8"/>
    <w:rsid w:val="00670E8E"/>
    <w:rsid w:val="00670EAE"/>
    <w:rsid w:val="006714F6"/>
    <w:rsid w:val="006719F5"/>
    <w:rsid w:val="00672742"/>
    <w:rsid w:val="006727E1"/>
    <w:rsid w:val="00672967"/>
    <w:rsid w:val="0067300D"/>
    <w:rsid w:val="00673A94"/>
    <w:rsid w:val="00673CE3"/>
    <w:rsid w:val="00674317"/>
    <w:rsid w:val="00674A4F"/>
    <w:rsid w:val="00674F01"/>
    <w:rsid w:val="006768F1"/>
    <w:rsid w:val="00676AC3"/>
    <w:rsid w:val="00680F3E"/>
    <w:rsid w:val="006810D1"/>
    <w:rsid w:val="00681193"/>
    <w:rsid w:val="00681993"/>
    <w:rsid w:val="00681E5C"/>
    <w:rsid w:val="006820B6"/>
    <w:rsid w:val="006827EC"/>
    <w:rsid w:val="00682B8E"/>
    <w:rsid w:val="00683B49"/>
    <w:rsid w:val="00683DE8"/>
    <w:rsid w:val="00684CC4"/>
    <w:rsid w:val="00684EA0"/>
    <w:rsid w:val="0068528E"/>
    <w:rsid w:val="006856AD"/>
    <w:rsid w:val="006859D8"/>
    <w:rsid w:val="00686540"/>
    <w:rsid w:val="00687011"/>
    <w:rsid w:val="00687186"/>
    <w:rsid w:val="00687A1A"/>
    <w:rsid w:val="00687C48"/>
    <w:rsid w:val="00690936"/>
    <w:rsid w:val="00691277"/>
    <w:rsid w:val="00691CAE"/>
    <w:rsid w:val="00691D52"/>
    <w:rsid w:val="006926C6"/>
    <w:rsid w:val="00693487"/>
    <w:rsid w:val="00693595"/>
    <w:rsid w:val="0069373E"/>
    <w:rsid w:val="00693892"/>
    <w:rsid w:val="00693F80"/>
    <w:rsid w:val="00694215"/>
    <w:rsid w:val="006944DA"/>
    <w:rsid w:val="00694C10"/>
    <w:rsid w:val="00694EE0"/>
    <w:rsid w:val="00694F95"/>
    <w:rsid w:val="0069518D"/>
    <w:rsid w:val="00695B09"/>
    <w:rsid w:val="00696317"/>
    <w:rsid w:val="006963AC"/>
    <w:rsid w:val="00696561"/>
    <w:rsid w:val="006966D8"/>
    <w:rsid w:val="00696CE0"/>
    <w:rsid w:val="006971A4"/>
    <w:rsid w:val="006978ED"/>
    <w:rsid w:val="006A043B"/>
    <w:rsid w:val="006A15CF"/>
    <w:rsid w:val="006A193D"/>
    <w:rsid w:val="006A1A4C"/>
    <w:rsid w:val="006A1B15"/>
    <w:rsid w:val="006A311A"/>
    <w:rsid w:val="006A3AF8"/>
    <w:rsid w:val="006A3C45"/>
    <w:rsid w:val="006A3E5A"/>
    <w:rsid w:val="006A4D7D"/>
    <w:rsid w:val="006A4F96"/>
    <w:rsid w:val="006A568F"/>
    <w:rsid w:val="006A5922"/>
    <w:rsid w:val="006A6931"/>
    <w:rsid w:val="006A69CD"/>
    <w:rsid w:val="006A6B25"/>
    <w:rsid w:val="006A704B"/>
    <w:rsid w:val="006A7177"/>
    <w:rsid w:val="006A7556"/>
    <w:rsid w:val="006A7661"/>
    <w:rsid w:val="006A766C"/>
    <w:rsid w:val="006A79B1"/>
    <w:rsid w:val="006A7B20"/>
    <w:rsid w:val="006B0295"/>
    <w:rsid w:val="006B2488"/>
    <w:rsid w:val="006B26FD"/>
    <w:rsid w:val="006B357C"/>
    <w:rsid w:val="006B366E"/>
    <w:rsid w:val="006B39D2"/>
    <w:rsid w:val="006B491D"/>
    <w:rsid w:val="006B5EE9"/>
    <w:rsid w:val="006B645F"/>
    <w:rsid w:val="006B763C"/>
    <w:rsid w:val="006B7895"/>
    <w:rsid w:val="006B78B7"/>
    <w:rsid w:val="006B7DEE"/>
    <w:rsid w:val="006B7EE6"/>
    <w:rsid w:val="006C0364"/>
    <w:rsid w:val="006C03E6"/>
    <w:rsid w:val="006C0940"/>
    <w:rsid w:val="006C0CA0"/>
    <w:rsid w:val="006C0DC3"/>
    <w:rsid w:val="006C1669"/>
    <w:rsid w:val="006C22E1"/>
    <w:rsid w:val="006C273F"/>
    <w:rsid w:val="006C29D1"/>
    <w:rsid w:val="006C3736"/>
    <w:rsid w:val="006C3DAB"/>
    <w:rsid w:val="006C3E65"/>
    <w:rsid w:val="006C474B"/>
    <w:rsid w:val="006C4E05"/>
    <w:rsid w:val="006C5172"/>
    <w:rsid w:val="006C5C75"/>
    <w:rsid w:val="006C5C80"/>
    <w:rsid w:val="006C5D9B"/>
    <w:rsid w:val="006C64CF"/>
    <w:rsid w:val="006C7174"/>
    <w:rsid w:val="006D07F5"/>
    <w:rsid w:val="006D0A5E"/>
    <w:rsid w:val="006D1493"/>
    <w:rsid w:val="006D17D4"/>
    <w:rsid w:val="006D2626"/>
    <w:rsid w:val="006D2847"/>
    <w:rsid w:val="006D2B9D"/>
    <w:rsid w:val="006D2C36"/>
    <w:rsid w:val="006D30CF"/>
    <w:rsid w:val="006D34F7"/>
    <w:rsid w:val="006D3A74"/>
    <w:rsid w:val="006D3E4C"/>
    <w:rsid w:val="006D48A5"/>
    <w:rsid w:val="006D4B95"/>
    <w:rsid w:val="006D4E9A"/>
    <w:rsid w:val="006D5675"/>
    <w:rsid w:val="006D66BE"/>
    <w:rsid w:val="006D69C3"/>
    <w:rsid w:val="006D6AEF"/>
    <w:rsid w:val="006D77DC"/>
    <w:rsid w:val="006E19AC"/>
    <w:rsid w:val="006E345E"/>
    <w:rsid w:val="006E3BB2"/>
    <w:rsid w:val="006E447D"/>
    <w:rsid w:val="006E4C50"/>
    <w:rsid w:val="006E5529"/>
    <w:rsid w:val="006E61C1"/>
    <w:rsid w:val="006E66E5"/>
    <w:rsid w:val="006E6EF4"/>
    <w:rsid w:val="006F008D"/>
    <w:rsid w:val="006F032B"/>
    <w:rsid w:val="006F0496"/>
    <w:rsid w:val="006F0B9F"/>
    <w:rsid w:val="006F136D"/>
    <w:rsid w:val="006F14C9"/>
    <w:rsid w:val="006F15AB"/>
    <w:rsid w:val="006F16E6"/>
    <w:rsid w:val="006F1E3A"/>
    <w:rsid w:val="006F2C0E"/>
    <w:rsid w:val="006F34AD"/>
    <w:rsid w:val="006F3DEB"/>
    <w:rsid w:val="006F4278"/>
    <w:rsid w:val="006F427E"/>
    <w:rsid w:val="006F497F"/>
    <w:rsid w:val="006F4AB2"/>
    <w:rsid w:val="006F4B76"/>
    <w:rsid w:val="006F52C1"/>
    <w:rsid w:val="006F54F1"/>
    <w:rsid w:val="0070086B"/>
    <w:rsid w:val="00700AF7"/>
    <w:rsid w:val="007016CC"/>
    <w:rsid w:val="00701D4E"/>
    <w:rsid w:val="00702D62"/>
    <w:rsid w:val="00703F0B"/>
    <w:rsid w:val="00703F2F"/>
    <w:rsid w:val="00704212"/>
    <w:rsid w:val="007042DB"/>
    <w:rsid w:val="00704D23"/>
    <w:rsid w:val="0070513D"/>
    <w:rsid w:val="00705577"/>
    <w:rsid w:val="00705993"/>
    <w:rsid w:val="007064B4"/>
    <w:rsid w:val="007065E5"/>
    <w:rsid w:val="00706871"/>
    <w:rsid w:val="00706959"/>
    <w:rsid w:val="00706B7E"/>
    <w:rsid w:val="0070702A"/>
    <w:rsid w:val="0070756D"/>
    <w:rsid w:val="0070763C"/>
    <w:rsid w:val="00710B3F"/>
    <w:rsid w:val="0071133E"/>
    <w:rsid w:val="007118BE"/>
    <w:rsid w:val="00711AE0"/>
    <w:rsid w:val="00712324"/>
    <w:rsid w:val="00712414"/>
    <w:rsid w:val="007130D1"/>
    <w:rsid w:val="00713323"/>
    <w:rsid w:val="0071349B"/>
    <w:rsid w:val="0071375C"/>
    <w:rsid w:val="00713D9D"/>
    <w:rsid w:val="00713DB4"/>
    <w:rsid w:val="00713F3C"/>
    <w:rsid w:val="00714289"/>
    <w:rsid w:val="0071438E"/>
    <w:rsid w:val="00714ED0"/>
    <w:rsid w:val="00715127"/>
    <w:rsid w:val="00715238"/>
    <w:rsid w:val="00715D32"/>
    <w:rsid w:val="00716204"/>
    <w:rsid w:val="00716890"/>
    <w:rsid w:val="00716E76"/>
    <w:rsid w:val="0071714A"/>
    <w:rsid w:val="00717DCE"/>
    <w:rsid w:val="00717EC3"/>
    <w:rsid w:val="007204AC"/>
    <w:rsid w:val="00720744"/>
    <w:rsid w:val="00721FA0"/>
    <w:rsid w:val="00722085"/>
    <w:rsid w:val="00722780"/>
    <w:rsid w:val="00722872"/>
    <w:rsid w:val="00722E30"/>
    <w:rsid w:val="00723AB8"/>
    <w:rsid w:val="00723DBC"/>
    <w:rsid w:val="00724ED3"/>
    <w:rsid w:val="0072567B"/>
    <w:rsid w:val="00726E6B"/>
    <w:rsid w:val="007304B3"/>
    <w:rsid w:val="00731D55"/>
    <w:rsid w:val="00732618"/>
    <w:rsid w:val="00732976"/>
    <w:rsid w:val="0073442C"/>
    <w:rsid w:val="00734719"/>
    <w:rsid w:val="00734DFC"/>
    <w:rsid w:val="00735314"/>
    <w:rsid w:val="00735457"/>
    <w:rsid w:val="007354E3"/>
    <w:rsid w:val="0073559F"/>
    <w:rsid w:val="007355E2"/>
    <w:rsid w:val="00735D94"/>
    <w:rsid w:val="007363E3"/>
    <w:rsid w:val="00736430"/>
    <w:rsid w:val="0073644D"/>
    <w:rsid w:val="007364DC"/>
    <w:rsid w:val="007366A9"/>
    <w:rsid w:val="00736ACB"/>
    <w:rsid w:val="00736B44"/>
    <w:rsid w:val="0073752D"/>
    <w:rsid w:val="007376FA"/>
    <w:rsid w:val="0074169A"/>
    <w:rsid w:val="0074189F"/>
    <w:rsid w:val="00742D0E"/>
    <w:rsid w:val="00743106"/>
    <w:rsid w:val="00743557"/>
    <w:rsid w:val="00743BCB"/>
    <w:rsid w:val="00744AE7"/>
    <w:rsid w:val="00744B39"/>
    <w:rsid w:val="00744CD4"/>
    <w:rsid w:val="007458AC"/>
    <w:rsid w:val="00745E29"/>
    <w:rsid w:val="00747432"/>
    <w:rsid w:val="00747B63"/>
    <w:rsid w:val="00747E33"/>
    <w:rsid w:val="00750F7C"/>
    <w:rsid w:val="007510D3"/>
    <w:rsid w:val="0075159E"/>
    <w:rsid w:val="00751D07"/>
    <w:rsid w:val="0075213F"/>
    <w:rsid w:val="0075321B"/>
    <w:rsid w:val="00753D94"/>
    <w:rsid w:val="0075586D"/>
    <w:rsid w:val="00755E66"/>
    <w:rsid w:val="0075700D"/>
    <w:rsid w:val="007577C9"/>
    <w:rsid w:val="00757813"/>
    <w:rsid w:val="0075792C"/>
    <w:rsid w:val="00757FFC"/>
    <w:rsid w:val="0076022A"/>
    <w:rsid w:val="00761564"/>
    <w:rsid w:val="00761FF0"/>
    <w:rsid w:val="00762066"/>
    <w:rsid w:val="007626E2"/>
    <w:rsid w:val="00763111"/>
    <w:rsid w:val="00764376"/>
    <w:rsid w:val="007648C7"/>
    <w:rsid w:val="00767472"/>
    <w:rsid w:val="00767669"/>
    <w:rsid w:val="007678E0"/>
    <w:rsid w:val="00767E23"/>
    <w:rsid w:val="00770A9C"/>
    <w:rsid w:val="007721EC"/>
    <w:rsid w:val="0077257A"/>
    <w:rsid w:val="007727A4"/>
    <w:rsid w:val="007728F6"/>
    <w:rsid w:val="00772C6B"/>
    <w:rsid w:val="00772D26"/>
    <w:rsid w:val="007732F8"/>
    <w:rsid w:val="0077339B"/>
    <w:rsid w:val="0077360B"/>
    <w:rsid w:val="00774D26"/>
    <w:rsid w:val="00775670"/>
    <w:rsid w:val="00775DC7"/>
    <w:rsid w:val="00775F37"/>
    <w:rsid w:val="00776507"/>
    <w:rsid w:val="007765A5"/>
    <w:rsid w:val="007772FA"/>
    <w:rsid w:val="007773FE"/>
    <w:rsid w:val="007807F0"/>
    <w:rsid w:val="00781373"/>
    <w:rsid w:val="0078165F"/>
    <w:rsid w:val="00781F17"/>
    <w:rsid w:val="00781F7B"/>
    <w:rsid w:val="00782EB4"/>
    <w:rsid w:val="0078375A"/>
    <w:rsid w:val="00783ADF"/>
    <w:rsid w:val="00783ED0"/>
    <w:rsid w:val="0078442E"/>
    <w:rsid w:val="0078508E"/>
    <w:rsid w:val="007856EB"/>
    <w:rsid w:val="0078624A"/>
    <w:rsid w:val="00786486"/>
    <w:rsid w:val="00786861"/>
    <w:rsid w:val="00787690"/>
    <w:rsid w:val="007877BB"/>
    <w:rsid w:val="00787D4B"/>
    <w:rsid w:val="00787F4B"/>
    <w:rsid w:val="0079041E"/>
    <w:rsid w:val="007907EE"/>
    <w:rsid w:val="007909A3"/>
    <w:rsid w:val="00790A4F"/>
    <w:rsid w:val="00791272"/>
    <w:rsid w:val="00791B22"/>
    <w:rsid w:val="00791C3A"/>
    <w:rsid w:val="00791EB8"/>
    <w:rsid w:val="007926D1"/>
    <w:rsid w:val="00793E5F"/>
    <w:rsid w:val="00793F06"/>
    <w:rsid w:val="007940EB"/>
    <w:rsid w:val="007948F0"/>
    <w:rsid w:val="00797278"/>
    <w:rsid w:val="00797944"/>
    <w:rsid w:val="007979D7"/>
    <w:rsid w:val="00797E4F"/>
    <w:rsid w:val="007A00A7"/>
    <w:rsid w:val="007A1EAA"/>
    <w:rsid w:val="007A1FD8"/>
    <w:rsid w:val="007A25E3"/>
    <w:rsid w:val="007A3000"/>
    <w:rsid w:val="007A3021"/>
    <w:rsid w:val="007A3998"/>
    <w:rsid w:val="007A4868"/>
    <w:rsid w:val="007A4A0E"/>
    <w:rsid w:val="007A4EBD"/>
    <w:rsid w:val="007A5130"/>
    <w:rsid w:val="007A54EC"/>
    <w:rsid w:val="007A5B4A"/>
    <w:rsid w:val="007A5EE1"/>
    <w:rsid w:val="007A627A"/>
    <w:rsid w:val="007A7710"/>
    <w:rsid w:val="007A7726"/>
    <w:rsid w:val="007A775D"/>
    <w:rsid w:val="007B0370"/>
    <w:rsid w:val="007B1701"/>
    <w:rsid w:val="007B18BB"/>
    <w:rsid w:val="007B1B6D"/>
    <w:rsid w:val="007B22D1"/>
    <w:rsid w:val="007B2ACE"/>
    <w:rsid w:val="007B2BEE"/>
    <w:rsid w:val="007B3457"/>
    <w:rsid w:val="007B37E0"/>
    <w:rsid w:val="007B3BC8"/>
    <w:rsid w:val="007B4574"/>
    <w:rsid w:val="007B51B3"/>
    <w:rsid w:val="007B5E49"/>
    <w:rsid w:val="007B6083"/>
    <w:rsid w:val="007B66AB"/>
    <w:rsid w:val="007B6AB2"/>
    <w:rsid w:val="007B6DD5"/>
    <w:rsid w:val="007B70D4"/>
    <w:rsid w:val="007B7B6A"/>
    <w:rsid w:val="007C020E"/>
    <w:rsid w:val="007C07AA"/>
    <w:rsid w:val="007C10B9"/>
    <w:rsid w:val="007C20C3"/>
    <w:rsid w:val="007C2C46"/>
    <w:rsid w:val="007C3A4A"/>
    <w:rsid w:val="007C3D47"/>
    <w:rsid w:val="007C3E82"/>
    <w:rsid w:val="007C4A5D"/>
    <w:rsid w:val="007C526C"/>
    <w:rsid w:val="007C5C32"/>
    <w:rsid w:val="007C61A3"/>
    <w:rsid w:val="007C6358"/>
    <w:rsid w:val="007C66A2"/>
    <w:rsid w:val="007C67EF"/>
    <w:rsid w:val="007C6D4D"/>
    <w:rsid w:val="007C704B"/>
    <w:rsid w:val="007C767A"/>
    <w:rsid w:val="007C7804"/>
    <w:rsid w:val="007C7D7B"/>
    <w:rsid w:val="007D183A"/>
    <w:rsid w:val="007D1884"/>
    <w:rsid w:val="007D19D2"/>
    <w:rsid w:val="007D1DE3"/>
    <w:rsid w:val="007D2138"/>
    <w:rsid w:val="007D247A"/>
    <w:rsid w:val="007D33F6"/>
    <w:rsid w:val="007D36BE"/>
    <w:rsid w:val="007D3F61"/>
    <w:rsid w:val="007D431D"/>
    <w:rsid w:val="007D4C61"/>
    <w:rsid w:val="007D5873"/>
    <w:rsid w:val="007D5FD4"/>
    <w:rsid w:val="007D672B"/>
    <w:rsid w:val="007D6AE3"/>
    <w:rsid w:val="007D70C8"/>
    <w:rsid w:val="007D7190"/>
    <w:rsid w:val="007E079D"/>
    <w:rsid w:val="007E09BB"/>
    <w:rsid w:val="007E16B6"/>
    <w:rsid w:val="007E1F59"/>
    <w:rsid w:val="007E25A7"/>
    <w:rsid w:val="007E25B6"/>
    <w:rsid w:val="007E283C"/>
    <w:rsid w:val="007E29CE"/>
    <w:rsid w:val="007E29F9"/>
    <w:rsid w:val="007E31B1"/>
    <w:rsid w:val="007E31BB"/>
    <w:rsid w:val="007E39B9"/>
    <w:rsid w:val="007E4086"/>
    <w:rsid w:val="007E41B6"/>
    <w:rsid w:val="007E41F2"/>
    <w:rsid w:val="007E48A6"/>
    <w:rsid w:val="007E5DCA"/>
    <w:rsid w:val="007E6479"/>
    <w:rsid w:val="007E65BE"/>
    <w:rsid w:val="007E7D1A"/>
    <w:rsid w:val="007E7D5C"/>
    <w:rsid w:val="007E7E6F"/>
    <w:rsid w:val="007F01CB"/>
    <w:rsid w:val="007F0284"/>
    <w:rsid w:val="007F2C21"/>
    <w:rsid w:val="007F2C59"/>
    <w:rsid w:val="007F2D7F"/>
    <w:rsid w:val="007F42D1"/>
    <w:rsid w:val="007F4506"/>
    <w:rsid w:val="007F4508"/>
    <w:rsid w:val="007F483B"/>
    <w:rsid w:val="007F51EF"/>
    <w:rsid w:val="007F6178"/>
    <w:rsid w:val="007F61EA"/>
    <w:rsid w:val="007F65BB"/>
    <w:rsid w:val="007F6CD9"/>
    <w:rsid w:val="007F6E1E"/>
    <w:rsid w:val="007F71D9"/>
    <w:rsid w:val="007F7B1B"/>
    <w:rsid w:val="00800715"/>
    <w:rsid w:val="00800741"/>
    <w:rsid w:val="00800CD3"/>
    <w:rsid w:val="008019F4"/>
    <w:rsid w:val="00802206"/>
    <w:rsid w:val="008023C2"/>
    <w:rsid w:val="00802465"/>
    <w:rsid w:val="00802B32"/>
    <w:rsid w:val="00802D15"/>
    <w:rsid w:val="00803D6D"/>
    <w:rsid w:val="00804A45"/>
    <w:rsid w:val="00804D47"/>
    <w:rsid w:val="0080516E"/>
    <w:rsid w:val="00805729"/>
    <w:rsid w:val="00805C03"/>
    <w:rsid w:val="00805F50"/>
    <w:rsid w:val="00806A9A"/>
    <w:rsid w:val="00806B4A"/>
    <w:rsid w:val="00807820"/>
    <w:rsid w:val="008078C1"/>
    <w:rsid w:val="00807A62"/>
    <w:rsid w:val="00807DD8"/>
    <w:rsid w:val="0081001D"/>
    <w:rsid w:val="00810168"/>
    <w:rsid w:val="00810367"/>
    <w:rsid w:val="0081087F"/>
    <w:rsid w:val="00810910"/>
    <w:rsid w:val="00810AA5"/>
    <w:rsid w:val="00810AC7"/>
    <w:rsid w:val="00810F0C"/>
    <w:rsid w:val="008120AC"/>
    <w:rsid w:val="008124D7"/>
    <w:rsid w:val="00812AA4"/>
    <w:rsid w:val="00812E96"/>
    <w:rsid w:val="00813D93"/>
    <w:rsid w:val="00814C05"/>
    <w:rsid w:val="00815434"/>
    <w:rsid w:val="0081627D"/>
    <w:rsid w:val="008162B5"/>
    <w:rsid w:val="00816DAE"/>
    <w:rsid w:val="00817528"/>
    <w:rsid w:val="00817BB1"/>
    <w:rsid w:val="00817F16"/>
    <w:rsid w:val="0082017E"/>
    <w:rsid w:val="008209C0"/>
    <w:rsid w:val="008217A3"/>
    <w:rsid w:val="0082206E"/>
    <w:rsid w:val="008224A8"/>
    <w:rsid w:val="00823058"/>
    <w:rsid w:val="008235B6"/>
    <w:rsid w:val="0082438E"/>
    <w:rsid w:val="00824410"/>
    <w:rsid w:val="00824B3A"/>
    <w:rsid w:val="00824C58"/>
    <w:rsid w:val="00825657"/>
    <w:rsid w:val="008256B6"/>
    <w:rsid w:val="00826795"/>
    <w:rsid w:val="008269D5"/>
    <w:rsid w:val="00826DF2"/>
    <w:rsid w:val="00826F18"/>
    <w:rsid w:val="008272A6"/>
    <w:rsid w:val="008272E7"/>
    <w:rsid w:val="00827921"/>
    <w:rsid w:val="00830366"/>
    <w:rsid w:val="00831A2C"/>
    <w:rsid w:val="00831C78"/>
    <w:rsid w:val="00832079"/>
    <w:rsid w:val="00832F65"/>
    <w:rsid w:val="008330C6"/>
    <w:rsid w:val="00833764"/>
    <w:rsid w:val="008338F2"/>
    <w:rsid w:val="0083428D"/>
    <w:rsid w:val="008342FC"/>
    <w:rsid w:val="0083571C"/>
    <w:rsid w:val="008368EF"/>
    <w:rsid w:val="0083786A"/>
    <w:rsid w:val="00837CDF"/>
    <w:rsid w:val="008403DE"/>
    <w:rsid w:val="00840E1E"/>
    <w:rsid w:val="008410F3"/>
    <w:rsid w:val="008413AB"/>
    <w:rsid w:val="00841B8E"/>
    <w:rsid w:val="00842628"/>
    <w:rsid w:val="00843896"/>
    <w:rsid w:val="00843D2C"/>
    <w:rsid w:val="00844882"/>
    <w:rsid w:val="00844976"/>
    <w:rsid w:val="00845532"/>
    <w:rsid w:val="00846280"/>
    <w:rsid w:val="008466B5"/>
    <w:rsid w:val="00847DF1"/>
    <w:rsid w:val="00847F31"/>
    <w:rsid w:val="008501CA"/>
    <w:rsid w:val="00850C4C"/>
    <w:rsid w:val="0085140D"/>
    <w:rsid w:val="008515C2"/>
    <w:rsid w:val="00852696"/>
    <w:rsid w:val="008529BA"/>
    <w:rsid w:val="00852C30"/>
    <w:rsid w:val="00852F69"/>
    <w:rsid w:val="00853376"/>
    <w:rsid w:val="00853969"/>
    <w:rsid w:val="008539A6"/>
    <w:rsid w:val="00853C3A"/>
    <w:rsid w:val="00855052"/>
    <w:rsid w:val="0085550F"/>
    <w:rsid w:val="00856FF0"/>
    <w:rsid w:val="00857E62"/>
    <w:rsid w:val="00857F56"/>
    <w:rsid w:val="00860239"/>
    <w:rsid w:val="00860692"/>
    <w:rsid w:val="0086096D"/>
    <w:rsid w:val="00860A52"/>
    <w:rsid w:val="008622A2"/>
    <w:rsid w:val="00862490"/>
    <w:rsid w:val="0086264E"/>
    <w:rsid w:val="00862654"/>
    <w:rsid w:val="00862E2F"/>
    <w:rsid w:val="0086459A"/>
    <w:rsid w:val="00864ADD"/>
    <w:rsid w:val="00864BB2"/>
    <w:rsid w:val="00865669"/>
    <w:rsid w:val="00866351"/>
    <w:rsid w:val="00866BDB"/>
    <w:rsid w:val="00866CBE"/>
    <w:rsid w:val="008672C4"/>
    <w:rsid w:val="00867E34"/>
    <w:rsid w:val="00867EDF"/>
    <w:rsid w:val="00867EFE"/>
    <w:rsid w:val="008708B2"/>
    <w:rsid w:val="00870AF1"/>
    <w:rsid w:val="00870D1A"/>
    <w:rsid w:val="00870ED2"/>
    <w:rsid w:val="00870F48"/>
    <w:rsid w:val="00870F7E"/>
    <w:rsid w:val="008711B0"/>
    <w:rsid w:val="00871469"/>
    <w:rsid w:val="008718A5"/>
    <w:rsid w:val="00871CA8"/>
    <w:rsid w:val="00872CFD"/>
    <w:rsid w:val="00873111"/>
    <w:rsid w:val="00873316"/>
    <w:rsid w:val="0087340B"/>
    <w:rsid w:val="00873D73"/>
    <w:rsid w:val="008747D0"/>
    <w:rsid w:val="00875837"/>
    <w:rsid w:val="00875FA3"/>
    <w:rsid w:val="008765CB"/>
    <w:rsid w:val="00876BC4"/>
    <w:rsid w:val="00876E80"/>
    <w:rsid w:val="008772F4"/>
    <w:rsid w:val="008774D8"/>
    <w:rsid w:val="00877ABB"/>
    <w:rsid w:val="00877C5F"/>
    <w:rsid w:val="0088094A"/>
    <w:rsid w:val="00880A5C"/>
    <w:rsid w:val="00880B4C"/>
    <w:rsid w:val="00880FC0"/>
    <w:rsid w:val="008810C1"/>
    <w:rsid w:val="0088296A"/>
    <w:rsid w:val="00882FDA"/>
    <w:rsid w:val="0088318D"/>
    <w:rsid w:val="00884711"/>
    <w:rsid w:val="00884B4A"/>
    <w:rsid w:val="00885C73"/>
    <w:rsid w:val="008860CC"/>
    <w:rsid w:val="00886827"/>
    <w:rsid w:val="00886943"/>
    <w:rsid w:val="00886E63"/>
    <w:rsid w:val="00887455"/>
    <w:rsid w:val="00890DDC"/>
    <w:rsid w:val="00892D8B"/>
    <w:rsid w:val="008941C6"/>
    <w:rsid w:val="008943F6"/>
    <w:rsid w:val="00894CFF"/>
    <w:rsid w:val="00895129"/>
    <w:rsid w:val="008954DD"/>
    <w:rsid w:val="00895727"/>
    <w:rsid w:val="00896049"/>
    <w:rsid w:val="0089641A"/>
    <w:rsid w:val="008964BD"/>
    <w:rsid w:val="008968EB"/>
    <w:rsid w:val="008968F7"/>
    <w:rsid w:val="00896E65"/>
    <w:rsid w:val="00897921"/>
    <w:rsid w:val="008A059F"/>
    <w:rsid w:val="008A074E"/>
    <w:rsid w:val="008A10B5"/>
    <w:rsid w:val="008A1851"/>
    <w:rsid w:val="008A2304"/>
    <w:rsid w:val="008A258D"/>
    <w:rsid w:val="008A2E65"/>
    <w:rsid w:val="008A36B1"/>
    <w:rsid w:val="008A38A3"/>
    <w:rsid w:val="008A3F8C"/>
    <w:rsid w:val="008A47C8"/>
    <w:rsid w:val="008A49A0"/>
    <w:rsid w:val="008A545C"/>
    <w:rsid w:val="008A55D6"/>
    <w:rsid w:val="008A5622"/>
    <w:rsid w:val="008A5B7A"/>
    <w:rsid w:val="008A65D0"/>
    <w:rsid w:val="008A6727"/>
    <w:rsid w:val="008A7E8F"/>
    <w:rsid w:val="008B00E5"/>
    <w:rsid w:val="008B0419"/>
    <w:rsid w:val="008B0423"/>
    <w:rsid w:val="008B1C49"/>
    <w:rsid w:val="008B23B9"/>
    <w:rsid w:val="008B28CB"/>
    <w:rsid w:val="008B2956"/>
    <w:rsid w:val="008B51B3"/>
    <w:rsid w:val="008B51BB"/>
    <w:rsid w:val="008B54B6"/>
    <w:rsid w:val="008B5A2A"/>
    <w:rsid w:val="008B5FB1"/>
    <w:rsid w:val="008B68F3"/>
    <w:rsid w:val="008B6927"/>
    <w:rsid w:val="008B70A8"/>
    <w:rsid w:val="008B72A1"/>
    <w:rsid w:val="008C1245"/>
    <w:rsid w:val="008C13CB"/>
    <w:rsid w:val="008C19E9"/>
    <w:rsid w:val="008C1AE0"/>
    <w:rsid w:val="008C287F"/>
    <w:rsid w:val="008C33EE"/>
    <w:rsid w:val="008C34F5"/>
    <w:rsid w:val="008C375B"/>
    <w:rsid w:val="008C3905"/>
    <w:rsid w:val="008C4521"/>
    <w:rsid w:val="008C4DD5"/>
    <w:rsid w:val="008C5358"/>
    <w:rsid w:val="008C5879"/>
    <w:rsid w:val="008C5A1F"/>
    <w:rsid w:val="008C5AF9"/>
    <w:rsid w:val="008D0488"/>
    <w:rsid w:val="008D04AE"/>
    <w:rsid w:val="008D0900"/>
    <w:rsid w:val="008D0C46"/>
    <w:rsid w:val="008D0CE5"/>
    <w:rsid w:val="008D0D3C"/>
    <w:rsid w:val="008D0E2B"/>
    <w:rsid w:val="008D1610"/>
    <w:rsid w:val="008D1A9F"/>
    <w:rsid w:val="008D1BD2"/>
    <w:rsid w:val="008D2089"/>
    <w:rsid w:val="008D233C"/>
    <w:rsid w:val="008D25A9"/>
    <w:rsid w:val="008D264B"/>
    <w:rsid w:val="008D2E8D"/>
    <w:rsid w:val="008D3897"/>
    <w:rsid w:val="008D38DF"/>
    <w:rsid w:val="008D4974"/>
    <w:rsid w:val="008D4A76"/>
    <w:rsid w:val="008D53B6"/>
    <w:rsid w:val="008D6721"/>
    <w:rsid w:val="008D72AB"/>
    <w:rsid w:val="008D73A2"/>
    <w:rsid w:val="008E108D"/>
    <w:rsid w:val="008E135A"/>
    <w:rsid w:val="008E1B6C"/>
    <w:rsid w:val="008E1BBB"/>
    <w:rsid w:val="008E1D10"/>
    <w:rsid w:val="008E27A2"/>
    <w:rsid w:val="008E2AC2"/>
    <w:rsid w:val="008E2F6F"/>
    <w:rsid w:val="008E37DB"/>
    <w:rsid w:val="008E400C"/>
    <w:rsid w:val="008E446D"/>
    <w:rsid w:val="008E4D80"/>
    <w:rsid w:val="008E4E4B"/>
    <w:rsid w:val="008E6281"/>
    <w:rsid w:val="008E670F"/>
    <w:rsid w:val="008E736C"/>
    <w:rsid w:val="008E7A0B"/>
    <w:rsid w:val="008E7B02"/>
    <w:rsid w:val="008E7C6B"/>
    <w:rsid w:val="008F0803"/>
    <w:rsid w:val="008F0A66"/>
    <w:rsid w:val="008F0CF3"/>
    <w:rsid w:val="008F0F1C"/>
    <w:rsid w:val="008F0F66"/>
    <w:rsid w:val="008F11B7"/>
    <w:rsid w:val="008F1477"/>
    <w:rsid w:val="008F151C"/>
    <w:rsid w:val="008F19E4"/>
    <w:rsid w:val="008F27D9"/>
    <w:rsid w:val="008F38F9"/>
    <w:rsid w:val="008F439D"/>
    <w:rsid w:val="008F44E8"/>
    <w:rsid w:val="008F46B0"/>
    <w:rsid w:val="008F4ECC"/>
    <w:rsid w:val="008F640B"/>
    <w:rsid w:val="008F64DF"/>
    <w:rsid w:val="008F6B1B"/>
    <w:rsid w:val="008F6C6F"/>
    <w:rsid w:val="008F72AE"/>
    <w:rsid w:val="008F7FC8"/>
    <w:rsid w:val="00900111"/>
    <w:rsid w:val="00900C13"/>
    <w:rsid w:val="00900DB7"/>
    <w:rsid w:val="009010D2"/>
    <w:rsid w:val="00901359"/>
    <w:rsid w:val="009022B2"/>
    <w:rsid w:val="0090388A"/>
    <w:rsid w:val="00903D5E"/>
    <w:rsid w:val="009042B8"/>
    <w:rsid w:val="009042E4"/>
    <w:rsid w:val="00904334"/>
    <w:rsid w:val="00904364"/>
    <w:rsid w:val="00904813"/>
    <w:rsid w:val="00905909"/>
    <w:rsid w:val="00905F8A"/>
    <w:rsid w:val="009060E1"/>
    <w:rsid w:val="00906E72"/>
    <w:rsid w:val="00907004"/>
    <w:rsid w:val="0090723A"/>
    <w:rsid w:val="0090737C"/>
    <w:rsid w:val="00907519"/>
    <w:rsid w:val="009106DC"/>
    <w:rsid w:val="009109C7"/>
    <w:rsid w:val="00911089"/>
    <w:rsid w:val="009113DD"/>
    <w:rsid w:val="00911939"/>
    <w:rsid w:val="00911A27"/>
    <w:rsid w:val="00912618"/>
    <w:rsid w:val="0091288D"/>
    <w:rsid w:val="00913195"/>
    <w:rsid w:val="009137A2"/>
    <w:rsid w:val="00913F9F"/>
    <w:rsid w:val="00915A00"/>
    <w:rsid w:val="00915B89"/>
    <w:rsid w:val="00915FE6"/>
    <w:rsid w:val="009161D4"/>
    <w:rsid w:val="009169AB"/>
    <w:rsid w:val="00916B61"/>
    <w:rsid w:val="009174B5"/>
    <w:rsid w:val="0091770A"/>
    <w:rsid w:val="00917892"/>
    <w:rsid w:val="00917D28"/>
    <w:rsid w:val="0092007F"/>
    <w:rsid w:val="009202A2"/>
    <w:rsid w:val="00920E2D"/>
    <w:rsid w:val="00921382"/>
    <w:rsid w:val="009218FE"/>
    <w:rsid w:val="00921F12"/>
    <w:rsid w:val="009242F6"/>
    <w:rsid w:val="00924690"/>
    <w:rsid w:val="009246E6"/>
    <w:rsid w:val="00924772"/>
    <w:rsid w:val="00924A9E"/>
    <w:rsid w:val="00924E43"/>
    <w:rsid w:val="009253CC"/>
    <w:rsid w:val="009260DD"/>
    <w:rsid w:val="00926520"/>
    <w:rsid w:val="0092727B"/>
    <w:rsid w:val="00927669"/>
    <w:rsid w:val="00930313"/>
    <w:rsid w:val="009303C0"/>
    <w:rsid w:val="00930BA0"/>
    <w:rsid w:val="00930E7D"/>
    <w:rsid w:val="0093148B"/>
    <w:rsid w:val="009319E5"/>
    <w:rsid w:val="00931DF5"/>
    <w:rsid w:val="00932600"/>
    <w:rsid w:val="0093321B"/>
    <w:rsid w:val="0093344B"/>
    <w:rsid w:val="00933827"/>
    <w:rsid w:val="0093432E"/>
    <w:rsid w:val="009348D9"/>
    <w:rsid w:val="00934A53"/>
    <w:rsid w:val="00935C15"/>
    <w:rsid w:val="00935E8D"/>
    <w:rsid w:val="00936244"/>
    <w:rsid w:val="009367E3"/>
    <w:rsid w:val="00937421"/>
    <w:rsid w:val="00937C93"/>
    <w:rsid w:val="00937D5C"/>
    <w:rsid w:val="00937DAF"/>
    <w:rsid w:val="00937FD5"/>
    <w:rsid w:val="009400E9"/>
    <w:rsid w:val="00940D60"/>
    <w:rsid w:val="00941766"/>
    <w:rsid w:val="009419EF"/>
    <w:rsid w:val="009421FB"/>
    <w:rsid w:val="00944218"/>
    <w:rsid w:val="0094458C"/>
    <w:rsid w:val="00944927"/>
    <w:rsid w:val="009454C5"/>
    <w:rsid w:val="009457A2"/>
    <w:rsid w:val="0094599D"/>
    <w:rsid w:val="009463D2"/>
    <w:rsid w:val="0094700C"/>
    <w:rsid w:val="00947299"/>
    <w:rsid w:val="009475B0"/>
    <w:rsid w:val="00947858"/>
    <w:rsid w:val="009479FF"/>
    <w:rsid w:val="00950222"/>
    <w:rsid w:val="00951F9A"/>
    <w:rsid w:val="00953B7B"/>
    <w:rsid w:val="00954623"/>
    <w:rsid w:val="00954EED"/>
    <w:rsid w:val="0095514A"/>
    <w:rsid w:val="009552DA"/>
    <w:rsid w:val="00955DCE"/>
    <w:rsid w:val="00956103"/>
    <w:rsid w:val="00956701"/>
    <w:rsid w:val="00957820"/>
    <w:rsid w:val="00957A44"/>
    <w:rsid w:val="00957DA2"/>
    <w:rsid w:val="00957E3D"/>
    <w:rsid w:val="00960461"/>
    <w:rsid w:val="0096075F"/>
    <w:rsid w:val="00961912"/>
    <w:rsid w:val="00962D3F"/>
    <w:rsid w:val="0096401B"/>
    <w:rsid w:val="0096483B"/>
    <w:rsid w:val="00964C29"/>
    <w:rsid w:val="00964D8B"/>
    <w:rsid w:val="009652CC"/>
    <w:rsid w:val="009652D3"/>
    <w:rsid w:val="00965401"/>
    <w:rsid w:val="009657FD"/>
    <w:rsid w:val="0096645C"/>
    <w:rsid w:val="00966CA7"/>
    <w:rsid w:val="00966F2A"/>
    <w:rsid w:val="009670AC"/>
    <w:rsid w:val="00967192"/>
    <w:rsid w:val="00967865"/>
    <w:rsid w:val="009679CE"/>
    <w:rsid w:val="009717E9"/>
    <w:rsid w:val="00971ADB"/>
    <w:rsid w:val="00971F60"/>
    <w:rsid w:val="00973AF6"/>
    <w:rsid w:val="00973FDF"/>
    <w:rsid w:val="009741E7"/>
    <w:rsid w:val="00974473"/>
    <w:rsid w:val="00974BAA"/>
    <w:rsid w:val="00974DC1"/>
    <w:rsid w:val="00974DC2"/>
    <w:rsid w:val="00974E81"/>
    <w:rsid w:val="00974F95"/>
    <w:rsid w:val="00975125"/>
    <w:rsid w:val="0097552F"/>
    <w:rsid w:val="009757B3"/>
    <w:rsid w:val="00976832"/>
    <w:rsid w:val="009768F7"/>
    <w:rsid w:val="00976D2F"/>
    <w:rsid w:val="009771A1"/>
    <w:rsid w:val="009802AB"/>
    <w:rsid w:val="00981420"/>
    <w:rsid w:val="00982B0F"/>
    <w:rsid w:val="009835DF"/>
    <w:rsid w:val="00984AF2"/>
    <w:rsid w:val="00984D6A"/>
    <w:rsid w:val="00984EA8"/>
    <w:rsid w:val="009854B6"/>
    <w:rsid w:val="0098566E"/>
    <w:rsid w:val="0098586F"/>
    <w:rsid w:val="00985C9B"/>
    <w:rsid w:val="0098656A"/>
    <w:rsid w:val="0098657D"/>
    <w:rsid w:val="00986BEA"/>
    <w:rsid w:val="00986D5C"/>
    <w:rsid w:val="00986E18"/>
    <w:rsid w:val="00986F61"/>
    <w:rsid w:val="009872F3"/>
    <w:rsid w:val="0098772A"/>
    <w:rsid w:val="00987BCE"/>
    <w:rsid w:val="00990C9C"/>
    <w:rsid w:val="00990F32"/>
    <w:rsid w:val="009910BB"/>
    <w:rsid w:val="00991978"/>
    <w:rsid w:val="00991C99"/>
    <w:rsid w:val="0099232A"/>
    <w:rsid w:val="00992C33"/>
    <w:rsid w:val="0099325D"/>
    <w:rsid w:val="00993440"/>
    <w:rsid w:val="009934E0"/>
    <w:rsid w:val="00993FAB"/>
    <w:rsid w:val="00993FD6"/>
    <w:rsid w:val="00994828"/>
    <w:rsid w:val="00994F5B"/>
    <w:rsid w:val="00995D9D"/>
    <w:rsid w:val="00995EA4"/>
    <w:rsid w:val="00996451"/>
    <w:rsid w:val="00996759"/>
    <w:rsid w:val="00996DD6"/>
    <w:rsid w:val="00997514"/>
    <w:rsid w:val="0099799D"/>
    <w:rsid w:val="009A0273"/>
    <w:rsid w:val="009A06B7"/>
    <w:rsid w:val="009A1131"/>
    <w:rsid w:val="009A1967"/>
    <w:rsid w:val="009A1BA8"/>
    <w:rsid w:val="009A1F49"/>
    <w:rsid w:val="009A33C7"/>
    <w:rsid w:val="009A3464"/>
    <w:rsid w:val="009A3668"/>
    <w:rsid w:val="009A3855"/>
    <w:rsid w:val="009A3D65"/>
    <w:rsid w:val="009A4080"/>
    <w:rsid w:val="009A438D"/>
    <w:rsid w:val="009A5327"/>
    <w:rsid w:val="009A5418"/>
    <w:rsid w:val="009A5AAC"/>
    <w:rsid w:val="009A6529"/>
    <w:rsid w:val="009A6698"/>
    <w:rsid w:val="009A6A62"/>
    <w:rsid w:val="009A6FD6"/>
    <w:rsid w:val="009A7447"/>
    <w:rsid w:val="009A7961"/>
    <w:rsid w:val="009A7ADD"/>
    <w:rsid w:val="009A7E2F"/>
    <w:rsid w:val="009B07FC"/>
    <w:rsid w:val="009B0B19"/>
    <w:rsid w:val="009B1036"/>
    <w:rsid w:val="009B1557"/>
    <w:rsid w:val="009B15D1"/>
    <w:rsid w:val="009B1612"/>
    <w:rsid w:val="009B1EBB"/>
    <w:rsid w:val="009B1FE0"/>
    <w:rsid w:val="009B20BD"/>
    <w:rsid w:val="009B2F27"/>
    <w:rsid w:val="009B3516"/>
    <w:rsid w:val="009B3C2D"/>
    <w:rsid w:val="009B3CBA"/>
    <w:rsid w:val="009B402C"/>
    <w:rsid w:val="009B4BCD"/>
    <w:rsid w:val="009B5544"/>
    <w:rsid w:val="009B5C84"/>
    <w:rsid w:val="009B5ED4"/>
    <w:rsid w:val="009B69BC"/>
    <w:rsid w:val="009B74E4"/>
    <w:rsid w:val="009B7914"/>
    <w:rsid w:val="009B7A9E"/>
    <w:rsid w:val="009C01DE"/>
    <w:rsid w:val="009C08E3"/>
    <w:rsid w:val="009C1BB3"/>
    <w:rsid w:val="009C1E1C"/>
    <w:rsid w:val="009C2C88"/>
    <w:rsid w:val="009C2DA4"/>
    <w:rsid w:val="009C2E68"/>
    <w:rsid w:val="009C35A6"/>
    <w:rsid w:val="009C3E58"/>
    <w:rsid w:val="009C4925"/>
    <w:rsid w:val="009C4D1F"/>
    <w:rsid w:val="009C51BD"/>
    <w:rsid w:val="009C5508"/>
    <w:rsid w:val="009C56C2"/>
    <w:rsid w:val="009C67A0"/>
    <w:rsid w:val="009C71E3"/>
    <w:rsid w:val="009C75FF"/>
    <w:rsid w:val="009C7602"/>
    <w:rsid w:val="009C7C95"/>
    <w:rsid w:val="009D08EB"/>
    <w:rsid w:val="009D0DAA"/>
    <w:rsid w:val="009D1456"/>
    <w:rsid w:val="009D194C"/>
    <w:rsid w:val="009D248B"/>
    <w:rsid w:val="009D2BAE"/>
    <w:rsid w:val="009D2C3C"/>
    <w:rsid w:val="009D3086"/>
    <w:rsid w:val="009D32CB"/>
    <w:rsid w:val="009D358C"/>
    <w:rsid w:val="009D4117"/>
    <w:rsid w:val="009D44C6"/>
    <w:rsid w:val="009D4917"/>
    <w:rsid w:val="009D4A1C"/>
    <w:rsid w:val="009D4F3D"/>
    <w:rsid w:val="009D598D"/>
    <w:rsid w:val="009D61F2"/>
    <w:rsid w:val="009D6314"/>
    <w:rsid w:val="009D6CAB"/>
    <w:rsid w:val="009D6D60"/>
    <w:rsid w:val="009D7496"/>
    <w:rsid w:val="009D7748"/>
    <w:rsid w:val="009D787D"/>
    <w:rsid w:val="009E04A7"/>
    <w:rsid w:val="009E1428"/>
    <w:rsid w:val="009E1DB6"/>
    <w:rsid w:val="009E1E02"/>
    <w:rsid w:val="009E20FB"/>
    <w:rsid w:val="009E241A"/>
    <w:rsid w:val="009E256A"/>
    <w:rsid w:val="009E2A47"/>
    <w:rsid w:val="009E2F9D"/>
    <w:rsid w:val="009E34B9"/>
    <w:rsid w:val="009E40F9"/>
    <w:rsid w:val="009E4135"/>
    <w:rsid w:val="009E4C33"/>
    <w:rsid w:val="009E5902"/>
    <w:rsid w:val="009E5CB4"/>
    <w:rsid w:val="009E6118"/>
    <w:rsid w:val="009E6E37"/>
    <w:rsid w:val="009E7E42"/>
    <w:rsid w:val="009F0639"/>
    <w:rsid w:val="009F0928"/>
    <w:rsid w:val="009F0ACF"/>
    <w:rsid w:val="009F0BEB"/>
    <w:rsid w:val="009F15B4"/>
    <w:rsid w:val="009F161D"/>
    <w:rsid w:val="009F1729"/>
    <w:rsid w:val="009F1C17"/>
    <w:rsid w:val="009F1D5A"/>
    <w:rsid w:val="009F1DF0"/>
    <w:rsid w:val="009F4CA0"/>
    <w:rsid w:val="009F54F4"/>
    <w:rsid w:val="009F5574"/>
    <w:rsid w:val="009F5B61"/>
    <w:rsid w:val="009F5BF2"/>
    <w:rsid w:val="009F6491"/>
    <w:rsid w:val="009F6813"/>
    <w:rsid w:val="009F6BA9"/>
    <w:rsid w:val="009F6E49"/>
    <w:rsid w:val="009F707D"/>
    <w:rsid w:val="009F78E8"/>
    <w:rsid w:val="00A00136"/>
    <w:rsid w:val="00A009AB"/>
    <w:rsid w:val="00A0100C"/>
    <w:rsid w:val="00A01A8B"/>
    <w:rsid w:val="00A01B91"/>
    <w:rsid w:val="00A0244C"/>
    <w:rsid w:val="00A0289D"/>
    <w:rsid w:val="00A0392C"/>
    <w:rsid w:val="00A039AC"/>
    <w:rsid w:val="00A03D2D"/>
    <w:rsid w:val="00A04558"/>
    <w:rsid w:val="00A04C33"/>
    <w:rsid w:val="00A04F62"/>
    <w:rsid w:val="00A052EA"/>
    <w:rsid w:val="00A064A4"/>
    <w:rsid w:val="00A066D3"/>
    <w:rsid w:val="00A06A98"/>
    <w:rsid w:val="00A078F7"/>
    <w:rsid w:val="00A07B0C"/>
    <w:rsid w:val="00A105A7"/>
    <w:rsid w:val="00A1177B"/>
    <w:rsid w:val="00A11A28"/>
    <w:rsid w:val="00A122BF"/>
    <w:rsid w:val="00A122C7"/>
    <w:rsid w:val="00A12487"/>
    <w:rsid w:val="00A12699"/>
    <w:rsid w:val="00A1289E"/>
    <w:rsid w:val="00A12CC3"/>
    <w:rsid w:val="00A130AF"/>
    <w:rsid w:val="00A13358"/>
    <w:rsid w:val="00A137A8"/>
    <w:rsid w:val="00A13BA5"/>
    <w:rsid w:val="00A13F22"/>
    <w:rsid w:val="00A149C0"/>
    <w:rsid w:val="00A14B3B"/>
    <w:rsid w:val="00A1535B"/>
    <w:rsid w:val="00A15A4B"/>
    <w:rsid w:val="00A1625A"/>
    <w:rsid w:val="00A16454"/>
    <w:rsid w:val="00A1654F"/>
    <w:rsid w:val="00A165C8"/>
    <w:rsid w:val="00A16795"/>
    <w:rsid w:val="00A1696C"/>
    <w:rsid w:val="00A16B0D"/>
    <w:rsid w:val="00A17985"/>
    <w:rsid w:val="00A17F68"/>
    <w:rsid w:val="00A2031E"/>
    <w:rsid w:val="00A203D6"/>
    <w:rsid w:val="00A218A8"/>
    <w:rsid w:val="00A227F0"/>
    <w:rsid w:val="00A22C5E"/>
    <w:rsid w:val="00A236C7"/>
    <w:rsid w:val="00A242F3"/>
    <w:rsid w:val="00A24547"/>
    <w:rsid w:val="00A2464C"/>
    <w:rsid w:val="00A247EB"/>
    <w:rsid w:val="00A24D5E"/>
    <w:rsid w:val="00A25B03"/>
    <w:rsid w:val="00A27647"/>
    <w:rsid w:val="00A3001D"/>
    <w:rsid w:val="00A307DC"/>
    <w:rsid w:val="00A3082E"/>
    <w:rsid w:val="00A30A33"/>
    <w:rsid w:val="00A30A7F"/>
    <w:rsid w:val="00A30CEA"/>
    <w:rsid w:val="00A3123E"/>
    <w:rsid w:val="00A31428"/>
    <w:rsid w:val="00A31442"/>
    <w:rsid w:val="00A32E12"/>
    <w:rsid w:val="00A337E7"/>
    <w:rsid w:val="00A339A0"/>
    <w:rsid w:val="00A33B91"/>
    <w:rsid w:val="00A33F21"/>
    <w:rsid w:val="00A345C1"/>
    <w:rsid w:val="00A349DC"/>
    <w:rsid w:val="00A34D13"/>
    <w:rsid w:val="00A34DAD"/>
    <w:rsid w:val="00A34FF7"/>
    <w:rsid w:val="00A35730"/>
    <w:rsid w:val="00A36018"/>
    <w:rsid w:val="00A36044"/>
    <w:rsid w:val="00A3653C"/>
    <w:rsid w:val="00A3656F"/>
    <w:rsid w:val="00A36602"/>
    <w:rsid w:val="00A36BBB"/>
    <w:rsid w:val="00A36C05"/>
    <w:rsid w:val="00A36F26"/>
    <w:rsid w:val="00A36FAB"/>
    <w:rsid w:val="00A3797B"/>
    <w:rsid w:val="00A37D42"/>
    <w:rsid w:val="00A40BEB"/>
    <w:rsid w:val="00A41DE7"/>
    <w:rsid w:val="00A41E69"/>
    <w:rsid w:val="00A4204C"/>
    <w:rsid w:val="00A4269E"/>
    <w:rsid w:val="00A436E7"/>
    <w:rsid w:val="00A44975"/>
    <w:rsid w:val="00A44F66"/>
    <w:rsid w:val="00A45748"/>
    <w:rsid w:val="00A476AB"/>
    <w:rsid w:val="00A50946"/>
    <w:rsid w:val="00A510FB"/>
    <w:rsid w:val="00A51E76"/>
    <w:rsid w:val="00A521D6"/>
    <w:rsid w:val="00A52816"/>
    <w:rsid w:val="00A52891"/>
    <w:rsid w:val="00A52C31"/>
    <w:rsid w:val="00A53851"/>
    <w:rsid w:val="00A53F9A"/>
    <w:rsid w:val="00A54171"/>
    <w:rsid w:val="00A54579"/>
    <w:rsid w:val="00A548EB"/>
    <w:rsid w:val="00A54C42"/>
    <w:rsid w:val="00A54FC3"/>
    <w:rsid w:val="00A55A41"/>
    <w:rsid w:val="00A55ABB"/>
    <w:rsid w:val="00A5603D"/>
    <w:rsid w:val="00A57262"/>
    <w:rsid w:val="00A6038E"/>
    <w:rsid w:val="00A60504"/>
    <w:rsid w:val="00A60737"/>
    <w:rsid w:val="00A60A14"/>
    <w:rsid w:val="00A619AF"/>
    <w:rsid w:val="00A61B9A"/>
    <w:rsid w:val="00A624D8"/>
    <w:rsid w:val="00A629C2"/>
    <w:rsid w:val="00A62AC3"/>
    <w:rsid w:val="00A62E3C"/>
    <w:rsid w:val="00A63518"/>
    <w:rsid w:val="00A637E0"/>
    <w:rsid w:val="00A640E4"/>
    <w:rsid w:val="00A648FC"/>
    <w:rsid w:val="00A649F6"/>
    <w:rsid w:val="00A64C05"/>
    <w:rsid w:val="00A653A2"/>
    <w:rsid w:val="00A65794"/>
    <w:rsid w:val="00A66E90"/>
    <w:rsid w:val="00A67704"/>
    <w:rsid w:val="00A67790"/>
    <w:rsid w:val="00A70A00"/>
    <w:rsid w:val="00A71341"/>
    <w:rsid w:val="00A72A72"/>
    <w:rsid w:val="00A73584"/>
    <w:rsid w:val="00A73898"/>
    <w:rsid w:val="00A738A2"/>
    <w:rsid w:val="00A73C1F"/>
    <w:rsid w:val="00A74179"/>
    <w:rsid w:val="00A746C3"/>
    <w:rsid w:val="00A74E68"/>
    <w:rsid w:val="00A7527E"/>
    <w:rsid w:val="00A76549"/>
    <w:rsid w:val="00A76862"/>
    <w:rsid w:val="00A7725F"/>
    <w:rsid w:val="00A777E5"/>
    <w:rsid w:val="00A77E31"/>
    <w:rsid w:val="00A81276"/>
    <w:rsid w:val="00A8148E"/>
    <w:rsid w:val="00A831AE"/>
    <w:rsid w:val="00A832CD"/>
    <w:rsid w:val="00A83A36"/>
    <w:rsid w:val="00A83E67"/>
    <w:rsid w:val="00A84537"/>
    <w:rsid w:val="00A8467C"/>
    <w:rsid w:val="00A84B82"/>
    <w:rsid w:val="00A84E29"/>
    <w:rsid w:val="00A85475"/>
    <w:rsid w:val="00A85646"/>
    <w:rsid w:val="00A866AA"/>
    <w:rsid w:val="00A86ABE"/>
    <w:rsid w:val="00A90073"/>
    <w:rsid w:val="00A90775"/>
    <w:rsid w:val="00A90C63"/>
    <w:rsid w:val="00A92E6A"/>
    <w:rsid w:val="00A93C18"/>
    <w:rsid w:val="00A944E3"/>
    <w:rsid w:val="00A9454D"/>
    <w:rsid w:val="00A95B87"/>
    <w:rsid w:val="00A96511"/>
    <w:rsid w:val="00A971B3"/>
    <w:rsid w:val="00A9791E"/>
    <w:rsid w:val="00AA0376"/>
    <w:rsid w:val="00AA0E32"/>
    <w:rsid w:val="00AA0ECC"/>
    <w:rsid w:val="00AA11D1"/>
    <w:rsid w:val="00AA21B0"/>
    <w:rsid w:val="00AA2383"/>
    <w:rsid w:val="00AA2B29"/>
    <w:rsid w:val="00AA3B66"/>
    <w:rsid w:val="00AA3D92"/>
    <w:rsid w:val="00AA4158"/>
    <w:rsid w:val="00AA42F2"/>
    <w:rsid w:val="00AA46D5"/>
    <w:rsid w:val="00AA4CC3"/>
    <w:rsid w:val="00AA4DAC"/>
    <w:rsid w:val="00AA575D"/>
    <w:rsid w:val="00AA701E"/>
    <w:rsid w:val="00AA7C4D"/>
    <w:rsid w:val="00AA7EAA"/>
    <w:rsid w:val="00AB07F5"/>
    <w:rsid w:val="00AB22BB"/>
    <w:rsid w:val="00AB2683"/>
    <w:rsid w:val="00AB2D8A"/>
    <w:rsid w:val="00AB3719"/>
    <w:rsid w:val="00AB3F45"/>
    <w:rsid w:val="00AB4D62"/>
    <w:rsid w:val="00AB52AF"/>
    <w:rsid w:val="00AB5B1F"/>
    <w:rsid w:val="00AB6622"/>
    <w:rsid w:val="00AB67A3"/>
    <w:rsid w:val="00AB6EC5"/>
    <w:rsid w:val="00AC0546"/>
    <w:rsid w:val="00AC0A89"/>
    <w:rsid w:val="00AC2C61"/>
    <w:rsid w:val="00AC2C77"/>
    <w:rsid w:val="00AC43F1"/>
    <w:rsid w:val="00AC4FE5"/>
    <w:rsid w:val="00AC53EC"/>
    <w:rsid w:val="00AC548F"/>
    <w:rsid w:val="00AC5496"/>
    <w:rsid w:val="00AC586C"/>
    <w:rsid w:val="00AC60BB"/>
    <w:rsid w:val="00AC67B1"/>
    <w:rsid w:val="00AC67BE"/>
    <w:rsid w:val="00AC727D"/>
    <w:rsid w:val="00AC7AC5"/>
    <w:rsid w:val="00AD0072"/>
    <w:rsid w:val="00AD0318"/>
    <w:rsid w:val="00AD0757"/>
    <w:rsid w:val="00AD0AC3"/>
    <w:rsid w:val="00AD0BE4"/>
    <w:rsid w:val="00AD1186"/>
    <w:rsid w:val="00AD11F8"/>
    <w:rsid w:val="00AD13BF"/>
    <w:rsid w:val="00AD18AE"/>
    <w:rsid w:val="00AD2AE7"/>
    <w:rsid w:val="00AD2F3B"/>
    <w:rsid w:val="00AD3769"/>
    <w:rsid w:val="00AD3ECC"/>
    <w:rsid w:val="00AD3F44"/>
    <w:rsid w:val="00AD43DE"/>
    <w:rsid w:val="00AD4707"/>
    <w:rsid w:val="00AD4944"/>
    <w:rsid w:val="00AD4C0C"/>
    <w:rsid w:val="00AD4C2D"/>
    <w:rsid w:val="00AD4FA6"/>
    <w:rsid w:val="00AD6F2C"/>
    <w:rsid w:val="00AD6FF3"/>
    <w:rsid w:val="00AD76E8"/>
    <w:rsid w:val="00AD776D"/>
    <w:rsid w:val="00AD7C63"/>
    <w:rsid w:val="00AD7D3D"/>
    <w:rsid w:val="00AE0652"/>
    <w:rsid w:val="00AE0A45"/>
    <w:rsid w:val="00AE1486"/>
    <w:rsid w:val="00AE1FAE"/>
    <w:rsid w:val="00AE26BC"/>
    <w:rsid w:val="00AE3279"/>
    <w:rsid w:val="00AE3C4C"/>
    <w:rsid w:val="00AE3D68"/>
    <w:rsid w:val="00AE4048"/>
    <w:rsid w:val="00AE417A"/>
    <w:rsid w:val="00AE48F2"/>
    <w:rsid w:val="00AE4CB1"/>
    <w:rsid w:val="00AE4DA5"/>
    <w:rsid w:val="00AE5297"/>
    <w:rsid w:val="00AF03B1"/>
    <w:rsid w:val="00AF0566"/>
    <w:rsid w:val="00AF1FE5"/>
    <w:rsid w:val="00AF288D"/>
    <w:rsid w:val="00AF2B39"/>
    <w:rsid w:val="00AF339F"/>
    <w:rsid w:val="00AF360A"/>
    <w:rsid w:val="00AF36B2"/>
    <w:rsid w:val="00AF4D5E"/>
    <w:rsid w:val="00AF5753"/>
    <w:rsid w:val="00AF587F"/>
    <w:rsid w:val="00AF5A34"/>
    <w:rsid w:val="00AF6386"/>
    <w:rsid w:val="00AF6448"/>
    <w:rsid w:val="00AF6EFD"/>
    <w:rsid w:val="00AF7275"/>
    <w:rsid w:val="00AF75A4"/>
    <w:rsid w:val="00B0056C"/>
    <w:rsid w:val="00B0118F"/>
    <w:rsid w:val="00B011B2"/>
    <w:rsid w:val="00B013DE"/>
    <w:rsid w:val="00B0150A"/>
    <w:rsid w:val="00B016C8"/>
    <w:rsid w:val="00B01B25"/>
    <w:rsid w:val="00B01B7B"/>
    <w:rsid w:val="00B01DCC"/>
    <w:rsid w:val="00B020AB"/>
    <w:rsid w:val="00B02CCB"/>
    <w:rsid w:val="00B02DE0"/>
    <w:rsid w:val="00B04504"/>
    <w:rsid w:val="00B04890"/>
    <w:rsid w:val="00B04D14"/>
    <w:rsid w:val="00B0501D"/>
    <w:rsid w:val="00B05697"/>
    <w:rsid w:val="00B05B0D"/>
    <w:rsid w:val="00B05CEC"/>
    <w:rsid w:val="00B06B79"/>
    <w:rsid w:val="00B071CA"/>
    <w:rsid w:val="00B07369"/>
    <w:rsid w:val="00B073DB"/>
    <w:rsid w:val="00B07772"/>
    <w:rsid w:val="00B07A89"/>
    <w:rsid w:val="00B1065B"/>
    <w:rsid w:val="00B11CE1"/>
    <w:rsid w:val="00B11E46"/>
    <w:rsid w:val="00B12396"/>
    <w:rsid w:val="00B12760"/>
    <w:rsid w:val="00B132A6"/>
    <w:rsid w:val="00B134C3"/>
    <w:rsid w:val="00B13FE4"/>
    <w:rsid w:val="00B14393"/>
    <w:rsid w:val="00B14ED3"/>
    <w:rsid w:val="00B16047"/>
    <w:rsid w:val="00B16514"/>
    <w:rsid w:val="00B16B87"/>
    <w:rsid w:val="00B16D63"/>
    <w:rsid w:val="00B17A82"/>
    <w:rsid w:val="00B20078"/>
    <w:rsid w:val="00B20230"/>
    <w:rsid w:val="00B207A3"/>
    <w:rsid w:val="00B209DA"/>
    <w:rsid w:val="00B2129C"/>
    <w:rsid w:val="00B21308"/>
    <w:rsid w:val="00B2172E"/>
    <w:rsid w:val="00B2185E"/>
    <w:rsid w:val="00B21F4E"/>
    <w:rsid w:val="00B224B6"/>
    <w:rsid w:val="00B22D08"/>
    <w:rsid w:val="00B23169"/>
    <w:rsid w:val="00B235A5"/>
    <w:rsid w:val="00B23EF7"/>
    <w:rsid w:val="00B253E5"/>
    <w:rsid w:val="00B2587C"/>
    <w:rsid w:val="00B25A7E"/>
    <w:rsid w:val="00B26401"/>
    <w:rsid w:val="00B26791"/>
    <w:rsid w:val="00B271E6"/>
    <w:rsid w:val="00B27367"/>
    <w:rsid w:val="00B27439"/>
    <w:rsid w:val="00B27CE4"/>
    <w:rsid w:val="00B30016"/>
    <w:rsid w:val="00B3094C"/>
    <w:rsid w:val="00B310CD"/>
    <w:rsid w:val="00B3125C"/>
    <w:rsid w:val="00B31A3C"/>
    <w:rsid w:val="00B325C4"/>
    <w:rsid w:val="00B326BC"/>
    <w:rsid w:val="00B326E6"/>
    <w:rsid w:val="00B32717"/>
    <w:rsid w:val="00B33FCB"/>
    <w:rsid w:val="00B33FE2"/>
    <w:rsid w:val="00B347B2"/>
    <w:rsid w:val="00B34DB6"/>
    <w:rsid w:val="00B353C7"/>
    <w:rsid w:val="00B3563B"/>
    <w:rsid w:val="00B35DC7"/>
    <w:rsid w:val="00B36737"/>
    <w:rsid w:val="00B37039"/>
    <w:rsid w:val="00B3777C"/>
    <w:rsid w:val="00B37F47"/>
    <w:rsid w:val="00B4004F"/>
    <w:rsid w:val="00B404F1"/>
    <w:rsid w:val="00B40C8B"/>
    <w:rsid w:val="00B40D8D"/>
    <w:rsid w:val="00B40DF1"/>
    <w:rsid w:val="00B40E43"/>
    <w:rsid w:val="00B410E3"/>
    <w:rsid w:val="00B412FB"/>
    <w:rsid w:val="00B41DB8"/>
    <w:rsid w:val="00B4224D"/>
    <w:rsid w:val="00B42844"/>
    <w:rsid w:val="00B42CA5"/>
    <w:rsid w:val="00B43C9D"/>
    <w:rsid w:val="00B440FF"/>
    <w:rsid w:val="00B441BE"/>
    <w:rsid w:val="00B441FB"/>
    <w:rsid w:val="00B446E9"/>
    <w:rsid w:val="00B44E4F"/>
    <w:rsid w:val="00B45187"/>
    <w:rsid w:val="00B451FF"/>
    <w:rsid w:val="00B455B3"/>
    <w:rsid w:val="00B457DA"/>
    <w:rsid w:val="00B45DAE"/>
    <w:rsid w:val="00B46079"/>
    <w:rsid w:val="00B461BE"/>
    <w:rsid w:val="00B465E5"/>
    <w:rsid w:val="00B47BA0"/>
    <w:rsid w:val="00B50128"/>
    <w:rsid w:val="00B504BD"/>
    <w:rsid w:val="00B506C1"/>
    <w:rsid w:val="00B5097C"/>
    <w:rsid w:val="00B52ADF"/>
    <w:rsid w:val="00B53ACF"/>
    <w:rsid w:val="00B53C98"/>
    <w:rsid w:val="00B540BE"/>
    <w:rsid w:val="00B54D73"/>
    <w:rsid w:val="00B553CA"/>
    <w:rsid w:val="00B55501"/>
    <w:rsid w:val="00B5558A"/>
    <w:rsid w:val="00B55FF3"/>
    <w:rsid w:val="00B56389"/>
    <w:rsid w:val="00B564FD"/>
    <w:rsid w:val="00B56765"/>
    <w:rsid w:val="00B569B5"/>
    <w:rsid w:val="00B571F4"/>
    <w:rsid w:val="00B60983"/>
    <w:rsid w:val="00B61D85"/>
    <w:rsid w:val="00B6221B"/>
    <w:rsid w:val="00B6249E"/>
    <w:rsid w:val="00B62708"/>
    <w:rsid w:val="00B631C1"/>
    <w:rsid w:val="00B64539"/>
    <w:rsid w:val="00B6459C"/>
    <w:rsid w:val="00B6521B"/>
    <w:rsid w:val="00B65951"/>
    <w:rsid w:val="00B65C8F"/>
    <w:rsid w:val="00B66C21"/>
    <w:rsid w:val="00B66D0F"/>
    <w:rsid w:val="00B67200"/>
    <w:rsid w:val="00B678D0"/>
    <w:rsid w:val="00B700F5"/>
    <w:rsid w:val="00B70861"/>
    <w:rsid w:val="00B71B90"/>
    <w:rsid w:val="00B72F87"/>
    <w:rsid w:val="00B7347E"/>
    <w:rsid w:val="00B74099"/>
    <w:rsid w:val="00B74147"/>
    <w:rsid w:val="00B744A2"/>
    <w:rsid w:val="00B746B1"/>
    <w:rsid w:val="00B746EC"/>
    <w:rsid w:val="00B750AC"/>
    <w:rsid w:val="00B76352"/>
    <w:rsid w:val="00B7730E"/>
    <w:rsid w:val="00B77927"/>
    <w:rsid w:val="00B81CAB"/>
    <w:rsid w:val="00B82486"/>
    <w:rsid w:val="00B824CE"/>
    <w:rsid w:val="00B825BC"/>
    <w:rsid w:val="00B82E76"/>
    <w:rsid w:val="00B83A74"/>
    <w:rsid w:val="00B840C6"/>
    <w:rsid w:val="00B847D8"/>
    <w:rsid w:val="00B847DC"/>
    <w:rsid w:val="00B84A92"/>
    <w:rsid w:val="00B85422"/>
    <w:rsid w:val="00B85571"/>
    <w:rsid w:val="00B85E91"/>
    <w:rsid w:val="00B869E0"/>
    <w:rsid w:val="00B86A89"/>
    <w:rsid w:val="00B87435"/>
    <w:rsid w:val="00B8791D"/>
    <w:rsid w:val="00B87D88"/>
    <w:rsid w:val="00B9030C"/>
    <w:rsid w:val="00B907CB"/>
    <w:rsid w:val="00B91125"/>
    <w:rsid w:val="00B91252"/>
    <w:rsid w:val="00B919CE"/>
    <w:rsid w:val="00B91AED"/>
    <w:rsid w:val="00B91B7D"/>
    <w:rsid w:val="00B91EFC"/>
    <w:rsid w:val="00B922B3"/>
    <w:rsid w:val="00B924C0"/>
    <w:rsid w:val="00B92F11"/>
    <w:rsid w:val="00B93BF5"/>
    <w:rsid w:val="00B93E66"/>
    <w:rsid w:val="00B94650"/>
    <w:rsid w:val="00B94A19"/>
    <w:rsid w:val="00B95630"/>
    <w:rsid w:val="00B95EBF"/>
    <w:rsid w:val="00B96277"/>
    <w:rsid w:val="00BA0158"/>
    <w:rsid w:val="00BA08D5"/>
    <w:rsid w:val="00BA130C"/>
    <w:rsid w:val="00BA152F"/>
    <w:rsid w:val="00BA237E"/>
    <w:rsid w:val="00BA2A3F"/>
    <w:rsid w:val="00BA585D"/>
    <w:rsid w:val="00BA5A89"/>
    <w:rsid w:val="00BA5BE3"/>
    <w:rsid w:val="00BA7581"/>
    <w:rsid w:val="00BA7F72"/>
    <w:rsid w:val="00BB04A9"/>
    <w:rsid w:val="00BB0B6F"/>
    <w:rsid w:val="00BB11E3"/>
    <w:rsid w:val="00BB1DA7"/>
    <w:rsid w:val="00BB27A4"/>
    <w:rsid w:val="00BB2CA2"/>
    <w:rsid w:val="00BB2EA5"/>
    <w:rsid w:val="00BB3542"/>
    <w:rsid w:val="00BB370E"/>
    <w:rsid w:val="00BB429B"/>
    <w:rsid w:val="00BB47C5"/>
    <w:rsid w:val="00BB491E"/>
    <w:rsid w:val="00BB5B26"/>
    <w:rsid w:val="00BB5B6F"/>
    <w:rsid w:val="00BB64D6"/>
    <w:rsid w:val="00BB65DE"/>
    <w:rsid w:val="00BB68A8"/>
    <w:rsid w:val="00BB71B6"/>
    <w:rsid w:val="00BB7398"/>
    <w:rsid w:val="00BC1375"/>
    <w:rsid w:val="00BC1662"/>
    <w:rsid w:val="00BC1ABD"/>
    <w:rsid w:val="00BC1BEA"/>
    <w:rsid w:val="00BC1CCA"/>
    <w:rsid w:val="00BC23D2"/>
    <w:rsid w:val="00BC2518"/>
    <w:rsid w:val="00BC2851"/>
    <w:rsid w:val="00BC2980"/>
    <w:rsid w:val="00BC2C7D"/>
    <w:rsid w:val="00BC3240"/>
    <w:rsid w:val="00BC34C7"/>
    <w:rsid w:val="00BC379C"/>
    <w:rsid w:val="00BC4C49"/>
    <w:rsid w:val="00BC59F6"/>
    <w:rsid w:val="00BC639D"/>
    <w:rsid w:val="00BC6612"/>
    <w:rsid w:val="00BC66DF"/>
    <w:rsid w:val="00BC7332"/>
    <w:rsid w:val="00BC75C2"/>
    <w:rsid w:val="00BC77CF"/>
    <w:rsid w:val="00BC7D65"/>
    <w:rsid w:val="00BD134B"/>
    <w:rsid w:val="00BD2272"/>
    <w:rsid w:val="00BD2C97"/>
    <w:rsid w:val="00BD2D09"/>
    <w:rsid w:val="00BD3307"/>
    <w:rsid w:val="00BD330A"/>
    <w:rsid w:val="00BD3EAD"/>
    <w:rsid w:val="00BD4837"/>
    <w:rsid w:val="00BD4B61"/>
    <w:rsid w:val="00BD5118"/>
    <w:rsid w:val="00BD5621"/>
    <w:rsid w:val="00BD56A9"/>
    <w:rsid w:val="00BD5960"/>
    <w:rsid w:val="00BD78A8"/>
    <w:rsid w:val="00BD7D18"/>
    <w:rsid w:val="00BE0D77"/>
    <w:rsid w:val="00BE0DE8"/>
    <w:rsid w:val="00BE1B32"/>
    <w:rsid w:val="00BE2187"/>
    <w:rsid w:val="00BE2345"/>
    <w:rsid w:val="00BE2775"/>
    <w:rsid w:val="00BE2CA8"/>
    <w:rsid w:val="00BE2F21"/>
    <w:rsid w:val="00BE2FBA"/>
    <w:rsid w:val="00BE32CE"/>
    <w:rsid w:val="00BE37F2"/>
    <w:rsid w:val="00BE3830"/>
    <w:rsid w:val="00BE4262"/>
    <w:rsid w:val="00BE46AE"/>
    <w:rsid w:val="00BE488B"/>
    <w:rsid w:val="00BE538B"/>
    <w:rsid w:val="00BE552D"/>
    <w:rsid w:val="00BE5928"/>
    <w:rsid w:val="00BE6C13"/>
    <w:rsid w:val="00BE7922"/>
    <w:rsid w:val="00BE7B11"/>
    <w:rsid w:val="00BE7D19"/>
    <w:rsid w:val="00BE7FC1"/>
    <w:rsid w:val="00BF0E71"/>
    <w:rsid w:val="00BF0E99"/>
    <w:rsid w:val="00BF1A99"/>
    <w:rsid w:val="00BF1D33"/>
    <w:rsid w:val="00BF2437"/>
    <w:rsid w:val="00BF28EB"/>
    <w:rsid w:val="00BF2FBE"/>
    <w:rsid w:val="00BF34E6"/>
    <w:rsid w:val="00BF39FA"/>
    <w:rsid w:val="00BF3ABA"/>
    <w:rsid w:val="00BF4034"/>
    <w:rsid w:val="00BF428D"/>
    <w:rsid w:val="00BF49ED"/>
    <w:rsid w:val="00BF4A69"/>
    <w:rsid w:val="00BF51E0"/>
    <w:rsid w:val="00BF520D"/>
    <w:rsid w:val="00BF54CB"/>
    <w:rsid w:val="00BF5B4A"/>
    <w:rsid w:val="00BF6139"/>
    <w:rsid w:val="00BF643D"/>
    <w:rsid w:val="00BF644D"/>
    <w:rsid w:val="00BF67C2"/>
    <w:rsid w:val="00BF7964"/>
    <w:rsid w:val="00BF7971"/>
    <w:rsid w:val="00BF7ED9"/>
    <w:rsid w:val="00C00505"/>
    <w:rsid w:val="00C00882"/>
    <w:rsid w:val="00C01CC5"/>
    <w:rsid w:val="00C024F6"/>
    <w:rsid w:val="00C027BB"/>
    <w:rsid w:val="00C03F28"/>
    <w:rsid w:val="00C04080"/>
    <w:rsid w:val="00C047AA"/>
    <w:rsid w:val="00C04A4C"/>
    <w:rsid w:val="00C058B8"/>
    <w:rsid w:val="00C0593E"/>
    <w:rsid w:val="00C0669B"/>
    <w:rsid w:val="00C06980"/>
    <w:rsid w:val="00C07295"/>
    <w:rsid w:val="00C07C27"/>
    <w:rsid w:val="00C07F63"/>
    <w:rsid w:val="00C10323"/>
    <w:rsid w:val="00C10CCB"/>
    <w:rsid w:val="00C124A7"/>
    <w:rsid w:val="00C1283E"/>
    <w:rsid w:val="00C12AFC"/>
    <w:rsid w:val="00C12D5F"/>
    <w:rsid w:val="00C12E8F"/>
    <w:rsid w:val="00C12F08"/>
    <w:rsid w:val="00C130A4"/>
    <w:rsid w:val="00C131F9"/>
    <w:rsid w:val="00C1353B"/>
    <w:rsid w:val="00C136A8"/>
    <w:rsid w:val="00C13FE1"/>
    <w:rsid w:val="00C14316"/>
    <w:rsid w:val="00C14743"/>
    <w:rsid w:val="00C14B8E"/>
    <w:rsid w:val="00C14BCE"/>
    <w:rsid w:val="00C14E63"/>
    <w:rsid w:val="00C150EF"/>
    <w:rsid w:val="00C1572E"/>
    <w:rsid w:val="00C16040"/>
    <w:rsid w:val="00C16AD0"/>
    <w:rsid w:val="00C16C70"/>
    <w:rsid w:val="00C16E02"/>
    <w:rsid w:val="00C1730A"/>
    <w:rsid w:val="00C17D27"/>
    <w:rsid w:val="00C20061"/>
    <w:rsid w:val="00C203EC"/>
    <w:rsid w:val="00C2062F"/>
    <w:rsid w:val="00C20770"/>
    <w:rsid w:val="00C214E9"/>
    <w:rsid w:val="00C219A8"/>
    <w:rsid w:val="00C21B1B"/>
    <w:rsid w:val="00C21D46"/>
    <w:rsid w:val="00C2220B"/>
    <w:rsid w:val="00C2320F"/>
    <w:rsid w:val="00C239FC"/>
    <w:rsid w:val="00C2560E"/>
    <w:rsid w:val="00C260A8"/>
    <w:rsid w:val="00C26254"/>
    <w:rsid w:val="00C26AFF"/>
    <w:rsid w:val="00C26FDB"/>
    <w:rsid w:val="00C2705C"/>
    <w:rsid w:val="00C270DF"/>
    <w:rsid w:val="00C2733F"/>
    <w:rsid w:val="00C27AB1"/>
    <w:rsid w:val="00C302C7"/>
    <w:rsid w:val="00C3045E"/>
    <w:rsid w:val="00C3068A"/>
    <w:rsid w:val="00C3113C"/>
    <w:rsid w:val="00C312CC"/>
    <w:rsid w:val="00C314E0"/>
    <w:rsid w:val="00C3173B"/>
    <w:rsid w:val="00C31BCD"/>
    <w:rsid w:val="00C32486"/>
    <w:rsid w:val="00C326B6"/>
    <w:rsid w:val="00C32CDC"/>
    <w:rsid w:val="00C33693"/>
    <w:rsid w:val="00C3384D"/>
    <w:rsid w:val="00C33ED2"/>
    <w:rsid w:val="00C34299"/>
    <w:rsid w:val="00C3433A"/>
    <w:rsid w:val="00C34503"/>
    <w:rsid w:val="00C34D6F"/>
    <w:rsid w:val="00C35633"/>
    <w:rsid w:val="00C358F8"/>
    <w:rsid w:val="00C35D53"/>
    <w:rsid w:val="00C361B4"/>
    <w:rsid w:val="00C3630A"/>
    <w:rsid w:val="00C3637C"/>
    <w:rsid w:val="00C36586"/>
    <w:rsid w:val="00C36725"/>
    <w:rsid w:val="00C36AE7"/>
    <w:rsid w:val="00C36C7E"/>
    <w:rsid w:val="00C37261"/>
    <w:rsid w:val="00C37571"/>
    <w:rsid w:val="00C376E1"/>
    <w:rsid w:val="00C37F98"/>
    <w:rsid w:val="00C409BE"/>
    <w:rsid w:val="00C40B05"/>
    <w:rsid w:val="00C40B35"/>
    <w:rsid w:val="00C40F1E"/>
    <w:rsid w:val="00C41036"/>
    <w:rsid w:val="00C41378"/>
    <w:rsid w:val="00C415CB"/>
    <w:rsid w:val="00C4166A"/>
    <w:rsid w:val="00C4169B"/>
    <w:rsid w:val="00C41774"/>
    <w:rsid w:val="00C41B55"/>
    <w:rsid w:val="00C42418"/>
    <w:rsid w:val="00C432E3"/>
    <w:rsid w:val="00C435F6"/>
    <w:rsid w:val="00C4365D"/>
    <w:rsid w:val="00C43C82"/>
    <w:rsid w:val="00C44339"/>
    <w:rsid w:val="00C44A80"/>
    <w:rsid w:val="00C44D68"/>
    <w:rsid w:val="00C453D5"/>
    <w:rsid w:val="00C454C7"/>
    <w:rsid w:val="00C461BF"/>
    <w:rsid w:val="00C463D5"/>
    <w:rsid w:val="00C4714B"/>
    <w:rsid w:val="00C47305"/>
    <w:rsid w:val="00C47F0E"/>
    <w:rsid w:val="00C47F4D"/>
    <w:rsid w:val="00C5016C"/>
    <w:rsid w:val="00C50989"/>
    <w:rsid w:val="00C50FF0"/>
    <w:rsid w:val="00C5127C"/>
    <w:rsid w:val="00C5165D"/>
    <w:rsid w:val="00C519D2"/>
    <w:rsid w:val="00C51CFC"/>
    <w:rsid w:val="00C51F26"/>
    <w:rsid w:val="00C5203E"/>
    <w:rsid w:val="00C52B8E"/>
    <w:rsid w:val="00C5442E"/>
    <w:rsid w:val="00C54766"/>
    <w:rsid w:val="00C556D6"/>
    <w:rsid w:val="00C55A14"/>
    <w:rsid w:val="00C55DC8"/>
    <w:rsid w:val="00C55EEA"/>
    <w:rsid w:val="00C560B7"/>
    <w:rsid w:val="00C5616B"/>
    <w:rsid w:val="00C56966"/>
    <w:rsid w:val="00C56AFE"/>
    <w:rsid w:val="00C56B5F"/>
    <w:rsid w:val="00C56FB0"/>
    <w:rsid w:val="00C57451"/>
    <w:rsid w:val="00C57901"/>
    <w:rsid w:val="00C57970"/>
    <w:rsid w:val="00C57BE3"/>
    <w:rsid w:val="00C6116C"/>
    <w:rsid w:val="00C615AF"/>
    <w:rsid w:val="00C61943"/>
    <w:rsid w:val="00C636AC"/>
    <w:rsid w:val="00C63E5A"/>
    <w:rsid w:val="00C645A3"/>
    <w:rsid w:val="00C64640"/>
    <w:rsid w:val="00C64CBF"/>
    <w:rsid w:val="00C654A2"/>
    <w:rsid w:val="00C65EFA"/>
    <w:rsid w:val="00C66603"/>
    <w:rsid w:val="00C66A4E"/>
    <w:rsid w:val="00C670B2"/>
    <w:rsid w:val="00C6731D"/>
    <w:rsid w:val="00C673C8"/>
    <w:rsid w:val="00C675A0"/>
    <w:rsid w:val="00C67606"/>
    <w:rsid w:val="00C67E3D"/>
    <w:rsid w:val="00C7003F"/>
    <w:rsid w:val="00C71456"/>
    <w:rsid w:val="00C71DCB"/>
    <w:rsid w:val="00C72198"/>
    <w:rsid w:val="00C72958"/>
    <w:rsid w:val="00C744ED"/>
    <w:rsid w:val="00C747E9"/>
    <w:rsid w:val="00C74D9F"/>
    <w:rsid w:val="00C75D26"/>
    <w:rsid w:val="00C76A6D"/>
    <w:rsid w:val="00C77C38"/>
    <w:rsid w:val="00C77D1D"/>
    <w:rsid w:val="00C811AF"/>
    <w:rsid w:val="00C812A3"/>
    <w:rsid w:val="00C819C3"/>
    <w:rsid w:val="00C827AE"/>
    <w:rsid w:val="00C83503"/>
    <w:rsid w:val="00C8367A"/>
    <w:rsid w:val="00C839B0"/>
    <w:rsid w:val="00C84235"/>
    <w:rsid w:val="00C8432D"/>
    <w:rsid w:val="00C845A1"/>
    <w:rsid w:val="00C846D0"/>
    <w:rsid w:val="00C854AE"/>
    <w:rsid w:val="00C857C1"/>
    <w:rsid w:val="00C85B61"/>
    <w:rsid w:val="00C85CDA"/>
    <w:rsid w:val="00C86339"/>
    <w:rsid w:val="00C86D6E"/>
    <w:rsid w:val="00C8719F"/>
    <w:rsid w:val="00C87606"/>
    <w:rsid w:val="00C87653"/>
    <w:rsid w:val="00C8765B"/>
    <w:rsid w:val="00C90858"/>
    <w:rsid w:val="00C90976"/>
    <w:rsid w:val="00C912E1"/>
    <w:rsid w:val="00C91447"/>
    <w:rsid w:val="00C92069"/>
    <w:rsid w:val="00C92792"/>
    <w:rsid w:val="00C9327D"/>
    <w:rsid w:val="00C9374D"/>
    <w:rsid w:val="00C94620"/>
    <w:rsid w:val="00C94C14"/>
    <w:rsid w:val="00C94E45"/>
    <w:rsid w:val="00C95550"/>
    <w:rsid w:val="00C95B12"/>
    <w:rsid w:val="00C95D4B"/>
    <w:rsid w:val="00C96399"/>
    <w:rsid w:val="00C97DA7"/>
    <w:rsid w:val="00C97E47"/>
    <w:rsid w:val="00CA0B3F"/>
    <w:rsid w:val="00CA16BF"/>
    <w:rsid w:val="00CA1C60"/>
    <w:rsid w:val="00CA2AF2"/>
    <w:rsid w:val="00CA3572"/>
    <w:rsid w:val="00CA3946"/>
    <w:rsid w:val="00CA3B15"/>
    <w:rsid w:val="00CA3DFB"/>
    <w:rsid w:val="00CA4DEF"/>
    <w:rsid w:val="00CA5883"/>
    <w:rsid w:val="00CA6A74"/>
    <w:rsid w:val="00CA6F36"/>
    <w:rsid w:val="00CA79F4"/>
    <w:rsid w:val="00CA7B28"/>
    <w:rsid w:val="00CB01B4"/>
    <w:rsid w:val="00CB0253"/>
    <w:rsid w:val="00CB09B9"/>
    <w:rsid w:val="00CB0CB9"/>
    <w:rsid w:val="00CB0FA7"/>
    <w:rsid w:val="00CB0FF4"/>
    <w:rsid w:val="00CB1438"/>
    <w:rsid w:val="00CB1571"/>
    <w:rsid w:val="00CB17EC"/>
    <w:rsid w:val="00CB1CDA"/>
    <w:rsid w:val="00CB29F1"/>
    <w:rsid w:val="00CB2B57"/>
    <w:rsid w:val="00CB3380"/>
    <w:rsid w:val="00CB4094"/>
    <w:rsid w:val="00CB4592"/>
    <w:rsid w:val="00CB513F"/>
    <w:rsid w:val="00CB5343"/>
    <w:rsid w:val="00CB5A76"/>
    <w:rsid w:val="00CB5DEA"/>
    <w:rsid w:val="00CB615D"/>
    <w:rsid w:val="00CB6C99"/>
    <w:rsid w:val="00CB71DB"/>
    <w:rsid w:val="00CB74FC"/>
    <w:rsid w:val="00CB7D03"/>
    <w:rsid w:val="00CB7D24"/>
    <w:rsid w:val="00CB7DDA"/>
    <w:rsid w:val="00CC0312"/>
    <w:rsid w:val="00CC033E"/>
    <w:rsid w:val="00CC0E88"/>
    <w:rsid w:val="00CC1336"/>
    <w:rsid w:val="00CC1A0F"/>
    <w:rsid w:val="00CC1C7D"/>
    <w:rsid w:val="00CC21CF"/>
    <w:rsid w:val="00CC24B9"/>
    <w:rsid w:val="00CC2A37"/>
    <w:rsid w:val="00CC2AE8"/>
    <w:rsid w:val="00CC3811"/>
    <w:rsid w:val="00CC3E4F"/>
    <w:rsid w:val="00CC4A6B"/>
    <w:rsid w:val="00CC52FE"/>
    <w:rsid w:val="00CC59DA"/>
    <w:rsid w:val="00CC60A0"/>
    <w:rsid w:val="00CC68D9"/>
    <w:rsid w:val="00CC7213"/>
    <w:rsid w:val="00CC729B"/>
    <w:rsid w:val="00CD0140"/>
    <w:rsid w:val="00CD2709"/>
    <w:rsid w:val="00CD2AAC"/>
    <w:rsid w:val="00CD3007"/>
    <w:rsid w:val="00CD3F4E"/>
    <w:rsid w:val="00CD52E3"/>
    <w:rsid w:val="00CD5378"/>
    <w:rsid w:val="00CD5454"/>
    <w:rsid w:val="00CD54D4"/>
    <w:rsid w:val="00CD5725"/>
    <w:rsid w:val="00CD5CED"/>
    <w:rsid w:val="00CD5F19"/>
    <w:rsid w:val="00CD5FC7"/>
    <w:rsid w:val="00CD610A"/>
    <w:rsid w:val="00CD61CC"/>
    <w:rsid w:val="00CD74AC"/>
    <w:rsid w:val="00CD7CB9"/>
    <w:rsid w:val="00CE038C"/>
    <w:rsid w:val="00CE0FC9"/>
    <w:rsid w:val="00CE1BC5"/>
    <w:rsid w:val="00CE221E"/>
    <w:rsid w:val="00CE360B"/>
    <w:rsid w:val="00CE387D"/>
    <w:rsid w:val="00CE3E8E"/>
    <w:rsid w:val="00CE4124"/>
    <w:rsid w:val="00CE4652"/>
    <w:rsid w:val="00CE4790"/>
    <w:rsid w:val="00CE5295"/>
    <w:rsid w:val="00CE776D"/>
    <w:rsid w:val="00CE777D"/>
    <w:rsid w:val="00CF0060"/>
    <w:rsid w:val="00CF02EB"/>
    <w:rsid w:val="00CF0362"/>
    <w:rsid w:val="00CF03C7"/>
    <w:rsid w:val="00CF04D0"/>
    <w:rsid w:val="00CF0931"/>
    <w:rsid w:val="00CF0A3C"/>
    <w:rsid w:val="00CF166B"/>
    <w:rsid w:val="00CF18AD"/>
    <w:rsid w:val="00CF27A4"/>
    <w:rsid w:val="00CF27BB"/>
    <w:rsid w:val="00CF2A64"/>
    <w:rsid w:val="00CF2ABD"/>
    <w:rsid w:val="00CF3828"/>
    <w:rsid w:val="00CF39D5"/>
    <w:rsid w:val="00CF4341"/>
    <w:rsid w:val="00CF54E1"/>
    <w:rsid w:val="00CF5820"/>
    <w:rsid w:val="00CF6CE3"/>
    <w:rsid w:val="00CF7D6B"/>
    <w:rsid w:val="00D0061E"/>
    <w:rsid w:val="00D0067D"/>
    <w:rsid w:val="00D02525"/>
    <w:rsid w:val="00D02FF2"/>
    <w:rsid w:val="00D03934"/>
    <w:rsid w:val="00D03AD6"/>
    <w:rsid w:val="00D048C3"/>
    <w:rsid w:val="00D04ACD"/>
    <w:rsid w:val="00D04B60"/>
    <w:rsid w:val="00D054B0"/>
    <w:rsid w:val="00D05711"/>
    <w:rsid w:val="00D06453"/>
    <w:rsid w:val="00D06480"/>
    <w:rsid w:val="00D065E2"/>
    <w:rsid w:val="00D06EDE"/>
    <w:rsid w:val="00D070D9"/>
    <w:rsid w:val="00D0712A"/>
    <w:rsid w:val="00D07488"/>
    <w:rsid w:val="00D075FC"/>
    <w:rsid w:val="00D07B51"/>
    <w:rsid w:val="00D108C4"/>
    <w:rsid w:val="00D10CD4"/>
    <w:rsid w:val="00D11FB6"/>
    <w:rsid w:val="00D128C0"/>
    <w:rsid w:val="00D135AD"/>
    <w:rsid w:val="00D13F64"/>
    <w:rsid w:val="00D14764"/>
    <w:rsid w:val="00D149DE"/>
    <w:rsid w:val="00D1585C"/>
    <w:rsid w:val="00D15B44"/>
    <w:rsid w:val="00D161C3"/>
    <w:rsid w:val="00D163CF"/>
    <w:rsid w:val="00D16F12"/>
    <w:rsid w:val="00D171F0"/>
    <w:rsid w:val="00D177D0"/>
    <w:rsid w:val="00D17FA8"/>
    <w:rsid w:val="00D20648"/>
    <w:rsid w:val="00D2113D"/>
    <w:rsid w:val="00D2199C"/>
    <w:rsid w:val="00D2253D"/>
    <w:rsid w:val="00D22723"/>
    <w:rsid w:val="00D23835"/>
    <w:rsid w:val="00D239F6"/>
    <w:rsid w:val="00D23D5D"/>
    <w:rsid w:val="00D24CF2"/>
    <w:rsid w:val="00D25774"/>
    <w:rsid w:val="00D259AD"/>
    <w:rsid w:val="00D25D74"/>
    <w:rsid w:val="00D26123"/>
    <w:rsid w:val="00D2644F"/>
    <w:rsid w:val="00D266FF"/>
    <w:rsid w:val="00D26A54"/>
    <w:rsid w:val="00D27041"/>
    <w:rsid w:val="00D27427"/>
    <w:rsid w:val="00D27667"/>
    <w:rsid w:val="00D30EC7"/>
    <w:rsid w:val="00D31377"/>
    <w:rsid w:val="00D315EC"/>
    <w:rsid w:val="00D31F6D"/>
    <w:rsid w:val="00D32111"/>
    <w:rsid w:val="00D32687"/>
    <w:rsid w:val="00D32B74"/>
    <w:rsid w:val="00D3389E"/>
    <w:rsid w:val="00D33B02"/>
    <w:rsid w:val="00D33C48"/>
    <w:rsid w:val="00D33E23"/>
    <w:rsid w:val="00D3484A"/>
    <w:rsid w:val="00D34D37"/>
    <w:rsid w:val="00D34F98"/>
    <w:rsid w:val="00D3509D"/>
    <w:rsid w:val="00D354F6"/>
    <w:rsid w:val="00D35882"/>
    <w:rsid w:val="00D35FBB"/>
    <w:rsid w:val="00D36DAC"/>
    <w:rsid w:val="00D36E4F"/>
    <w:rsid w:val="00D36F26"/>
    <w:rsid w:val="00D3729E"/>
    <w:rsid w:val="00D3779D"/>
    <w:rsid w:val="00D37B02"/>
    <w:rsid w:val="00D37B0D"/>
    <w:rsid w:val="00D401B7"/>
    <w:rsid w:val="00D4164C"/>
    <w:rsid w:val="00D418E9"/>
    <w:rsid w:val="00D42AC2"/>
    <w:rsid w:val="00D43059"/>
    <w:rsid w:val="00D43434"/>
    <w:rsid w:val="00D44600"/>
    <w:rsid w:val="00D44738"/>
    <w:rsid w:val="00D44968"/>
    <w:rsid w:val="00D44F1E"/>
    <w:rsid w:val="00D45B26"/>
    <w:rsid w:val="00D46FA0"/>
    <w:rsid w:val="00D47CE2"/>
    <w:rsid w:val="00D5051E"/>
    <w:rsid w:val="00D5069A"/>
    <w:rsid w:val="00D50748"/>
    <w:rsid w:val="00D5100D"/>
    <w:rsid w:val="00D510D5"/>
    <w:rsid w:val="00D51334"/>
    <w:rsid w:val="00D52689"/>
    <w:rsid w:val="00D52A56"/>
    <w:rsid w:val="00D53A4E"/>
    <w:rsid w:val="00D53DBF"/>
    <w:rsid w:val="00D5500C"/>
    <w:rsid w:val="00D553F1"/>
    <w:rsid w:val="00D560ED"/>
    <w:rsid w:val="00D573B8"/>
    <w:rsid w:val="00D600C1"/>
    <w:rsid w:val="00D6059B"/>
    <w:rsid w:val="00D61941"/>
    <w:rsid w:val="00D619CA"/>
    <w:rsid w:val="00D625AA"/>
    <w:rsid w:val="00D62B93"/>
    <w:rsid w:val="00D637F9"/>
    <w:rsid w:val="00D64C81"/>
    <w:rsid w:val="00D6544C"/>
    <w:rsid w:val="00D656B8"/>
    <w:rsid w:val="00D663AF"/>
    <w:rsid w:val="00D663CF"/>
    <w:rsid w:val="00D66A06"/>
    <w:rsid w:val="00D66B5F"/>
    <w:rsid w:val="00D66D72"/>
    <w:rsid w:val="00D672D0"/>
    <w:rsid w:val="00D67B4A"/>
    <w:rsid w:val="00D67EEB"/>
    <w:rsid w:val="00D704C6"/>
    <w:rsid w:val="00D707C8"/>
    <w:rsid w:val="00D71287"/>
    <w:rsid w:val="00D7133A"/>
    <w:rsid w:val="00D716A2"/>
    <w:rsid w:val="00D716A9"/>
    <w:rsid w:val="00D71A59"/>
    <w:rsid w:val="00D71A8B"/>
    <w:rsid w:val="00D71D5D"/>
    <w:rsid w:val="00D72235"/>
    <w:rsid w:val="00D722BC"/>
    <w:rsid w:val="00D72486"/>
    <w:rsid w:val="00D72664"/>
    <w:rsid w:val="00D73340"/>
    <w:rsid w:val="00D733BF"/>
    <w:rsid w:val="00D734B4"/>
    <w:rsid w:val="00D738A8"/>
    <w:rsid w:val="00D74432"/>
    <w:rsid w:val="00D744E7"/>
    <w:rsid w:val="00D745FA"/>
    <w:rsid w:val="00D74EB0"/>
    <w:rsid w:val="00D759A2"/>
    <w:rsid w:val="00D759C7"/>
    <w:rsid w:val="00D75DE9"/>
    <w:rsid w:val="00D7672F"/>
    <w:rsid w:val="00D76B44"/>
    <w:rsid w:val="00D77F43"/>
    <w:rsid w:val="00D803DE"/>
    <w:rsid w:val="00D80488"/>
    <w:rsid w:val="00D80503"/>
    <w:rsid w:val="00D809B5"/>
    <w:rsid w:val="00D80F67"/>
    <w:rsid w:val="00D80F87"/>
    <w:rsid w:val="00D81E12"/>
    <w:rsid w:val="00D81FC9"/>
    <w:rsid w:val="00D826F6"/>
    <w:rsid w:val="00D828D6"/>
    <w:rsid w:val="00D83367"/>
    <w:rsid w:val="00D835D8"/>
    <w:rsid w:val="00D837B3"/>
    <w:rsid w:val="00D847C4"/>
    <w:rsid w:val="00D8487C"/>
    <w:rsid w:val="00D84F88"/>
    <w:rsid w:val="00D84FB5"/>
    <w:rsid w:val="00D8522C"/>
    <w:rsid w:val="00D85441"/>
    <w:rsid w:val="00D8577F"/>
    <w:rsid w:val="00D8698F"/>
    <w:rsid w:val="00D87FFB"/>
    <w:rsid w:val="00D90125"/>
    <w:rsid w:val="00D904A0"/>
    <w:rsid w:val="00D90518"/>
    <w:rsid w:val="00D90C0A"/>
    <w:rsid w:val="00D91941"/>
    <w:rsid w:val="00D91BC6"/>
    <w:rsid w:val="00D91D6A"/>
    <w:rsid w:val="00D91DD9"/>
    <w:rsid w:val="00D92033"/>
    <w:rsid w:val="00D920F9"/>
    <w:rsid w:val="00D932ED"/>
    <w:rsid w:val="00D935F4"/>
    <w:rsid w:val="00D936FB"/>
    <w:rsid w:val="00D9464A"/>
    <w:rsid w:val="00D94805"/>
    <w:rsid w:val="00D95B6A"/>
    <w:rsid w:val="00D964D2"/>
    <w:rsid w:val="00D96948"/>
    <w:rsid w:val="00D970FE"/>
    <w:rsid w:val="00D97189"/>
    <w:rsid w:val="00D977AE"/>
    <w:rsid w:val="00D97CE2"/>
    <w:rsid w:val="00DA071E"/>
    <w:rsid w:val="00DA0A34"/>
    <w:rsid w:val="00DA17B5"/>
    <w:rsid w:val="00DA2949"/>
    <w:rsid w:val="00DA349F"/>
    <w:rsid w:val="00DA3995"/>
    <w:rsid w:val="00DA4440"/>
    <w:rsid w:val="00DA5000"/>
    <w:rsid w:val="00DA5177"/>
    <w:rsid w:val="00DA57E8"/>
    <w:rsid w:val="00DA587E"/>
    <w:rsid w:val="00DA59CF"/>
    <w:rsid w:val="00DA5E85"/>
    <w:rsid w:val="00DA649C"/>
    <w:rsid w:val="00DA6784"/>
    <w:rsid w:val="00DA6D10"/>
    <w:rsid w:val="00DA72A9"/>
    <w:rsid w:val="00DA7AB8"/>
    <w:rsid w:val="00DA7E94"/>
    <w:rsid w:val="00DB0725"/>
    <w:rsid w:val="00DB0AD6"/>
    <w:rsid w:val="00DB12EB"/>
    <w:rsid w:val="00DB1761"/>
    <w:rsid w:val="00DB1ED0"/>
    <w:rsid w:val="00DB2E34"/>
    <w:rsid w:val="00DB3059"/>
    <w:rsid w:val="00DB31F8"/>
    <w:rsid w:val="00DB351C"/>
    <w:rsid w:val="00DB3806"/>
    <w:rsid w:val="00DB393A"/>
    <w:rsid w:val="00DB4642"/>
    <w:rsid w:val="00DB4788"/>
    <w:rsid w:val="00DB4794"/>
    <w:rsid w:val="00DB5155"/>
    <w:rsid w:val="00DB5A26"/>
    <w:rsid w:val="00DB6EE0"/>
    <w:rsid w:val="00DB70EC"/>
    <w:rsid w:val="00DC0422"/>
    <w:rsid w:val="00DC1248"/>
    <w:rsid w:val="00DC1250"/>
    <w:rsid w:val="00DC2628"/>
    <w:rsid w:val="00DC280E"/>
    <w:rsid w:val="00DC37F0"/>
    <w:rsid w:val="00DC3EBA"/>
    <w:rsid w:val="00DC4D9A"/>
    <w:rsid w:val="00DC5B13"/>
    <w:rsid w:val="00DC6E4B"/>
    <w:rsid w:val="00DC6F1A"/>
    <w:rsid w:val="00DC6F54"/>
    <w:rsid w:val="00DC7984"/>
    <w:rsid w:val="00DC7B73"/>
    <w:rsid w:val="00DD161C"/>
    <w:rsid w:val="00DD18D8"/>
    <w:rsid w:val="00DD1F71"/>
    <w:rsid w:val="00DD251B"/>
    <w:rsid w:val="00DD251D"/>
    <w:rsid w:val="00DD2C85"/>
    <w:rsid w:val="00DD30DC"/>
    <w:rsid w:val="00DD34D3"/>
    <w:rsid w:val="00DD3B81"/>
    <w:rsid w:val="00DD3C49"/>
    <w:rsid w:val="00DD638C"/>
    <w:rsid w:val="00DD65E2"/>
    <w:rsid w:val="00DD796F"/>
    <w:rsid w:val="00DD7B34"/>
    <w:rsid w:val="00DD7D54"/>
    <w:rsid w:val="00DD7E69"/>
    <w:rsid w:val="00DE053B"/>
    <w:rsid w:val="00DE0BFF"/>
    <w:rsid w:val="00DE0C11"/>
    <w:rsid w:val="00DE1038"/>
    <w:rsid w:val="00DE10C1"/>
    <w:rsid w:val="00DE1202"/>
    <w:rsid w:val="00DE237E"/>
    <w:rsid w:val="00DE2E8C"/>
    <w:rsid w:val="00DE362E"/>
    <w:rsid w:val="00DE3678"/>
    <w:rsid w:val="00DE3C33"/>
    <w:rsid w:val="00DE4E8D"/>
    <w:rsid w:val="00DE5924"/>
    <w:rsid w:val="00DE597E"/>
    <w:rsid w:val="00DE5BCA"/>
    <w:rsid w:val="00DE60F4"/>
    <w:rsid w:val="00DE69CB"/>
    <w:rsid w:val="00DE783D"/>
    <w:rsid w:val="00DE7C97"/>
    <w:rsid w:val="00DE7F37"/>
    <w:rsid w:val="00DE7F93"/>
    <w:rsid w:val="00DE7F9E"/>
    <w:rsid w:val="00DF0600"/>
    <w:rsid w:val="00DF098C"/>
    <w:rsid w:val="00DF09A5"/>
    <w:rsid w:val="00DF0ABE"/>
    <w:rsid w:val="00DF1429"/>
    <w:rsid w:val="00DF18AB"/>
    <w:rsid w:val="00DF21FA"/>
    <w:rsid w:val="00DF2923"/>
    <w:rsid w:val="00DF4024"/>
    <w:rsid w:val="00DF4445"/>
    <w:rsid w:val="00DF4822"/>
    <w:rsid w:val="00DF48CF"/>
    <w:rsid w:val="00DF4CBB"/>
    <w:rsid w:val="00DF558F"/>
    <w:rsid w:val="00DF5E02"/>
    <w:rsid w:val="00DF636E"/>
    <w:rsid w:val="00DF6824"/>
    <w:rsid w:val="00DF7611"/>
    <w:rsid w:val="00DF7FB4"/>
    <w:rsid w:val="00E00782"/>
    <w:rsid w:val="00E0079D"/>
    <w:rsid w:val="00E007DB"/>
    <w:rsid w:val="00E00B52"/>
    <w:rsid w:val="00E00C54"/>
    <w:rsid w:val="00E00DCE"/>
    <w:rsid w:val="00E01013"/>
    <w:rsid w:val="00E011D8"/>
    <w:rsid w:val="00E01AB4"/>
    <w:rsid w:val="00E01C09"/>
    <w:rsid w:val="00E01F45"/>
    <w:rsid w:val="00E021D9"/>
    <w:rsid w:val="00E02685"/>
    <w:rsid w:val="00E02CDE"/>
    <w:rsid w:val="00E03272"/>
    <w:rsid w:val="00E034EC"/>
    <w:rsid w:val="00E03869"/>
    <w:rsid w:val="00E03A63"/>
    <w:rsid w:val="00E04D2D"/>
    <w:rsid w:val="00E04D6A"/>
    <w:rsid w:val="00E05343"/>
    <w:rsid w:val="00E05359"/>
    <w:rsid w:val="00E05A9C"/>
    <w:rsid w:val="00E06190"/>
    <w:rsid w:val="00E064CD"/>
    <w:rsid w:val="00E069A3"/>
    <w:rsid w:val="00E06CDC"/>
    <w:rsid w:val="00E079FC"/>
    <w:rsid w:val="00E07D8B"/>
    <w:rsid w:val="00E10D5E"/>
    <w:rsid w:val="00E120C1"/>
    <w:rsid w:val="00E13664"/>
    <w:rsid w:val="00E13828"/>
    <w:rsid w:val="00E138FA"/>
    <w:rsid w:val="00E13B57"/>
    <w:rsid w:val="00E1442E"/>
    <w:rsid w:val="00E150A7"/>
    <w:rsid w:val="00E15988"/>
    <w:rsid w:val="00E15B7E"/>
    <w:rsid w:val="00E15EF4"/>
    <w:rsid w:val="00E16B4C"/>
    <w:rsid w:val="00E2005E"/>
    <w:rsid w:val="00E20763"/>
    <w:rsid w:val="00E20B5C"/>
    <w:rsid w:val="00E21DB6"/>
    <w:rsid w:val="00E22E56"/>
    <w:rsid w:val="00E22ED7"/>
    <w:rsid w:val="00E230A4"/>
    <w:rsid w:val="00E236AA"/>
    <w:rsid w:val="00E237BC"/>
    <w:rsid w:val="00E239AA"/>
    <w:rsid w:val="00E23FDC"/>
    <w:rsid w:val="00E24F4A"/>
    <w:rsid w:val="00E26155"/>
    <w:rsid w:val="00E26915"/>
    <w:rsid w:val="00E26E84"/>
    <w:rsid w:val="00E27AEA"/>
    <w:rsid w:val="00E30BC3"/>
    <w:rsid w:val="00E313E0"/>
    <w:rsid w:val="00E314EB"/>
    <w:rsid w:val="00E31B19"/>
    <w:rsid w:val="00E31C04"/>
    <w:rsid w:val="00E3357A"/>
    <w:rsid w:val="00E3489B"/>
    <w:rsid w:val="00E34DFA"/>
    <w:rsid w:val="00E35043"/>
    <w:rsid w:val="00E35768"/>
    <w:rsid w:val="00E36B24"/>
    <w:rsid w:val="00E37042"/>
    <w:rsid w:val="00E37101"/>
    <w:rsid w:val="00E375DF"/>
    <w:rsid w:val="00E406DD"/>
    <w:rsid w:val="00E41467"/>
    <w:rsid w:val="00E41481"/>
    <w:rsid w:val="00E42054"/>
    <w:rsid w:val="00E421C5"/>
    <w:rsid w:val="00E42689"/>
    <w:rsid w:val="00E426DF"/>
    <w:rsid w:val="00E43516"/>
    <w:rsid w:val="00E447E1"/>
    <w:rsid w:val="00E4491A"/>
    <w:rsid w:val="00E44B43"/>
    <w:rsid w:val="00E44D58"/>
    <w:rsid w:val="00E45F5D"/>
    <w:rsid w:val="00E469A2"/>
    <w:rsid w:val="00E46B8B"/>
    <w:rsid w:val="00E47120"/>
    <w:rsid w:val="00E47519"/>
    <w:rsid w:val="00E50824"/>
    <w:rsid w:val="00E514E3"/>
    <w:rsid w:val="00E517D9"/>
    <w:rsid w:val="00E5250B"/>
    <w:rsid w:val="00E52F4D"/>
    <w:rsid w:val="00E53798"/>
    <w:rsid w:val="00E54B05"/>
    <w:rsid w:val="00E54BBF"/>
    <w:rsid w:val="00E54C9E"/>
    <w:rsid w:val="00E553BF"/>
    <w:rsid w:val="00E55ED5"/>
    <w:rsid w:val="00E563FB"/>
    <w:rsid w:val="00E56C46"/>
    <w:rsid w:val="00E5732A"/>
    <w:rsid w:val="00E573CE"/>
    <w:rsid w:val="00E5751E"/>
    <w:rsid w:val="00E57610"/>
    <w:rsid w:val="00E577AA"/>
    <w:rsid w:val="00E579D3"/>
    <w:rsid w:val="00E57ABB"/>
    <w:rsid w:val="00E57F2D"/>
    <w:rsid w:val="00E60A56"/>
    <w:rsid w:val="00E60F2A"/>
    <w:rsid w:val="00E6112E"/>
    <w:rsid w:val="00E61733"/>
    <w:rsid w:val="00E61C36"/>
    <w:rsid w:val="00E62936"/>
    <w:rsid w:val="00E62EA9"/>
    <w:rsid w:val="00E62FF1"/>
    <w:rsid w:val="00E636DE"/>
    <w:rsid w:val="00E63CEA"/>
    <w:rsid w:val="00E6444E"/>
    <w:rsid w:val="00E652B4"/>
    <w:rsid w:val="00E65640"/>
    <w:rsid w:val="00E65651"/>
    <w:rsid w:val="00E65997"/>
    <w:rsid w:val="00E65D03"/>
    <w:rsid w:val="00E65E6A"/>
    <w:rsid w:val="00E663BB"/>
    <w:rsid w:val="00E66B1B"/>
    <w:rsid w:val="00E67296"/>
    <w:rsid w:val="00E675C7"/>
    <w:rsid w:val="00E67953"/>
    <w:rsid w:val="00E67DE2"/>
    <w:rsid w:val="00E70055"/>
    <w:rsid w:val="00E70560"/>
    <w:rsid w:val="00E714E2"/>
    <w:rsid w:val="00E71D97"/>
    <w:rsid w:val="00E72107"/>
    <w:rsid w:val="00E722D2"/>
    <w:rsid w:val="00E72641"/>
    <w:rsid w:val="00E730D8"/>
    <w:rsid w:val="00E73123"/>
    <w:rsid w:val="00E75656"/>
    <w:rsid w:val="00E75657"/>
    <w:rsid w:val="00E76070"/>
    <w:rsid w:val="00E76785"/>
    <w:rsid w:val="00E76D00"/>
    <w:rsid w:val="00E77752"/>
    <w:rsid w:val="00E777BA"/>
    <w:rsid w:val="00E80487"/>
    <w:rsid w:val="00E81378"/>
    <w:rsid w:val="00E8246A"/>
    <w:rsid w:val="00E826F4"/>
    <w:rsid w:val="00E82B0B"/>
    <w:rsid w:val="00E82F91"/>
    <w:rsid w:val="00E8318E"/>
    <w:rsid w:val="00E834FB"/>
    <w:rsid w:val="00E83648"/>
    <w:rsid w:val="00E851DF"/>
    <w:rsid w:val="00E8529D"/>
    <w:rsid w:val="00E853AD"/>
    <w:rsid w:val="00E8660F"/>
    <w:rsid w:val="00E86B0D"/>
    <w:rsid w:val="00E87067"/>
    <w:rsid w:val="00E90443"/>
    <w:rsid w:val="00E90544"/>
    <w:rsid w:val="00E90765"/>
    <w:rsid w:val="00E91E22"/>
    <w:rsid w:val="00E9210B"/>
    <w:rsid w:val="00E9231D"/>
    <w:rsid w:val="00E92A4E"/>
    <w:rsid w:val="00E92EC1"/>
    <w:rsid w:val="00E937BD"/>
    <w:rsid w:val="00E93D51"/>
    <w:rsid w:val="00E93DA5"/>
    <w:rsid w:val="00E93DC0"/>
    <w:rsid w:val="00E94218"/>
    <w:rsid w:val="00E94444"/>
    <w:rsid w:val="00E95034"/>
    <w:rsid w:val="00E95462"/>
    <w:rsid w:val="00E95821"/>
    <w:rsid w:val="00E95877"/>
    <w:rsid w:val="00E95C58"/>
    <w:rsid w:val="00E95FE2"/>
    <w:rsid w:val="00E97488"/>
    <w:rsid w:val="00E97C42"/>
    <w:rsid w:val="00E97EE4"/>
    <w:rsid w:val="00EA03FC"/>
    <w:rsid w:val="00EA0E76"/>
    <w:rsid w:val="00EA1924"/>
    <w:rsid w:val="00EA1BC3"/>
    <w:rsid w:val="00EA1BE7"/>
    <w:rsid w:val="00EA294A"/>
    <w:rsid w:val="00EA3074"/>
    <w:rsid w:val="00EA35D3"/>
    <w:rsid w:val="00EA3628"/>
    <w:rsid w:val="00EA3A3E"/>
    <w:rsid w:val="00EA3A61"/>
    <w:rsid w:val="00EA4267"/>
    <w:rsid w:val="00EA4552"/>
    <w:rsid w:val="00EA482D"/>
    <w:rsid w:val="00EA5052"/>
    <w:rsid w:val="00EA50C5"/>
    <w:rsid w:val="00EA513A"/>
    <w:rsid w:val="00EA559D"/>
    <w:rsid w:val="00EA5ABB"/>
    <w:rsid w:val="00EA5C7D"/>
    <w:rsid w:val="00EA6A11"/>
    <w:rsid w:val="00EA7796"/>
    <w:rsid w:val="00EA7A1F"/>
    <w:rsid w:val="00EA7FB9"/>
    <w:rsid w:val="00EB0140"/>
    <w:rsid w:val="00EB0282"/>
    <w:rsid w:val="00EB0FBC"/>
    <w:rsid w:val="00EB11F7"/>
    <w:rsid w:val="00EB1645"/>
    <w:rsid w:val="00EB29EA"/>
    <w:rsid w:val="00EB2ABF"/>
    <w:rsid w:val="00EB37F0"/>
    <w:rsid w:val="00EB3F14"/>
    <w:rsid w:val="00EB4681"/>
    <w:rsid w:val="00EB54DF"/>
    <w:rsid w:val="00EB584B"/>
    <w:rsid w:val="00EB711F"/>
    <w:rsid w:val="00EB764D"/>
    <w:rsid w:val="00EB7C1A"/>
    <w:rsid w:val="00EC01E5"/>
    <w:rsid w:val="00EC0787"/>
    <w:rsid w:val="00EC0912"/>
    <w:rsid w:val="00EC0DAF"/>
    <w:rsid w:val="00EC0E00"/>
    <w:rsid w:val="00EC0F15"/>
    <w:rsid w:val="00EC12BA"/>
    <w:rsid w:val="00EC17BE"/>
    <w:rsid w:val="00EC1958"/>
    <w:rsid w:val="00EC290B"/>
    <w:rsid w:val="00EC3745"/>
    <w:rsid w:val="00EC592D"/>
    <w:rsid w:val="00EC5EFF"/>
    <w:rsid w:val="00EC61EB"/>
    <w:rsid w:val="00EC66D6"/>
    <w:rsid w:val="00EC679E"/>
    <w:rsid w:val="00EC6992"/>
    <w:rsid w:val="00EC6F55"/>
    <w:rsid w:val="00EC7017"/>
    <w:rsid w:val="00EC7787"/>
    <w:rsid w:val="00EC7BB9"/>
    <w:rsid w:val="00EC7EFE"/>
    <w:rsid w:val="00EC7FF9"/>
    <w:rsid w:val="00ED044F"/>
    <w:rsid w:val="00ED0C71"/>
    <w:rsid w:val="00ED136B"/>
    <w:rsid w:val="00ED15B9"/>
    <w:rsid w:val="00ED1BDA"/>
    <w:rsid w:val="00ED1EA3"/>
    <w:rsid w:val="00ED1FC2"/>
    <w:rsid w:val="00ED276C"/>
    <w:rsid w:val="00ED2C35"/>
    <w:rsid w:val="00ED2EC1"/>
    <w:rsid w:val="00ED4125"/>
    <w:rsid w:val="00ED4414"/>
    <w:rsid w:val="00ED449A"/>
    <w:rsid w:val="00ED5099"/>
    <w:rsid w:val="00ED5DBC"/>
    <w:rsid w:val="00ED6028"/>
    <w:rsid w:val="00ED604C"/>
    <w:rsid w:val="00ED615C"/>
    <w:rsid w:val="00ED692F"/>
    <w:rsid w:val="00ED7C93"/>
    <w:rsid w:val="00EE017A"/>
    <w:rsid w:val="00EE03EC"/>
    <w:rsid w:val="00EE0908"/>
    <w:rsid w:val="00EE09B9"/>
    <w:rsid w:val="00EE0B6F"/>
    <w:rsid w:val="00EE17C7"/>
    <w:rsid w:val="00EE1981"/>
    <w:rsid w:val="00EE1A47"/>
    <w:rsid w:val="00EE2088"/>
    <w:rsid w:val="00EE2393"/>
    <w:rsid w:val="00EE28FF"/>
    <w:rsid w:val="00EE2907"/>
    <w:rsid w:val="00EE2959"/>
    <w:rsid w:val="00EE2FDA"/>
    <w:rsid w:val="00EE31DC"/>
    <w:rsid w:val="00EE3665"/>
    <w:rsid w:val="00EE3CCC"/>
    <w:rsid w:val="00EE3F8A"/>
    <w:rsid w:val="00EE4002"/>
    <w:rsid w:val="00EE486E"/>
    <w:rsid w:val="00EE6EDC"/>
    <w:rsid w:val="00EE73E4"/>
    <w:rsid w:val="00EE768A"/>
    <w:rsid w:val="00EE7779"/>
    <w:rsid w:val="00EE77A6"/>
    <w:rsid w:val="00EE7A5B"/>
    <w:rsid w:val="00EF08A2"/>
    <w:rsid w:val="00EF1032"/>
    <w:rsid w:val="00EF2151"/>
    <w:rsid w:val="00EF2506"/>
    <w:rsid w:val="00EF2D2B"/>
    <w:rsid w:val="00EF318F"/>
    <w:rsid w:val="00EF3CA3"/>
    <w:rsid w:val="00EF3EDE"/>
    <w:rsid w:val="00EF3FB2"/>
    <w:rsid w:val="00EF411B"/>
    <w:rsid w:val="00EF435F"/>
    <w:rsid w:val="00EF43B4"/>
    <w:rsid w:val="00EF498E"/>
    <w:rsid w:val="00EF4CFC"/>
    <w:rsid w:val="00EF4DF3"/>
    <w:rsid w:val="00EF5130"/>
    <w:rsid w:val="00EF5A4D"/>
    <w:rsid w:val="00EF5AB1"/>
    <w:rsid w:val="00EF5B3A"/>
    <w:rsid w:val="00EF5D91"/>
    <w:rsid w:val="00EF67D4"/>
    <w:rsid w:val="00EF6855"/>
    <w:rsid w:val="00EF6EC5"/>
    <w:rsid w:val="00EF6F0F"/>
    <w:rsid w:val="00EF73F5"/>
    <w:rsid w:val="00F005D0"/>
    <w:rsid w:val="00F006C4"/>
    <w:rsid w:val="00F009CA"/>
    <w:rsid w:val="00F01712"/>
    <w:rsid w:val="00F01DB7"/>
    <w:rsid w:val="00F026AE"/>
    <w:rsid w:val="00F026B1"/>
    <w:rsid w:val="00F026B4"/>
    <w:rsid w:val="00F028B0"/>
    <w:rsid w:val="00F02C16"/>
    <w:rsid w:val="00F02CCC"/>
    <w:rsid w:val="00F032ED"/>
    <w:rsid w:val="00F04437"/>
    <w:rsid w:val="00F05674"/>
    <w:rsid w:val="00F05F64"/>
    <w:rsid w:val="00F061FF"/>
    <w:rsid w:val="00F063A8"/>
    <w:rsid w:val="00F063FD"/>
    <w:rsid w:val="00F06853"/>
    <w:rsid w:val="00F07211"/>
    <w:rsid w:val="00F0756E"/>
    <w:rsid w:val="00F10118"/>
    <w:rsid w:val="00F10F96"/>
    <w:rsid w:val="00F11137"/>
    <w:rsid w:val="00F111A8"/>
    <w:rsid w:val="00F1140B"/>
    <w:rsid w:val="00F1186D"/>
    <w:rsid w:val="00F118F4"/>
    <w:rsid w:val="00F11AC1"/>
    <w:rsid w:val="00F11C56"/>
    <w:rsid w:val="00F11E31"/>
    <w:rsid w:val="00F125F2"/>
    <w:rsid w:val="00F126AD"/>
    <w:rsid w:val="00F12B0C"/>
    <w:rsid w:val="00F12D37"/>
    <w:rsid w:val="00F12F1F"/>
    <w:rsid w:val="00F1372A"/>
    <w:rsid w:val="00F14053"/>
    <w:rsid w:val="00F14803"/>
    <w:rsid w:val="00F14857"/>
    <w:rsid w:val="00F14DCC"/>
    <w:rsid w:val="00F14F87"/>
    <w:rsid w:val="00F15279"/>
    <w:rsid w:val="00F1558C"/>
    <w:rsid w:val="00F15A61"/>
    <w:rsid w:val="00F1626D"/>
    <w:rsid w:val="00F1693A"/>
    <w:rsid w:val="00F16CB6"/>
    <w:rsid w:val="00F173D5"/>
    <w:rsid w:val="00F20386"/>
    <w:rsid w:val="00F204D9"/>
    <w:rsid w:val="00F206B3"/>
    <w:rsid w:val="00F2096C"/>
    <w:rsid w:val="00F20DC9"/>
    <w:rsid w:val="00F21938"/>
    <w:rsid w:val="00F21EDB"/>
    <w:rsid w:val="00F22073"/>
    <w:rsid w:val="00F2227B"/>
    <w:rsid w:val="00F225CF"/>
    <w:rsid w:val="00F22660"/>
    <w:rsid w:val="00F22953"/>
    <w:rsid w:val="00F23918"/>
    <w:rsid w:val="00F23AFD"/>
    <w:rsid w:val="00F23DAD"/>
    <w:rsid w:val="00F24C52"/>
    <w:rsid w:val="00F24E1B"/>
    <w:rsid w:val="00F256A3"/>
    <w:rsid w:val="00F25721"/>
    <w:rsid w:val="00F25B4A"/>
    <w:rsid w:val="00F262F5"/>
    <w:rsid w:val="00F26840"/>
    <w:rsid w:val="00F26C28"/>
    <w:rsid w:val="00F26D50"/>
    <w:rsid w:val="00F26E8B"/>
    <w:rsid w:val="00F26FEB"/>
    <w:rsid w:val="00F2713D"/>
    <w:rsid w:val="00F27C26"/>
    <w:rsid w:val="00F301FE"/>
    <w:rsid w:val="00F313F7"/>
    <w:rsid w:val="00F3156B"/>
    <w:rsid w:val="00F32BC9"/>
    <w:rsid w:val="00F32C8B"/>
    <w:rsid w:val="00F32CE4"/>
    <w:rsid w:val="00F33094"/>
    <w:rsid w:val="00F33263"/>
    <w:rsid w:val="00F336C4"/>
    <w:rsid w:val="00F33ADD"/>
    <w:rsid w:val="00F33B00"/>
    <w:rsid w:val="00F34429"/>
    <w:rsid w:val="00F348F1"/>
    <w:rsid w:val="00F34F0A"/>
    <w:rsid w:val="00F35180"/>
    <w:rsid w:val="00F357F9"/>
    <w:rsid w:val="00F3581B"/>
    <w:rsid w:val="00F3683D"/>
    <w:rsid w:val="00F36F72"/>
    <w:rsid w:val="00F37132"/>
    <w:rsid w:val="00F373A3"/>
    <w:rsid w:val="00F37513"/>
    <w:rsid w:val="00F400C4"/>
    <w:rsid w:val="00F404CC"/>
    <w:rsid w:val="00F4089A"/>
    <w:rsid w:val="00F40ACC"/>
    <w:rsid w:val="00F41C72"/>
    <w:rsid w:val="00F42B1D"/>
    <w:rsid w:val="00F42CFA"/>
    <w:rsid w:val="00F42E9D"/>
    <w:rsid w:val="00F43399"/>
    <w:rsid w:val="00F434EC"/>
    <w:rsid w:val="00F43F15"/>
    <w:rsid w:val="00F44C5E"/>
    <w:rsid w:val="00F46489"/>
    <w:rsid w:val="00F4694E"/>
    <w:rsid w:val="00F46C3E"/>
    <w:rsid w:val="00F46E90"/>
    <w:rsid w:val="00F4704F"/>
    <w:rsid w:val="00F47518"/>
    <w:rsid w:val="00F5089D"/>
    <w:rsid w:val="00F50B74"/>
    <w:rsid w:val="00F50F84"/>
    <w:rsid w:val="00F51165"/>
    <w:rsid w:val="00F524F2"/>
    <w:rsid w:val="00F52704"/>
    <w:rsid w:val="00F5305C"/>
    <w:rsid w:val="00F53235"/>
    <w:rsid w:val="00F542CD"/>
    <w:rsid w:val="00F54A81"/>
    <w:rsid w:val="00F54BCD"/>
    <w:rsid w:val="00F551BF"/>
    <w:rsid w:val="00F55620"/>
    <w:rsid w:val="00F557B8"/>
    <w:rsid w:val="00F557F9"/>
    <w:rsid w:val="00F55A77"/>
    <w:rsid w:val="00F56347"/>
    <w:rsid w:val="00F56E98"/>
    <w:rsid w:val="00F60460"/>
    <w:rsid w:val="00F6096B"/>
    <w:rsid w:val="00F61740"/>
    <w:rsid w:val="00F617F0"/>
    <w:rsid w:val="00F61F26"/>
    <w:rsid w:val="00F620D4"/>
    <w:rsid w:val="00F62CB4"/>
    <w:rsid w:val="00F642C3"/>
    <w:rsid w:val="00F642DC"/>
    <w:rsid w:val="00F64549"/>
    <w:rsid w:val="00F64B30"/>
    <w:rsid w:val="00F64B90"/>
    <w:rsid w:val="00F65096"/>
    <w:rsid w:val="00F65975"/>
    <w:rsid w:val="00F6613A"/>
    <w:rsid w:val="00F66284"/>
    <w:rsid w:val="00F6630E"/>
    <w:rsid w:val="00F66322"/>
    <w:rsid w:val="00F663AE"/>
    <w:rsid w:val="00F6679B"/>
    <w:rsid w:val="00F66AD3"/>
    <w:rsid w:val="00F66EEA"/>
    <w:rsid w:val="00F67847"/>
    <w:rsid w:val="00F70705"/>
    <w:rsid w:val="00F70AFF"/>
    <w:rsid w:val="00F70E21"/>
    <w:rsid w:val="00F71A31"/>
    <w:rsid w:val="00F71F21"/>
    <w:rsid w:val="00F724F1"/>
    <w:rsid w:val="00F72F66"/>
    <w:rsid w:val="00F73684"/>
    <w:rsid w:val="00F74E0A"/>
    <w:rsid w:val="00F75904"/>
    <w:rsid w:val="00F760FA"/>
    <w:rsid w:val="00F766FC"/>
    <w:rsid w:val="00F77C0E"/>
    <w:rsid w:val="00F8030A"/>
    <w:rsid w:val="00F8067B"/>
    <w:rsid w:val="00F80A01"/>
    <w:rsid w:val="00F80ADB"/>
    <w:rsid w:val="00F81FA6"/>
    <w:rsid w:val="00F821B3"/>
    <w:rsid w:val="00F82507"/>
    <w:rsid w:val="00F83E51"/>
    <w:rsid w:val="00F8401C"/>
    <w:rsid w:val="00F853F4"/>
    <w:rsid w:val="00F85409"/>
    <w:rsid w:val="00F854A1"/>
    <w:rsid w:val="00F8554A"/>
    <w:rsid w:val="00F862CF"/>
    <w:rsid w:val="00F863DE"/>
    <w:rsid w:val="00F8661E"/>
    <w:rsid w:val="00F867D0"/>
    <w:rsid w:val="00F870D9"/>
    <w:rsid w:val="00F872E0"/>
    <w:rsid w:val="00F87453"/>
    <w:rsid w:val="00F879FB"/>
    <w:rsid w:val="00F907B3"/>
    <w:rsid w:val="00F908DE"/>
    <w:rsid w:val="00F90C97"/>
    <w:rsid w:val="00F91AE3"/>
    <w:rsid w:val="00F9287A"/>
    <w:rsid w:val="00F93142"/>
    <w:rsid w:val="00F9326E"/>
    <w:rsid w:val="00F93957"/>
    <w:rsid w:val="00F9407B"/>
    <w:rsid w:val="00F94823"/>
    <w:rsid w:val="00F94F27"/>
    <w:rsid w:val="00F951CA"/>
    <w:rsid w:val="00F962C9"/>
    <w:rsid w:val="00F963A9"/>
    <w:rsid w:val="00F969D7"/>
    <w:rsid w:val="00F974AD"/>
    <w:rsid w:val="00F97C32"/>
    <w:rsid w:val="00F97DD7"/>
    <w:rsid w:val="00F97F9F"/>
    <w:rsid w:val="00FA0237"/>
    <w:rsid w:val="00FA03C4"/>
    <w:rsid w:val="00FA06CC"/>
    <w:rsid w:val="00FA093F"/>
    <w:rsid w:val="00FA0FAD"/>
    <w:rsid w:val="00FA1090"/>
    <w:rsid w:val="00FA1103"/>
    <w:rsid w:val="00FA21B0"/>
    <w:rsid w:val="00FA2A70"/>
    <w:rsid w:val="00FA30F2"/>
    <w:rsid w:val="00FA310E"/>
    <w:rsid w:val="00FA3C54"/>
    <w:rsid w:val="00FA3E27"/>
    <w:rsid w:val="00FA4277"/>
    <w:rsid w:val="00FA497E"/>
    <w:rsid w:val="00FA4C1E"/>
    <w:rsid w:val="00FA4D0A"/>
    <w:rsid w:val="00FA4D5E"/>
    <w:rsid w:val="00FA522A"/>
    <w:rsid w:val="00FA579F"/>
    <w:rsid w:val="00FA5AF6"/>
    <w:rsid w:val="00FA60F6"/>
    <w:rsid w:val="00FA68E9"/>
    <w:rsid w:val="00FA6B60"/>
    <w:rsid w:val="00FA74DE"/>
    <w:rsid w:val="00FA78B5"/>
    <w:rsid w:val="00FB05E8"/>
    <w:rsid w:val="00FB0A5F"/>
    <w:rsid w:val="00FB0B71"/>
    <w:rsid w:val="00FB1577"/>
    <w:rsid w:val="00FB1C73"/>
    <w:rsid w:val="00FB1CE7"/>
    <w:rsid w:val="00FB2662"/>
    <w:rsid w:val="00FB31B5"/>
    <w:rsid w:val="00FB4489"/>
    <w:rsid w:val="00FB4CE1"/>
    <w:rsid w:val="00FB572F"/>
    <w:rsid w:val="00FB5755"/>
    <w:rsid w:val="00FB5825"/>
    <w:rsid w:val="00FB5E86"/>
    <w:rsid w:val="00FB619E"/>
    <w:rsid w:val="00FB66BC"/>
    <w:rsid w:val="00FB747F"/>
    <w:rsid w:val="00FC05EF"/>
    <w:rsid w:val="00FC0EDF"/>
    <w:rsid w:val="00FC225E"/>
    <w:rsid w:val="00FC274E"/>
    <w:rsid w:val="00FC284E"/>
    <w:rsid w:val="00FC2A0E"/>
    <w:rsid w:val="00FC2CBC"/>
    <w:rsid w:val="00FC2CDC"/>
    <w:rsid w:val="00FC341E"/>
    <w:rsid w:val="00FC3491"/>
    <w:rsid w:val="00FC3DC0"/>
    <w:rsid w:val="00FC40E5"/>
    <w:rsid w:val="00FC4BBB"/>
    <w:rsid w:val="00FC4EAF"/>
    <w:rsid w:val="00FC57FD"/>
    <w:rsid w:val="00FC6815"/>
    <w:rsid w:val="00FD02F8"/>
    <w:rsid w:val="00FD03AC"/>
    <w:rsid w:val="00FD0C42"/>
    <w:rsid w:val="00FD15E5"/>
    <w:rsid w:val="00FD1684"/>
    <w:rsid w:val="00FD1E0B"/>
    <w:rsid w:val="00FD26B6"/>
    <w:rsid w:val="00FD2D6B"/>
    <w:rsid w:val="00FD3C2E"/>
    <w:rsid w:val="00FD3EFC"/>
    <w:rsid w:val="00FD4177"/>
    <w:rsid w:val="00FD47A4"/>
    <w:rsid w:val="00FD4B63"/>
    <w:rsid w:val="00FD5367"/>
    <w:rsid w:val="00FD56CA"/>
    <w:rsid w:val="00FD56F7"/>
    <w:rsid w:val="00FD571F"/>
    <w:rsid w:val="00FD6C21"/>
    <w:rsid w:val="00FD6D18"/>
    <w:rsid w:val="00FD73B0"/>
    <w:rsid w:val="00FD73F8"/>
    <w:rsid w:val="00FD7D5E"/>
    <w:rsid w:val="00FD7F3C"/>
    <w:rsid w:val="00FE00F7"/>
    <w:rsid w:val="00FE19E4"/>
    <w:rsid w:val="00FE1C91"/>
    <w:rsid w:val="00FE209C"/>
    <w:rsid w:val="00FE2406"/>
    <w:rsid w:val="00FE2607"/>
    <w:rsid w:val="00FE2774"/>
    <w:rsid w:val="00FE2BC4"/>
    <w:rsid w:val="00FE2C38"/>
    <w:rsid w:val="00FE2F08"/>
    <w:rsid w:val="00FE346D"/>
    <w:rsid w:val="00FE3BA1"/>
    <w:rsid w:val="00FE3BE9"/>
    <w:rsid w:val="00FE41AC"/>
    <w:rsid w:val="00FE50DE"/>
    <w:rsid w:val="00FE53A2"/>
    <w:rsid w:val="00FE5C8F"/>
    <w:rsid w:val="00FE5D39"/>
    <w:rsid w:val="00FE648C"/>
    <w:rsid w:val="00FE6CB9"/>
    <w:rsid w:val="00FE7892"/>
    <w:rsid w:val="00FE7B3B"/>
    <w:rsid w:val="00FF1493"/>
    <w:rsid w:val="00FF2147"/>
    <w:rsid w:val="00FF26A6"/>
    <w:rsid w:val="00FF29BA"/>
    <w:rsid w:val="00FF2A58"/>
    <w:rsid w:val="00FF2F6F"/>
    <w:rsid w:val="00FF357D"/>
    <w:rsid w:val="00FF37B2"/>
    <w:rsid w:val="00FF3FC5"/>
    <w:rsid w:val="00FF3FF0"/>
    <w:rsid w:val="00FF415E"/>
    <w:rsid w:val="00FF4471"/>
    <w:rsid w:val="00FF4D16"/>
    <w:rsid w:val="00FF4D4F"/>
    <w:rsid w:val="00FF565F"/>
    <w:rsid w:val="00FF585A"/>
    <w:rsid w:val="00FF5E3B"/>
    <w:rsid w:val="00FF5F55"/>
    <w:rsid w:val="00FF64D3"/>
    <w:rsid w:val="00FF71C8"/>
    <w:rsid w:val="00FF7F6A"/>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147FA67"/>
  <w15:docId w15:val="{0A04730C-368B-4280-856A-E2F2E4D5E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557"/>
    <w:pPr>
      <w:spacing w:after="200" w:line="276" w:lineRule="auto"/>
    </w:pPr>
    <w:rPr>
      <w:rFonts w:ascii="Calibri" w:eastAsia="Calibri" w:hAnsi="Calibri" w:cs="Times New Roman"/>
      <w:lang w:val="de-DE"/>
    </w:rPr>
  </w:style>
  <w:style w:type="paragraph" w:styleId="Heading1">
    <w:name w:val="heading 1"/>
    <w:basedOn w:val="Normal"/>
    <w:next w:val="Normal"/>
    <w:link w:val="Heading1Char"/>
    <w:uiPriority w:val="9"/>
    <w:qFormat/>
    <w:rsid w:val="003865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217F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C33693"/>
    <w:pPr>
      <w:spacing w:before="100" w:beforeAutospacing="1" w:after="100" w:afterAutospacing="1" w:line="240" w:lineRule="auto"/>
      <w:outlineLvl w:val="2"/>
    </w:pPr>
    <w:rPr>
      <w:rFonts w:ascii="Times New Roman" w:eastAsia="Times New Roman" w:hAnsi="Times New Roman"/>
      <w:b/>
      <w:bCs/>
      <w:sz w:val="27"/>
      <w:szCs w:val="27"/>
      <w:lang w:val="en-US"/>
    </w:rPr>
  </w:style>
  <w:style w:type="paragraph" w:styleId="Heading4">
    <w:name w:val="heading 4"/>
    <w:basedOn w:val="Normal"/>
    <w:next w:val="Normal"/>
    <w:link w:val="Heading4Char"/>
    <w:uiPriority w:val="9"/>
    <w:unhideWhenUsed/>
    <w:qFormat/>
    <w:rsid w:val="00203FD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semiHidden/>
    <w:unhideWhenUsed/>
    <w:qFormat/>
    <w:rsid w:val="008272A6"/>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75B5"/>
    <w:pPr>
      <w:spacing w:after="0" w:line="240" w:lineRule="auto"/>
    </w:pPr>
    <w:rPr>
      <w:rFonts w:ascii="Calibri" w:eastAsia="Calibri" w:hAnsi="Calibri" w:cs="Times New Roman"/>
      <w:lang w:val="de-DE"/>
    </w:rPr>
  </w:style>
  <w:style w:type="paragraph" w:styleId="ListParagraph">
    <w:name w:val="List Paragraph"/>
    <w:aliases w:val="Numbered List,Tables,IBL List Paragraph,Normal bullet 2,Bullet list,List Paragraph1,1st level - Bullet List Paragraph,Lettre d'introduction,List Paragraph11,Normal bullet 21,List Paragraph111,Bullet list1"/>
    <w:basedOn w:val="Normal"/>
    <w:link w:val="ListParagraphChar"/>
    <w:uiPriority w:val="34"/>
    <w:qFormat/>
    <w:rsid w:val="000D64BE"/>
    <w:pPr>
      <w:ind w:left="720"/>
      <w:contextualSpacing/>
    </w:pPr>
  </w:style>
  <w:style w:type="paragraph" w:customStyle="1" w:styleId="11BodyText">
    <w:name w:val="11 BodyText"/>
    <w:basedOn w:val="Normal"/>
    <w:rsid w:val="005E529E"/>
    <w:pPr>
      <w:spacing w:after="220" w:line="240" w:lineRule="auto"/>
      <w:ind w:left="1298"/>
    </w:pPr>
    <w:rPr>
      <w:rFonts w:ascii="Arial" w:hAnsi="Arial"/>
      <w:szCs w:val="20"/>
      <w:lang w:val="en-US" w:eastAsia="zh-CN"/>
    </w:rPr>
  </w:style>
  <w:style w:type="character" w:styleId="Hyperlink">
    <w:name w:val="Hyperlink"/>
    <w:uiPriority w:val="99"/>
    <w:rsid w:val="005E529E"/>
    <w:rPr>
      <w:color w:val="0000FF"/>
      <w:sz w:val="22"/>
      <w:u w:val="single"/>
      <w:lang w:val="en-US" w:eastAsia="en-US" w:bidi="ar-SA"/>
    </w:rPr>
  </w:style>
  <w:style w:type="character" w:customStyle="1" w:styleId="st">
    <w:name w:val="st"/>
    <w:basedOn w:val="DefaultParagraphFont"/>
    <w:rsid w:val="005E529E"/>
  </w:style>
  <w:style w:type="character" w:styleId="Emphasis">
    <w:name w:val="Emphasis"/>
    <w:basedOn w:val="DefaultParagraphFont"/>
    <w:uiPriority w:val="20"/>
    <w:qFormat/>
    <w:rsid w:val="005E529E"/>
    <w:rPr>
      <w:i/>
      <w:iCs/>
    </w:rPr>
  </w:style>
  <w:style w:type="paragraph" w:customStyle="1" w:styleId="yiv0172801370msonormal">
    <w:name w:val="yiv0172801370msonormal"/>
    <w:basedOn w:val="Normal"/>
    <w:rsid w:val="005E529E"/>
    <w:pPr>
      <w:spacing w:before="100" w:beforeAutospacing="1" w:after="100" w:afterAutospacing="1" w:line="240" w:lineRule="auto"/>
    </w:pPr>
    <w:rPr>
      <w:rFonts w:ascii="Times New Roman" w:eastAsia="Times New Roman" w:hAnsi="Times New Roman"/>
      <w:sz w:val="24"/>
      <w:szCs w:val="24"/>
      <w:lang w:val="en-US"/>
    </w:rPr>
  </w:style>
  <w:style w:type="paragraph" w:styleId="Header">
    <w:name w:val="header"/>
    <w:basedOn w:val="Normal"/>
    <w:link w:val="HeaderChar"/>
    <w:uiPriority w:val="99"/>
    <w:unhideWhenUsed/>
    <w:rsid w:val="00AF75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75A4"/>
    <w:rPr>
      <w:rFonts w:ascii="Calibri" w:eastAsia="Calibri" w:hAnsi="Calibri" w:cs="Times New Roman"/>
      <w:lang w:val="de-DE"/>
    </w:rPr>
  </w:style>
  <w:style w:type="paragraph" w:styleId="Footer">
    <w:name w:val="footer"/>
    <w:basedOn w:val="Normal"/>
    <w:link w:val="FooterChar"/>
    <w:uiPriority w:val="99"/>
    <w:unhideWhenUsed/>
    <w:rsid w:val="00AF75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75A4"/>
    <w:rPr>
      <w:rFonts w:ascii="Calibri" w:eastAsia="Calibri" w:hAnsi="Calibri" w:cs="Times New Roman"/>
      <w:lang w:val="de-DE"/>
    </w:rPr>
  </w:style>
  <w:style w:type="paragraph" w:customStyle="1" w:styleId="yiv2239875399msonormal">
    <w:name w:val="yiv2239875399msonormal"/>
    <w:basedOn w:val="Normal"/>
    <w:rsid w:val="00F125F2"/>
    <w:pPr>
      <w:spacing w:before="100" w:beforeAutospacing="1" w:after="100" w:afterAutospacing="1" w:line="240" w:lineRule="auto"/>
    </w:pPr>
    <w:rPr>
      <w:rFonts w:ascii="Times New Roman" w:eastAsia="Times New Roman" w:hAnsi="Times New Roman"/>
      <w:sz w:val="24"/>
      <w:szCs w:val="24"/>
      <w:lang w:val="en-US"/>
    </w:rPr>
  </w:style>
  <w:style w:type="paragraph" w:styleId="BalloonText">
    <w:name w:val="Balloon Text"/>
    <w:basedOn w:val="Normal"/>
    <w:link w:val="BalloonTextChar"/>
    <w:uiPriority w:val="99"/>
    <w:semiHidden/>
    <w:unhideWhenUsed/>
    <w:rsid w:val="002F22D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22D3"/>
    <w:rPr>
      <w:rFonts w:ascii="Segoe UI" w:eastAsia="Calibri" w:hAnsi="Segoe UI" w:cs="Segoe UI"/>
      <w:sz w:val="18"/>
      <w:szCs w:val="18"/>
      <w:lang w:val="de-DE"/>
    </w:rPr>
  </w:style>
  <w:style w:type="character" w:styleId="CommentReference">
    <w:name w:val="annotation reference"/>
    <w:basedOn w:val="DefaultParagraphFont"/>
    <w:uiPriority w:val="99"/>
    <w:semiHidden/>
    <w:unhideWhenUsed/>
    <w:rsid w:val="001F3857"/>
    <w:rPr>
      <w:sz w:val="16"/>
      <w:szCs w:val="16"/>
    </w:rPr>
  </w:style>
  <w:style w:type="paragraph" w:styleId="CommentText">
    <w:name w:val="annotation text"/>
    <w:basedOn w:val="Normal"/>
    <w:link w:val="CommentTextChar"/>
    <w:uiPriority w:val="99"/>
    <w:unhideWhenUsed/>
    <w:rsid w:val="001F3857"/>
    <w:pPr>
      <w:spacing w:line="240" w:lineRule="auto"/>
    </w:pPr>
    <w:rPr>
      <w:sz w:val="20"/>
      <w:szCs w:val="20"/>
    </w:rPr>
  </w:style>
  <w:style w:type="character" w:customStyle="1" w:styleId="CommentTextChar">
    <w:name w:val="Comment Text Char"/>
    <w:basedOn w:val="DefaultParagraphFont"/>
    <w:link w:val="CommentText"/>
    <w:uiPriority w:val="99"/>
    <w:rsid w:val="001F3857"/>
    <w:rPr>
      <w:rFonts w:ascii="Calibri" w:eastAsia="Calibri" w:hAnsi="Calibri" w:cs="Times New Roman"/>
      <w:sz w:val="20"/>
      <w:szCs w:val="20"/>
      <w:lang w:val="de-DE"/>
    </w:rPr>
  </w:style>
  <w:style w:type="paragraph" w:styleId="CommentSubject">
    <w:name w:val="annotation subject"/>
    <w:basedOn w:val="CommentText"/>
    <w:next w:val="CommentText"/>
    <w:link w:val="CommentSubjectChar"/>
    <w:uiPriority w:val="99"/>
    <w:semiHidden/>
    <w:unhideWhenUsed/>
    <w:rsid w:val="001F3857"/>
    <w:rPr>
      <w:b/>
      <w:bCs/>
    </w:rPr>
  </w:style>
  <w:style w:type="character" w:customStyle="1" w:styleId="CommentSubjectChar">
    <w:name w:val="Comment Subject Char"/>
    <w:basedOn w:val="CommentTextChar"/>
    <w:link w:val="CommentSubject"/>
    <w:uiPriority w:val="99"/>
    <w:semiHidden/>
    <w:rsid w:val="001F3857"/>
    <w:rPr>
      <w:rFonts w:ascii="Calibri" w:eastAsia="Calibri" w:hAnsi="Calibri" w:cs="Times New Roman"/>
      <w:b/>
      <w:bCs/>
      <w:sz w:val="20"/>
      <w:szCs w:val="20"/>
      <w:lang w:val="de-DE"/>
    </w:rPr>
  </w:style>
  <w:style w:type="character" w:customStyle="1" w:styleId="Heading3Char">
    <w:name w:val="Heading 3 Char"/>
    <w:basedOn w:val="DefaultParagraphFont"/>
    <w:link w:val="Heading3"/>
    <w:uiPriority w:val="9"/>
    <w:rsid w:val="00C33693"/>
    <w:rPr>
      <w:rFonts w:ascii="Times New Roman" w:eastAsia="Times New Roman" w:hAnsi="Times New Roman" w:cs="Times New Roman"/>
      <w:b/>
      <w:bCs/>
      <w:sz w:val="27"/>
      <w:szCs w:val="27"/>
      <w:lang w:val="en-US"/>
    </w:rPr>
  </w:style>
  <w:style w:type="character" w:styleId="Strong">
    <w:name w:val="Strong"/>
    <w:basedOn w:val="DefaultParagraphFont"/>
    <w:uiPriority w:val="22"/>
    <w:qFormat/>
    <w:rsid w:val="00EA3A61"/>
    <w:rPr>
      <w:b/>
      <w:bCs/>
    </w:rPr>
  </w:style>
  <w:style w:type="character" w:customStyle="1" w:styleId="Heading2Char">
    <w:name w:val="Heading 2 Char"/>
    <w:basedOn w:val="DefaultParagraphFont"/>
    <w:link w:val="Heading2"/>
    <w:uiPriority w:val="9"/>
    <w:rsid w:val="003217F3"/>
    <w:rPr>
      <w:rFonts w:asciiTheme="majorHAnsi" w:eastAsiaTheme="majorEastAsia" w:hAnsiTheme="majorHAnsi" w:cstheme="majorBidi"/>
      <w:color w:val="2E74B5" w:themeColor="accent1" w:themeShade="BF"/>
      <w:sz w:val="26"/>
      <w:szCs w:val="26"/>
      <w:lang w:val="de-DE"/>
    </w:rPr>
  </w:style>
  <w:style w:type="paragraph" w:customStyle="1" w:styleId="yiv2049823360msonormal">
    <w:name w:val="yiv2049823360msonormal"/>
    <w:basedOn w:val="Normal"/>
    <w:rsid w:val="008F27D9"/>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Heading1Char">
    <w:name w:val="Heading 1 Char"/>
    <w:basedOn w:val="DefaultParagraphFont"/>
    <w:link w:val="Heading1"/>
    <w:uiPriority w:val="9"/>
    <w:rsid w:val="00386505"/>
    <w:rPr>
      <w:rFonts w:asciiTheme="majorHAnsi" w:eastAsiaTheme="majorEastAsia" w:hAnsiTheme="majorHAnsi" w:cstheme="majorBidi"/>
      <w:color w:val="2E74B5" w:themeColor="accent1" w:themeShade="BF"/>
      <w:sz w:val="32"/>
      <w:szCs w:val="32"/>
      <w:lang w:val="de-DE"/>
    </w:rPr>
  </w:style>
  <w:style w:type="paragraph" w:styleId="FootnoteText">
    <w:name w:val="footnote text"/>
    <w:aliases w:val="Fußnotentextf,Footnote Text Blue,Geneva 9,Font: Geneva 9,Boston 10,f,Footnote Text1,Footnote Text Char Char Char,Footnote Text Char Char,Footnote Text Char1,Footnote Text Char Char1,Footnote Text Char1 Char Char"/>
    <w:basedOn w:val="Normal"/>
    <w:link w:val="FootnoteTextChar"/>
    <w:uiPriority w:val="99"/>
    <w:unhideWhenUsed/>
    <w:rsid w:val="008A49A0"/>
    <w:pPr>
      <w:spacing w:after="0" w:line="240" w:lineRule="auto"/>
    </w:pPr>
    <w:rPr>
      <w:sz w:val="20"/>
      <w:szCs w:val="20"/>
      <w:lang w:val="en-US"/>
    </w:rPr>
  </w:style>
  <w:style w:type="character" w:customStyle="1" w:styleId="FootnoteTextChar">
    <w:name w:val="Footnote Text Char"/>
    <w:aliases w:val="Fußnotentextf Char,Footnote Text Blue Char,Geneva 9 Char,Font: Geneva 9 Char,Boston 10 Char,f Char,Footnote Text1 Char,Footnote Text Char Char Char Char,Footnote Text Char Char Char1,Footnote Text Char1 Char"/>
    <w:basedOn w:val="DefaultParagraphFont"/>
    <w:link w:val="FootnoteText"/>
    <w:uiPriority w:val="99"/>
    <w:rsid w:val="008A49A0"/>
    <w:rPr>
      <w:rFonts w:ascii="Calibri" w:eastAsia="Calibri" w:hAnsi="Calibri" w:cs="Times New Roman"/>
      <w:sz w:val="20"/>
      <w:szCs w:val="20"/>
      <w:lang w:val="en-US"/>
    </w:rPr>
  </w:style>
  <w:style w:type="character" w:styleId="FootnoteReference">
    <w:name w:val="footnote reference"/>
    <w:aliases w:val="BVI fnr, BVI fnr,Ref,de nota al pie,Voetnootmarkering1,Footnote Reference Superscript,Footnote symbol,Times 10 Point,Exposant 3 Point,Appel note de bas de p,PBO Footnote Reference,FR + (Complex) Arial,(Latin) 9 pt,Nota"/>
    <w:uiPriority w:val="99"/>
    <w:unhideWhenUsed/>
    <w:qFormat/>
    <w:rsid w:val="008A49A0"/>
    <w:rPr>
      <w:vertAlign w:val="superscript"/>
    </w:rPr>
  </w:style>
  <w:style w:type="paragraph" w:customStyle="1" w:styleId="Body">
    <w:name w:val="Body"/>
    <w:rsid w:val="008A49A0"/>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rPr>
  </w:style>
  <w:style w:type="paragraph" w:customStyle="1" w:styleId="Standard">
    <w:name w:val="Standard"/>
    <w:rsid w:val="00D745FA"/>
    <w:pPr>
      <w:suppressAutoHyphens/>
      <w:autoSpaceDN w:val="0"/>
      <w:spacing w:after="0" w:line="240" w:lineRule="auto"/>
      <w:textAlignment w:val="baseline"/>
    </w:pPr>
    <w:rPr>
      <w:rFonts w:ascii="Times New Roman" w:eastAsia="Times New Roman" w:hAnsi="Times New Roman" w:cs="Times New Roman"/>
      <w:kern w:val="3"/>
      <w:sz w:val="24"/>
      <w:szCs w:val="24"/>
      <w:lang w:val="fr-BE"/>
    </w:rPr>
  </w:style>
  <w:style w:type="character" w:customStyle="1" w:styleId="Heading4Char">
    <w:name w:val="Heading 4 Char"/>
    <w:basedOn w:val="DefaultParagraphFont"/>
    <w:link w:val="Heading4"/>
    <w:uiPriority w:val="9"/>
    <w:rsid w:val="00203FDF"/>
    <w:rPr>
      <w:rFonts w:asciiTheme="majorHAnsi" w:eastAsiaTheme="majorEastAsia" w:hAnsiTheme="majorHAnsi" w:cstheme="majorBidi"/>
      <w:i/>
      <w:iCs/>
      <w:color w:val="2E74B5" w:themeColor="accent1" w:themeShade="BF"/>
      <w:lang w:val="de-DE"/>
    </w:rPr>
  </w:style>
  <w:style w:type="paragraph" w:styleId="NormalWeb">
    <w:name w:val="Normal (Web)"/>
    <w:basedOn w:val="Normal"/>
    <w:uiPriority w:val="99"/>
    <w:unhideWhenUsed/>
    <w:rsid w:val="005E74D7"/>
    <w:rPr>
      <w:rFonts w:ascii="Times New Roman" w:hAnsi="Times New Roman"/>
      <w:sz w:val="24"/>
      <w:szCs w:val="24"/>
    </w:rPr>
  </w:style>
  <w:style w:type="table" w:styleId="TableGrid">
    <w:name w:val="Table Grid"/>
    <w:basedOn w:val="TableNormal"/>
    <w:uiPriority w:val="39"/>
    <w:rsid w:val="00CA79F4"/>
    <w:pPr>
      <w:spacing w:after="120" w:line="264" w:lineRule="auto"/>
      <w:jc w:val="both"/>
    </w:pPr>
    <w:rPr>
      <w:rFonts w:ascii="Calibri" w:eastAsia="Batang" w:hAnsi="Calibri" w:cs="Arial"/>
      <w:sz w:val="21"/>
      <w:szCs w:val="21"/>
      <w:lang w:val="en-US" w:eastAsia="en-GB"/>
    </w:rPr>
    <w:tblPr/>
    <w:tblStylePr w:type="firstRow">
      <w:rPr>
        <w:b/>
      </w:rPr>
      <w:tblPr/>
      <w:tcPr>
        <w:tcBorders>
          <w:bottom w:val="nil"/>
        </w:tcBorders>
      </w:tcPr>
    </w:tblStylePr>
    <w:tblStylePr w:type="lastRow">
      <w:tblPr/>
      <w:tcPr>
        <w:tcBorders>
          <w:bottom w:val="nil"/>
        </w:tcBorders>
      </w:tcPr>
    </w:tblStylePr>
  </w:style>
  <w:style w:type="character" w:customStyle="1" w:styleId="ListParagraphChar">
    <w:name w:val="List Paragraph Char"/>
    <w:aliases w:val="Numbered List Char,Tables Char,IBL List Paragraph Char,Normal bullet 2 Char,Bullet list Char,List Paragraph1 Char,1st level - Bullet List Paragraph Char,Lettre d'introduction Char,List Paragraph11 Char,Normal bullet 21 Char"/>
    <w:basedOn w:val="DefaultParagraphFont"/>
    <w:link w:val="ListParagraph"/>
    <w:uiPriority w:val="34"/>
    <w:qFormat/>
    <w:rsid w:val="00EF67D4"/>
    <w:rPr>
      <w:rFonts w:ascii="Calibri" w:eastAsia="Calibri" w:hAnsi="Calibri" w:cs="Times New Roman"/>
      <w:lang w:val="de-DE"/>
    </w:rPr>
  </w:style>
  <w:style w:type="paragraph" w:styleId="Revision">
    <w:name w:val="Revision"/>
    <w:hidden/>
    <w:uiPriority w:val="99"/>
    <w:semiHidden/>
    <w:rsid w:val="00E97C42"/>
    <w:pPr>
      <w:spacing w:after="0" w:line="240" w:lineRule="auto"/>
    </w:pPr>
    <w:rPr>
      <w:rFonts w:ascii="Calibri" w:eastAsia="Calibri" w:hAnsi="Calibri" w:cs="Times New Roman"/>
      <w:lang w:val="de-DE"/>
    </w:rPr>
  </w:style>
  <w:style w:type="character" w:customStyle="1" w:styleId="cf01">
    <w:name w:val="cf01"/>
    <w:basedOn w:val="DefaultParagraphFont"/>
    <w:rsid w:val="00666365"/>
    <w:rPr>
      <w:rFonts w:ascii="Segoe UI" w:hAnsi="Segoe UI" w:cs="Segoe UI" w:hint="default"/>
      <w:sz w:val="18"/>
      <w:szCs w:val="18"/>
    </w:rPr>
  </w:style>
  <w:style w:type="paragraph" w:styleId="TOCHeading">
    <w:name w:val="TOC Heading"/>
    <w:basedOn w:val="Heading1"/>
    <w:next w:val="Normal"/>
    <w:uiPriority w:val="39"/>
    <w:unhideWhenUsed/>
    <w:qFormat/>
    <w:rsid w:val="004F4677"/>
    <w:pPr>
      <w:spacing w:line="259" w:lineRule="auto"/>
      <w:outlineLvl w:val="9"/>
    </w:pPr>
    <w:rPr>
      <w:lang w:val="en-US"/>
    </w:rPr>
  </w:style>
  <w:style w:type="paragraph" w:styleId="TOC1">
    <w:name w:val="toc 1"/>
    <w:basedOn w:val="Normal"/>
    <w:next w:val="Normal"/>
    <w:autoRedefine/>
    <w:uiPriority w:val="39"/>
    <w:unhideWhenUsed/>
    <w:rsid w:val="004F4677"/>
    <w:pPr>
      <w:spacing w:after="100"/>
    </w:pPr>
  </w:style>
  <w:style w:type="paragraph" w:styleId="TOC2">
    <w:name w:val="toc 2"/>
    <w:basedOn w:val="Normal"/>
    <w:next w:val="Normal"/>
    <w:autoRedefine/>
    <w:uiPriority w:val="39"/>
    <w:unhideWhenUsed/>
    <w:rsid w:val="00576A97"/>
    <w:pPr>
      <w:tabs>
        <w:tab w:val="left" w:pos="880"/>
        <w:tab w:val="right" w:leader="dot" w:pos="9062"/>
      </w:tabs>
      <w:spacing w:after="100"/>
      <w:ind w:left="220"/>
    </w:pPr>
  </w:style>
  <w:style w:type="table" w:customStyle="1" w:styleId="Salience02">
    <w:name w:val="Salience 02"/>
    <w:basedOn w:val="TableNormal"/>
    <w:uiPriority w:val="99"/>
    <w:rsid w:val="001A5134"/>
    <w:pPr>
      <w:suppressAutoHyphens/>
      <w:spacing w:after="0" w:line="240" w:lineRule="auto"/>
      <w:contextualSpacing/>
      <w:jc w:val="center"/>
    </w:pPr>
    <w:rPr>
      <w:rFonts w:ascii="Segoe UI" w:hAnsi="Segoe UI" w:cs="Arial"/>
      <w:bCs/>
      <w:color w:val="262626"/>
      <w:sz w:val="20"/>
      <w:szCs w:val="20"/>
    </w:rPr>
    <w:tblPr>
      <w:tblStyleRowBandSize w:val="1"/>
      <w:tblStyleColBandSize w:val="1"/>
      <w:jc w:val="center"/>
      <w:tblBorders>
        <w:top w:val="single" w:sz="4" w:space="0" w:color="CBCBCB"/>
        <w:left w:val="single" w:sz="4" w:space="0" w:color="CBCBCB"/>
        <w:bottom w:val="single" w:sz="4" w:space="0" w:color="CBCBCB"/>
        <w:right w:val="single" w:sz="4" w:space="0" w:color="CBCBCB"/>
        <w:insideH w:val="single" w:sz="4" w:space="0" w:color="CBCBCB"/>
        <w:insideV w:val="single" w:sz="4" w:space="0" w:color="CBCBCB"/>
      </w:tblBorders>
      <w:tblCellMar>
        <w:top w:w="85" w:type="dxa"/>
        <w:left w:w="85" w:type="dxa"/>
        <w:bottom w:w="85" w:type="dxa"/>
        <w:right w:w="85" w:type="dxa"/>
      </w:tblCellMar>
    </w:tblPr>
    <w:trPr>
      <w:jc w:val="center"/>
    </w:trPr>
    <w:tcPr>
      <w:shd w:val="clear" w:color="auto" w:fill="F2F2F2"/>
      <w:vAlign w:val="center"/>
    </w:tcPr>
    <w:tblStylePr w:type="firstRow">
      <w:pPr>
        <w:wordWrap/>
        <w:spacing w:beforeLines="0" w:before="0" w:beforeAutospacing="0" w:afterLines="0" w:after="0" w:afterAutospacing="0" w:line="240" w:lineRule="auto"/>
        <w:contextualSpacing/>
        <w:jc w:val="center"/>
      </w:pPr>
      <w:rPr>
        <w:rFonts w:ascii="Cambria" w:hAnsi="Cambria"/>
        <w:b/>
        <w:bCs/>
        <w:i w:val="0"/>
        <w:color w:val="FFFFFF"/>
        <w:sz w:val="20"/>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l2br w:val="nil"/>
          <w:tr2bl w:val="nil"/>
        </w:tcBorders>
        <w:shd w:val="clear" w:color="auto" w:fill="47375B"/>
      </w:tcPr>
    </w:tblStylePr>
    <w:tblStylePr w:type="lastRow">
      <w:rPr>
        <w:b w:val="0"/>
        <w:bCs/>
        <w:color w:val="262626"/>
      </w:rPr>
      <w:tblPr/>
      <w:tcPr>
        <w:shd w:val="clear" w:color="auto" w:fill="F2F2F2"/>
      </w:tcPr>
    </w:tblStylePr>
    <w:tblStylePr w:type="firstCol">
      <w:pPr>
        <w:jc w:val="center"/>
      </w:pPr>
      <w:rPr>
        <w:rFonts w:ascii="Cambria" w:hAnsi="Cambria"/>
        <w:b w:val="0"/>
        <w:bCs/>
        <w:i/>
        <w:color w:val="FFFFFF"/>
        <w:u w:val="none"/>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9E89B8"/>
      </w:tcPr>
    </w:tblStylePr>
    <w:tblStylePr w:type="lastCol">
      <w:rPr>
        <w:b w:val="0"/>
        <w:bCs/>
      </w:rPr>
      <w:tblPr/>
      <w:tcPr>
        <w:shd w:val="clear" w:color="auto" w:fill="F2F2F2"/>
      </w:tcPr>
    </w:tblStylePr>
    <w:tblStylePr w:type="band1Vert">
      <w:tblPr/>
      <w:tcPr>
        <w:shd w:val="clear" w:color="auto" w:fill="F2F2F2"/>
      </w:tcPr>
    </w:tblStylePr>
    <w:tblStylePr w:type="band2Vert">
      <w:tblPr/>
      <w:tcPr>
        <w:shd w:val="clear" w:color="auto" w:fill="F2F2F2"/>
      </w:tcPr>
    </w:tblStylePr>
    <w:tblStylePr w:type="band1Horz">
      <w:tblPr/>
      <w:tcPr>
        <w:shd w:val="clear" w:color="auto" w:fill="F2F2F2"/>
      </w:tcPr>
    </w:tblStylePr>
    <w:tblStylePr w:type="band2Horz">
      <w:tblPr/>
      <w:tcPr>
        <w:shd w:val="clear" w:color="auto" w:fill="F2F2F2"/>
      </w:tcPr>
    </w:tblStylePr>
    <w:tblStylePr w:type="neCell">
      <w:tblPr/>
      <w:tcPr>
        <w:tcBorders>
          <w:top w:val="single" w:sz="4" w:space="0" w:color="CBCBCB"/>
          <w:left w:val="single" w:sz="4" w:space="0" w:color="CBCBCB"/>
          <w:bottom w:val="single" w:sz="4" w:space="0" w:color="CBCBCB"/>
          <w:right w:val="single" w:sz="4" w:space="0" w:color="CBCBCB"/>
          <w:insideH w:val="single" w:sz="4" w:space="0" w:color="CBCBCB"/>
          <w:insideV w:val="single" w:sz="4" w:space="0" w:color="CBCBCB"/>
        </w:tcBorders>
        <w:shd w:val="clear" w:color="auto" w:fill="47375B"/>
      </w:tcPr>
    </w:tblStylePr>
    <w:tblStylePr w:type="nwCell">
      <w:rPr>
        <w:rFonts w:ascii="Cambria" w:hAnsi="Cambria"/>
        <w:color w:val="FFFFFF"/>
        <w:sz w:val="20"/>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47375B"/>
      </w:tcPr>
    </w:tblStylePr>
    <w:tblStylePr w:type="seCell">
      <w:tblPr/>
      <w:tcPr>
        <w:shd w:val="clear" w:color="auto" w:fill="F2F2F2"/>
      </w:tcPr>
    </w:tblStylePr>
    <w:tblStylePr w:type="swCell">
      <w:rPr>
        <w:b w:val="0"/>
        <w:color w:val="FFFFFF"/>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9E89B8"/>
      </w:tcPr>
    </w:tblStylePr>
  </w:style>
  <w:style w:type="character" w:styleId="IntenseEmphasis">
    <w:name w:val="Intense Emphasis"/>
    <w:uiPriority w:val="21"/>
    <w:qFormat/>
    <w:rsid w:val="0002667C"/>
    <w:rPr>
      <w:rFonts w:ascii="Cambria" w:hAnsi="Cambria"/>
      <w:b/>
      <w:bCs/>
      <w:i/>
      <w:color w:val="4F81BD"/>
    </w:rPr>
  </w:style>
  <w:style w:type="character" w:customStyle="1" w:styleId="UnresolvedMention1">
    <w:name w:val="Unresolved Mention1"/>
    <w:basedOn w:val="DefaultParagraphFont"/>
    <w:uiPriority w:val="99"/>
    <w:semiHidden/>
    <w:unhideWhenUsed/>
    <w:rsid w:val="00E60A56"/>
    <w:rPr>
      <w:color w:val="605E5C"/>
      <w:shd w:val="clear" w:color="auto" w:fill="E1DFDD"/>
    </w:rPr>
  </w:style>
  <w:style w:type="character" w:styleId="FollowedHyperlink">
    <w:name w:val="FollowedHyperlink"/>
    <w:basedOn w:val="DefaultParagraphFont"/>
    <w:uiPriority w:val="99"/>
    <w:semiHidden/>
    <w:unhideWhenUsed/>
    <w:rsid w:val="000B2F9B"/>
    <w:rPr>
      <w:color w:val="954F72" w:themeColor="followedHyperlink"/>
      <w:u w:val="single"/>
    </w:rPr>
  </w:style>
  <w:style w:type="table" w:customStyle="1" w:styleId="TableGrid1">
    <w:name w:val="Table Grid1"/>
    <w:basedOn w:val="TableNormal"/>
    <w:next w:val="TableGrid"/>
    <w:uiPriority w:val="59"/>
    <w:rsid w:val="00D80F87"/>
    <w:pPr>
      <w:spacing w:after="0" w:line="240" w:lineRule="auto"/>
    </w:pPr>
    <w:rPr>
      <w:lang w:val="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95FA9"/>
    <w:pPr>
      <w:spacing w:line="240" w:lineRule="auto"/>
    </w:pPr>
    <w:rPr>
      <w:rFonts w:asciiTheme="minorHAnsi" w:eastAsiaTheme="minorHAnsi" w:hAnsiTheme="minorHAnsi" w:cstheme="minorBidi"/>
      <w:i/>
      <w:iCs/>
      <w:color w:val="44546A" w:themeColor="text2"/>
      <w:sz w:val="18"/>
      <w:szCs w:val="18"/>
      <w:lang w:val="sl-SI"/>
    </w:rPr>
  </w:style>
  <w:style w:type="character" w:customStyle="1" w:styleId="contentpasted6">
    <w:name w:val="contentpasted6"/>
    <w:basedOn w:val="DefaultParagraphFont"/>
    <w:rsid w:val="00595FA9"/>
  </w:style>
  <w:style w:type="character" w:customStyle="1" w:styleId="contentpasted1">
    <w:name w:val="contentpasted1"/>
    <w:basedOn w:val="DefaultParagraphFont"/>
    <w:rsid w:val="00595FA9"/>
  </w:style>
  <w:style w:type="character" w:customStyle="1" w:styleId="contentpasted2">
    <w:name w:val="contentpasted2"/>
    <w:basedOn w:val="DefaultParagraphFont"/>
    <w:rsid w:val="00595FA9"/>
  </w:style>
  <w:style w:type="character" w:customStyle="1" w:styleId="contentpasted3">
    <w:name w:val="contentpasted3"/>
    <w:basedOn w:val="DefaultParagraphFont"/>
    <w:rsid w:val="00595FA9"/>
  </w:style>
  <w:style w:type="character" w:customStyle="1" w:styleId="contentpasted4">
    <w:name w:val="contentpasted4"/>
    <w:basedOn w:val="DefaultParagraphFont"/>
    <w:rsid w:val="00595FA9"/>
  </w:style>
  <w:style w:type="character" w:customStyle="1" w:styleId="contentpasted5">
    <w:name w:val="contentpasted5"/>
    <w:basedOn w:val="DefaultParagraphFont"/>
    <w:rsid w:val="00595FA9"/>
  </w:style>
  <w:style w:type="character" w:customStyle="1" w:styleId="contentpasted0">
    <w:name w:val="contentpasted0"/>
    <w:basedOn w:val="DefaultParagraphFont"/>
    <w:rsid w:val="00595FA9"/>
  </w:style>
  <w:style w:type="character" w:customStyle="1" w:styleId="Heading7Char">
    <w:name w:val="Heading 7 Char"/>
    <w:basedOn w:val="DefaultParagraphFont"/>
    <w:link w:val="Heading7"/>
    <w:uiPriority w:val="9"/>
    <w:semiHidden/>
    <w:rsid w:val="008272A6"/>
    <w:rPr>
      <w:rFonts w:asciiTheme="majorHAnsi" w:eastAsiaTheme="majorEastAsia" w:hAnsiTheme="majorHAnsi" w:cstheme="majorBidi"/>
      <w:i/>
      <w:iCs/>
      <w:color w:val="1F4D78" w:themeColor="accent1" w:themeShade="7F"/>
      <w:lang w:val="de-DE"/>
    </w:rPr>
  </w:style>
  <w:style w:type="paragraph" w:styleId="BodyText">
    <w:name w:val="Body Text"/>
    <w:basedOn w:val="Normal"/>
    <w:link w:val="BodyTextChar"/>
    <w:uiPriority w:val="1"/>
    <w:qFormat/>
    <w:rsid w:val="008272A6"/>
    <w:pPr>
      <w:widowControl w:val="0"/>
      <w:autoSpaceDE w:val="0"/>
      <w:autoSpaceDN w:val="0"/>
      <w:spacing w:after="0" w:line="240" w:lineRule="auto"/>
    </w:pPr>
    <w:rPr>
      <w:rFonts w:ascii="Arial Unicode MS" w:eastAsia="Arial Unicode MS" w:hAnsi="Arial Unicode MS" w:cs="Arial Unicode MS"/>
      <w:sz w:val="20"/>
      <w:szCs w:val="20"/>
      <w:lang w:val="en-US" w:bidi="en-US"/>
    </w:rPr>
  </w:style>
  <w:style w:type="character" w:customStyle="1" w:styleId="BodyTextChar">
    <w:name w:val="Body Text Char"/>
    <w:basedOn w:val="DefaultParagraphFont"/>
    <w:link w:val="BodyText"/>
    <w:uiPriority w:val="1"/>
    <w:rsid w:val="008272A6"/>
    <w:rPr>
      <w:rFonts w:ascii="Arial Unicode MS" w:eastAsia="Arial Unicode MS" w:hAnsi="Arial Unicode MS" w:cs="Arial Unicode MS"/>
      <w:sz w:val="20"/>
      <w:szCs w:val="20"/>
      <w:lang w:val="en-US" w:bidi="en-US"/>
    </w:rPr>
  </w:style>
  <w:style w:type="paragraph" w:customStyle="1" w:styleId="Default">
    <w:name w:val="Default"/>
    <w:basedOn w:val="Normal"/>
    <w:rsid w:val="008272A6"/>
    <w:pPr>
      <w:spacing w:after="0" w:line="240" w:lineRule="auto"/>
    </w:pPr>
    <w:rPr>
      <w:rFonts w:ascii="Times New Roman" w:eastAsia="Times New Roman" w:hAnsi="Times New Roman"/>
      <w:sz w:val="24"/>
      <w:szCs w:val="20"/>
      <w:lang w:val="ru-RU" w:eastAsia="ru-RU"/>
    </w:rPr>
  </w:style>
  <w:style w:type="numbering" w:customStyle="1" w:styleId="NoList1">
    <w:name w:val="No List1"/>
    <w:next w:val="NoList"/>
    <w:uiPriority w:val="99"/>
    <w:semiHidden/>
    <w:unhideWhenUsed/>
    <w:rsid w:val="008272A6"/>
  </w:style>
  <w:style w:type="character" w:customStyle="1" w:styleId="UnresolvedMention12">
    <w:name w:val="Unresolved Mention12"/>
    <w:uiPriority w:val="99"/>
    <w:semiHidden/>
    <w:unhideWhenUsed/>
    <w:rsid w:val="008272A6"/>
    <w:rPr>
      <w:color w:val="605E5C"/>
      <w:shd w:val="clear" w:color="auto" w:fill="E1DFDD"/>
    </w:rPr>
  </w:style>
  <w:style w:type="paragraph" w:styleId="TOC3">
    <w:name w:val="toc 3"/>
    <w:basedOn w:val="Normal"/>
    <w:next w:val="Normal"/>
    <w:autoRedefine/>
    <w:uiPriority w:val="39"/>
    <w:unhideWhenUsed/>
    <w:rsid w:val="00AC43F1"/>
    <w:pPr>
      <w:tabs>
        <w:tab w:val="left" w:pos="1320"/>
        <w:tab w:val="right" w:leader="dot" w:pos="9062"/>
      </w:tabs>
      <w:spacing w:after="100"/>
      <w:ind w:left="440"/>
    </w:pPr>
  </w:style>
  <w:style w:type="paragraph" w:customStyle="1" w:styleId="TableParagraph">
    <w:name w:val="Table Paragraph"/>
    <w:basedOn w:val="Normal"/>
    <w:uiPriority w:val="1"/>
    <w:qFormat/>
    <w:rsid w:val="008272A6"/>
    <w:pPr>
      <w:widowControl w:val="0"/>
      <w:autoSpaceDE w:val="0"/>
      <w:autoSpaceDN w:val="0"/>
      <w:spacing w:after="0" w:line="240" w:lineRule="auto"/>
      <w:jc w:val="right"/>
    </w:pPr>
    <w:rPr>
      <w:rFonts w:ascii="Sylfaen" w:eastAsia="Sylfaen" w:hAnsi="Sylfaen" w:cs="Sylfaen"/>
      <w:lang w:val="uz-Cyrl-UZ"/>
    </w:rPr>
  </w:style>
  <w:style w:type="paragraph" w:customStyle="1" w:styleId="astandard3420chapeau">
    <w:name w:val="a_standard__34__20_chapeau"/>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at2">
    <w:name w:val="a__t2"/>
    <w:basedOn w:val="DefaultParagraphFont"/>
    <w:rsid w:val="008272A6"/>
  </w:style>
  <w:style w:type="paragraph" w:customStyle="1" w:styleId="a3520normal">
    <w:name w:val="a___35__20_normal"/>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at3">
    <w:name w:val="a__t3"/>
    <w:basedOn w:val="DefaultParagraphFont"/>
    <w:rsid w:val="008272A6"/>
  </w:style>
  <w:style w:type="character" w:customStyle="1" w:styleId="at4">
    <w:name w:val="a__t4"/>
    <w:basedOn w:val="DefaultParagraphFont"/>
    <w:rsid w:val="008272A6"/>
  </w:style>
  <w:style w:type="character" w:customStyle="1" w:styleId="at5">
    <w:name w:val="a__t5"/>
    <w:basedOn w:val="DefaultParagraphFont"/>
    <w:rsid w:val="008272A6"/>
  </w:style>
  <w:style w:type="paragraph" w:customStyle="1" w:styleId="trt0xe">
    <w:name w:val="trt0xe"/>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paragraph" w:styleId="TOC4">
    <w:name w:val="toc 4"/>
    <w:basedOn w:val="Normal"/>
    <w:next w:val="Normal"/>
    <w:autoRedefine/>
    <w:uiPriority w:val="39"/>
    <w:unhideWhenUsed/>
    <w:rsid w:val="008272A6"/>
    <w:pPr>
      <w:spacing w:after="100" w:line="259" w:lineRule="auto"/>
      <w:ind w:left="660"/>
    </w:pPr>
    <w:rPr>
      <w:rFonts w:asciiTheme="minorHAnsi" w:eastAsiaTheme="minorEastAsia" w:hAnsiTheme="minorHAnsi" w:cstheme="minorBidi"/>
      <w:lang w:val="hr-HR" w:eastAsia="hr-HR"/>
    </w:rPr>
  </w:style>
  <w:style w:type="paragraph" w:styleId="TOC5">
    <w:name w:val="toc 5"/>
    <w:basedOn w:val="Normal"/>
    <w:next w:val="Normal"/>
    <w:autoRedefine/>
    <w:uiPriority w:val="39"/>
    <w:unhideWhenUsed/>
    <w:rsid w:val="008272A6"/>
    <w:pPr>
      <w:spacing w:after="100" w:line="259" w:lineRule="auto"/>
      <w:ind w:left="880"/>
    </w:pPr>
    <w:rPr>
      <w:rFonts w:asciiTheme="minorHAnsi" w:eastAsiaTheme="minorEastAsia" w:hAnsiTheme="minorHAnsi" w:cstheme="minorBidi"/>
      <w:lang w:val="hr-HR" w:eastAsia="hr-HR"/>
    </w:rPr>
  </w:style>
  <w:style w:type="paragraph" w:styleId="TOC6">
    <w:name w:val="toc 6"/>
    <w:basedOn w:val="Normal"/>
    <w:next w:val="Normal"/>
    <w:autoRedefine/>
    <w:uiPriority w:val="39"/>
    <w:unhideWhenUsed/>
    <w:rsid w:val="008272A6"/>
    <w:pPr>
      <w:spacing w:after="100" w:line="259" w:lineRule="auto"/>
      <w:ind w:left="1100"/>
    </w:pPr>
    <w:rPr>
      <w:rFonts w:asciiTheme="minorHAnsi" w:eastAsiaTheme="minorEastAsia" w:hAnsiTheme="minorHAnsi" w:cstheme="minorBidi"/>
      <w:lang w:val="hr-HR" w:eastAsia="hr-HR"/>
    </w:rPr>
  </w:style>
  <w:style w:type="paragraph" w:styleId="TOC7">
    <w:name w:val="toc 7"/>
    <w:basedOn w:val="Normal"/>
    <w:next w:val="Normal"/>
    <w:autoRedefine/>
    <w:uiPriority w:val="39"/>
    <w:unhideWhenUsed/>
    <w:rsid w:val="008272A6"/>
    <w:pPr>
      <w:spacing w:after="100" w:line="259" w:lineRule="auto"/>
      <w:ind w:left="1320"/>
    </w:pPr>
    <w:rPr>
      <w:rFonts w:asciiTheme="minorHAnsi" w:eastAsiaTheme="minorEastAsia" w:hAnsiTheme="minorHAnsi" w:cstheme="minorBidi"/>
      <w:lang w:val="hr-HR" w:eastAsia="hr-HR"/>
    </w:rPr>
  </w:style>
  <w:style w:type="paragraph" w:styleId="TOC8">
    <w:name w:val="toc 8"/>
    <w:basedOn w:val="Normal"/>
    <w:next w:val="Normal"/>
    <w:autoRedefine/>
    <w:uiPriority w:val="39"/>
    <w:unhideWhenUsed/>
    <w:rsid w:val="008272A6"/>
    <w:pPr>
      <w:spacing w:after="100" w:line="259" w:lineRule="auto"/>
      <w:ind w:left="1540"/>
    </w:pPr>
    <w:rPr>
      <w:rFonts w:asciiTheme="minorHAnsi" w:eastAsiaTheme="minorEastAsia" w:hAnsiTheme="minorHAnsi" w:cstheme="minorBidi"/>
      <w:lang w:val="hr-HR" w:eastAsia="hr-HR"/>
    </w:rPr>
  </w:style>
  <w:style w:type="paragraph" w:styleId="TOC9">
    <w:name w:val="toc 9"/>
    <w:basedOn w:val="Normal"/>
    <w:next w:val="Normal"/>
    <w:autoRedefine/>
    <w:uiPriority w:val="39"/>
    <w:unhideWhenUsed/>
    <w:rsid w:val="008272A6"/>
    <w:pPr>
      <w:spacing w:after="100" w:line="259" w:lineRule="auto"/>
      <w:ind w:left="1760"/>
    </w:pPr>
    <w:rPr>
      <w:rFonts w:asciiTheme="minorHAnsi" w:eastAsiaTheme="minorEastAsia" w:hAnsiTheme="minorHAnsi" w:cstheme="minorBidi"/>
      <w:lang w:val="hr-HR" w:eastAsia="hr-HR"/>
    </w:rPr>
  </w:style>
  <w:style w:type="character" w:customStyle="1" w:styleId="UnresolvedMention2">
    <w:name w:val="Unresolved Mention2"/>
    <w:basedOn w:val="DefaultParagraphFont"/>
    <w:uiPriority w:val="99"/>
    <w:semiHidden/>
    <w:unhideWhenUsed/>
    <w:rsid w:val="008272A6"/>
    <w:rPr>
      <w:color w:val="605E5C"/>
      <w:shd w:val="clear" w:color="auto" w:fill="E1DFDD"/>
    </w:rPr>
  </w:style>
  <w:style w:type="character" w:customStyle="1" w:styleId="UnresolvedMention3">
    <w:name w:val="Unresolved Mention3"/>
    <w:basedOn w:val="DefaultParagraphFont"/>
    <w:uiPriority w:val="99"/>
    <w:semiHidden/>
    <w:unhideWhenUsed/>
    <w:rsid w:val="008272A6"/>
    <w:rPr>
      <w:color w:val="605E5C"/>
      <w:shd w:val="clear" w:color="auto" w:fill="E1DFDD"/>
    </w:rPr>
  </w:style>
  <w:style w:type="character" w:customStyle="1" w:styleId="UnresolvedMention4">
    <w:name w:val="Unresolved Mention4"/>
    <w:basedOn w:val="DefaultParagraphFont"/>
    <w:uiPriority w:val="99"/>
    <w:semiHidden/>
    <w:unhideWhenUsed/>
    <w:rsid w:val="008272A6"/>
    <w:rPr>
      <w:color w:val="605E5C"/>
      <w:shd w:val="clear" w:color="auto" w:fill="E1DFDD"/>
    </w:rPr>
  </w:style>
  <w:style w:type="character" w:customStyle="1" w:styleId="UnresolvedMention5">
    <w:name w:val="Unresolved Mention5"/>
    <w:basedOn w:val="DefaultParagraphFont"/>
    <w:uiPriority w:val="99"/>
    <w:semiHidden/>
    <w:unhideWhenUsed/>
    <w:rsid w:val="0011197D"/>
    <w:rPr>
      <w:color w:val="605E5C"/>
      <w:shd w:val="clear" w:color="auto" w:fill="E1DFDD"/>
    </w:rPr>
  </w:style>
  <w:style w:type="character" w:customStyle="1" w:styleId="UnresolvedMention51">
    <w:name w:val="Unresolved Mention51"/>
    <w:basedOn w:val="DefaultParagraphFont"/>
    <w:uiPriority w:val="99"/>
    <w:semiHidden/>
    <w:unhideWhenUsed/>
    <w:rsid w:val="007E7E6F"/>
    <w:rPr>
      <w:color w:val="605E5C"/>
      <w:shd w:val="clear" w:color="auto" w:fill="E1DFDD"/>
    </w:rPr>
  </w:style>
  <w:style w:type="character" w:customStyle="1" w:styleId="UnresolvedMention6">
    <w:name w:val="Unresolved Mention6"/>
    <w:basedOn w:val="DefaultParagraphFont"/>
    <w:uiPriority w:val="99"/>
    <w:semiHidden/>
    <w:unhideWhenUsed/>
    <w:rsid w:val="00A0244C"/>
    <w:rPr>
      <w:color w:val="605E5C"/>
      <w:shd w:val="clear" w:color="auto" w:fill="E1DFDD"/>
    </w:rPr>
  </w:style>
  <w:style w:type="paragraph" w:customStyle="1" w:styleId="pf0">
    <w:name w:val="pf0"/>
    <w:basedOn w:val="Normal"/>
    <w:rsid w:val="00A0244C"/>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cf11">
    <w:name w:val="cf11"/>
    <w:basedOn w:val="DefaultParagraphFont"/>
    <w:rsid w:val="00A0244C"/>
    <w:rPr>
      <w:rFonts w:ascii="Segoe UI" w:hAnsi="Segoe UI" w:cs="Segoe UI" w:hint="default"/>
      <w:i/>
      <w:iCs/>
      <w:sz w:val="18"/>
      <w:szCs w:val="18"/>
    </w:rPr>
  </w:style>
  <w:style w:type="paragraph" w:customStyle="1" w:styleId="Normalny1">
    <w:name w:val="Normalny1"/>
    <w:basedOn w:val="Normal"/>
    <w:rsid w:val="00D135AD"/>
    <w:pPr>
      <w:spacing w:before="100" w:beforeAutospacing="1" w:after="100" w:afterAutospacing="1" w:line="240" w:lineRule="auto"/>
    </w:pPr>
    <w:rPr>
      <w:rFonts w:ascii="Times New Roman" w:eastAsia="Times New Roman" w:hAnsi="Times New Roman"/>
      <w:sz w:val="24"/>
      <w:szCs w:val="24"/>
      <w:lang w:val="lt-LT" w:eastAsia="lt-LT"/>
    </w:rPr>
  </w:style>
  <w:style w:type="table" w:customStyle="1" w:styleId="Reetkatablice1">
    <w:name w:val="Rešetka tablice1"/>
    <w:basedOn w:val="TableNormal"/>
    <w:next w:val="TableGrid"/>
    <w:uiPriority w:val="39"/>
    <w:rsid w:val="004631A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7F01CB"/>
    <w:rPr>
      <w:color w:val="605E5C"/>
      <w:shd w:val="clear" w:color="auto" w:fill="E1DFDD"/>
    </w:rPr>
  </w:style>
  <w:style w:type="numbering" w:customStyle="1" w:styleId="Bezpopisa1">
    <w:name w:val="Bez popisa1"/>
    <w:next w:val="NoList"/>
    <w:uiPriority w:val="99"/>
    <w:semiHidden/>
    <w:unhideWhenUsed/>
    <w:rsid w:val="00CB4094"/>
  </w:style>
  <w:style w:type="table" w:customStyle="1" w:styleId="Reetkatablice2">
    <w:name w:val="Rešetka tablice2"/>
    <w:basedOn w:val="TableNormal"/>
    <w:next w:val="TableGrid"/>
    <w:uiPriority w:val="39"/>
    <w:rsid w:val="00CB4094"/>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table" w:customStyle="1" w:styleId="TableGrid11">
    <w:name w:val="Table Grid11"/>
    <w:basedOn w:val="TableNormal"/>
    <w:next w:val="TableGrid"/>
    <w:uiPriority w:val="59"/>
    <w:rsid w:val="00CB4094"/>
    <w:pPr>
      <w:spacing w:after="0" w:line="240" w:lineRule="auto"/>
    </w:pPr>
    <w:rPr>
      <w:rFonts w:ascii="Calibri" w:eastAsia="Times New Roman" w:hAnsi="Calibri" w:cs="Arial"/>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1">
    <w:name w:val="Unresolved Mention11"/>
    <w:uiPriority w:val="99"/>
    <w:semiHidden/>
    <w:unhideWhenUsed/>
    <w:rsid w:val="00CB4094"/>
    <w:rPr>
      <w:color w:val="605E5C"/>
      <w:shd w:val="clear" w:color="auto" w:fill="E1DFDD"/>
    </w:rPr>
  </w:style>
  <w:style w:type="table" w:customStyle="1" w:styleId="TableGrid2">
    <w:name w:val="Table Grid2"/>
    <w:basedOn w:val="TableNormal"/>
    <w:next w:val="TableGrid"/>
    <w:uiPriority w:val="39"/>
    <w:rsid w:val="00CB4094"/>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CB4094"/>
    <w:pPr>
      <w:spacing w:after="0"/>
    </w:pPr>
    <w:rPr>
      <w:rFonts w:eastAsia="Times New Roman"/>
    </w:rPr>
  </w:style>
  <w:style w:type="character" w:customStyle="1" w:styleId="q-box">
    <w:name w:val="q-box"/>
    <w:basedOn w:val="DefaultParagraphFont"/>
    <w:rsid w:val="00CB4094"/>
    <w:rPr>
      <w:rFonts w:cs="Times New Roman"/>
    </w:rPr>
  </w:style>
  <w:style w:type="numbering" w:customStyle="1" w:styleId="Bezpopisa2">
    <w:name w:val="Bez popisa2"/>
    <w:next w:val="NoList"/>
    <w:uiPriority w:val="99"/>
    <w:semiHidden/>
    <w:unhideWhenUsed/>
    <w:rsid w:val="009F5BF2"/>
  </w:style>
  <w:style w:type="table" w:customStyle="1" w:styleId="Reetkatablice3">
    <w:name w:val="Rešetka tablice3"/>
    <w:basedOn w:val="TableNormal"/>
    <w:next w:val="TableGrid"/>
    <w:uiPriority w:val="39"/>
    <w:rsid w:val="009F5BF2"/>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table" w:customStyle="1" w:styleId="TableGrid12">
    <w:name w:val="Table Grid12"/>
    <w:basedOn w:val="TableNormal"/>
    <w:next w:val="TableGrid"/>
    <w:uiPriority w:val="59"/>
    <w:rsid w:val="009F5BF2"/>
    <w:pPr>
      <w:spacing w:after="0" w:line="240" w:lineRule="auto"/>
    </w:pPr>
    <w:rPr>
      <w:rFonts w:ascii="Calibri" w:eastAsia="Times New Roman" w:hAnsi="Calibri" w:cs="Arial"/>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F5BF2"/>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8078C1"/>
    <w:rPr>
      <w:color w:val="605E5C"/>
      <w:shd w:val="clear" w:color="auto" w:fill="E1DFDD"/>
    </w:rPr>
  </w:style>
  <w:style w:type="table" w:customStyle="1" w:styleId="Reetkatablice4">
    <w:name w:val="Rešetka tablice4"/>
    <w:basedOn w:val="TableNormal"/>
    <w:next w:val="TableGrid"/>
    <w:uiPriority w:val="39"/>
    <w:rsid w:val="005114E3"/>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paragraph" w:customStyle="1" w:styleId="gmail-msocaption">
    <w:name w:val="gmail-msocaption"/>
    <w:basedOn w:val="Normal"/>
    <w:rsid w:val="00050815"/>
    <w:pPr>
      <w:spacing w:before="100" w:beforeAutospacing="1" w:after="100" w:afterAutospacing="1" w:line="240" w:lineRule="auto"/>
    </w:pPr>
    <w:rPr>
      <w:rFonts w:eastAsia="Times New Roman" w:cs="Calibri"/>
      <w:lang w:val="fr-FR" w:eastAsia="fr-FR"/>
    </w:rPr>
  </w:style>
  <w:style w:type="character" w:customStyle="1" w:styleId="UnresolvedMention8">
    <w:name w:val="Unresolved Mention8"/>
    <w:basedOn w:val="DefaultParagraphFont"/>
    <w:uiPriority w:val="99"/>
    <w:semiHidden/>
    <w:unhideWhenUsed/>
    <w:rsid w:val="00DE1202"/>
    <w:rPr>
      <w:color w:val="605E5C"/>
      <w:shd w:val="clear" w:color="auto" w:fill="E1DFDD"/>
    </w:rPr>
  </w:style>
  <w:style w:type="character" w:customStyle="1" w:styleId="UnresolvedMention9">
    <w:name w:val="Unresolved Mention9"/>
    <w:basedOn w:val="DefaultParagraphFont"/>
    <w:uiPriority w:val="99"/>
    <w:semiHidden/>
    <w:unhideWhenUsed/>
    <w:rsid w:val="00C812A3"/>
    <w:rPr>
      <w:color w:val="605E5C"/>
      <w:shd w:val="clear" w:color="auto" w:fill="E1DFDD"/>
    </w:rPr>
  </w:style>
  <w:style w:type="character" w:customStyle="1" w:styleId="UnresolvedMention10">
    <w:name w:val="Unresolved Mention10"/>
    <w:basedOn w:val="DefaultParagraphFont"/>
    <w:uiPriority w:val="99"/>
    <w:semiHidden/>
    <w:unhideWhenUsed/>
    <w:rsid w:val="000A6D08"/>
    <w:rPr>
      <w:color w:val="605E5C"/>
      <w:shd w:val="clear" w:color="auto" w:fill="E1DFDD"/>
    </w:rPr>
  </w:style>
  <w:style w:type="character" w:styleId="UnresolvedMention">
    <w:name w:val="Unresolved Mention"/>
    <w:basedOn w:val="DefaultParagraphFont"/>
    <w:uiPriority w:val="99"/>
    <w:semiHidden/>
    <w:unhideWhenUsed/>
    <w:rsid w:val="002167F6"/>
    <w:rPr>
      <w:color w:val="605E5C"/>
      <w:shd w:val="clear" w:color="auto" w:fill="E1DFDD"/>
    </w:rPr>
  </w:style>
  <w:style w:type="table" w:customStyle="1" w:styleId="Reetkatablice11">
    <w:name w:val="Rešetka tablice11"/>
    <w:basedOn w:val="TableNormal"/>
    <w:next w:val="TableGrid"/>
    <w:uiPriority w:val="39"/>
    <w:rsid w:val="002B126E"/>
    <w:pPr>
      <w:spacing w:after="0" w:line="240" w:lineRule="auto"/>
    </w:pPr>
    <w:rPr>
      <w:rFonts w:eastAsia="Times New Roman" w:cs="Times New Roma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33535">
      <w:bodyDiv w:val="1"/>
      <w:marLeft w:val="0"/>
      <w:marRight w:val="0"/>
      <w:marTop w:val="0"/>
      <w:marBottom w:val="0"/>
      <w:divBdr>
        <w:top w:val="none" w:sz="0" w:space="0" w:color="auto"/>
        <w:left w:val="none" w:sz="0" w:space="0" w:color="auto"/>
        <w:bottom w:val="none" w:sz="0" w:space="0" w:color="auto"/>
        <w:right w:val="none" w:sz="0" w:space="0" w:color="auto"/>
      </w:divBdr>
    </w:div>
    <w:div w:id="29185568">
      <w:bodyDiv w:val="1"/>
      <w:marLeft w:val="0"/>
      <w:marRight w:val="0"/>
      <w:marTop w:val="0"/>
      <w:marBottom w:val="0"/>
      <w:divBdr>
        <w:top w:val="none" w:sz="0" w:space="0" w:color="auto"/>
        <w:left w:val="none" w:sz="0" w:space="0" w:color="auto"/>
        <w:bottom w:val="none" w:sz="0" w:space="0" w:color="auto"/>
        <w:right w:val="none" w:sz="0" w:space="0" w:color="auto"/>
      </w:divBdr>
    </w:div>
    <w:div w:id="83110319">
      <w:bodyDiv w:val="1"/>
      <w:marLeft w:val="0"/>
      <w:marRight w:val="0"/>
      <w:marTop w:val="0"/>
      <w:marBottom w:val="0"/>
      <w:divBdr>
        <w:top w:val="none" w:sz="0" w:space="0" w:color="auto"/>
        <w:left w:val="none" w:sz="0" w:space="0" w:color="auto"/>
        <w:bottom w:val="none" w:sz="0" w:space="0" w:color="auto"/>
        <w:right w:val="none" w:sz="0" w:space="0" w:color="auto"/>
      </w:divBdr>
    </w:div>
    <w:div w:id="109663078">
      <w:bodyDiv w:val="1"/>
      <w:marLeft w:val="0"/>
      <w:marRight w:val="0"/>
      <w:marTop w:val="0"/>
      <w:marBottom w:val="0"/>
      <w:divBdr>
        <w:top w:val="none" w:sz="0" w:space="0" w:color="auto"/>
        <w:left w:val="none" w:sz="0" w:space="0" w:color="auto"/>
        <w:bottom w:val="none" w:sz="0" w:space="0" w:color="auto"/>
        <w:right w:val="none" w:sz="0" w:space="0" w:color="auto"/>
      </w:divBdr>
    </w:div>
    <w:div w:id="197205534">
      <w:bodyDiv w:val="1"/>
      <w:marLeft w:val="0"/>
      <w:marRight w:val="0"/>
      <w:marTop w:val="0"/>
      <w:marBottom w:val="0"/>
      <w:divBdr>
        <w:top w:val="none" w:sz="0" w:space="0" w:color="auto"/>
        <w:left w:val="none" w:sz="0" w:space="0" w:color="auto"/>
        <w:bottom w:val="none" w:sz="0" w:space="0" w:color="auto"/>
        <w:right w:val="none" w:sz="0" w:space="0" w:color="auto"/>
      </w:divBdr>
    </w:div>
    <w:div w:id="281346695">
      <w:bodyDiv w:val="1"/>
      <w:marLeft w:val="0"/>
      <w:marRight w:val="0"/>
      <w:marTop w:val="0"/>
      <w:marBottom w:val="0"/>
      <w:divBdr>
        <w:top w:val="none" w:sz="0" w:space="0" w:color="auto"/>
        <w:left w:val="none" w:sz="0" w:space="0" w:color="auto"/>
        <w:bottom w:val="none" w:sz="0" w:space="0" w:color="auto"/>
        <w:right w:val="none" w:sz="0" w:space="0" w:color="auto"/>
      </w:divBdr>
    </w:div>
    <w:div w:id="314339747">
      <w:bodyDiv w:val="1"/>
      <w:marLeft w:val="0"/>
      <w:marRight w:val="0"/>
      <w:marTop w:val="0"/>
      <w:marBottom w:val="0"/>
      <w:divBdr>
        <w:top w:val="none" w:sz="0" w:space="0" w:color="auto"/>
        <w:left w:val="none" w:sz="0" w:space="0" w:color="auto"/>
        <w:bottom w:val="none" w:sz="0" w:space="0" w:color="auto"/>
        <w:right w:val="none" w:sz="0" w:space="0" w:color="auto"/>
      </w:divBdr>
    </w:div>
    <w:div w:id="425418465">
      <w:bodyDiv w:val="1"/>
      <w:marLeft w:val="0"/>
      <w:marRight w:val="0"/>
      <w:marTop w:val="0"/>
      <w:marBottom w:val="0"/>
      <w:divBdr>
        <w:top w:val="none" w:sz="0" w:space="0" w:color="auto"/>
        <w:left w:val="none" w:sz="0" w:space="0" w:color="auto"/>
        <w:bottom w:val="none" w:sz="0" w:space="0" w:color="auto"/>
        <w:right w:val="none" w:sz="0" w:space="0" w:color="auto"/>
      </w:divBdr>
    </w:div>
    <w:div w:id="494416054">
      <w:bodyDiv w:val="1"/>
      <w:marLeft w:val="0"/>
      <w:marRight w:val="0"/>
      <w:marTop w:val="0"/>
      <w:marBottom w:val="0"/>
      <w:divBdr>
        <w:top w:val="none" w:sz="0" w:space="0" w:color="auto"/>
        <w:left w:val="none" w:sz="0" w:space="0" w:color="auto"/>
        <w:bottom w:val="none" w:sz="0" w:space="0" w:color="auto"/>
        <w:right w:val="none" w:sz="0" w:space="0" w:color="auto"/>
      </w:divBdr>
      <w:divsChild>
        <w:div w:id="884373980">
          <w:marLeft w:val="0"/>
          <w:marRight w:val="0"/>
          <w:marTop w:val="0"/>
          <w:marBottom w:val="0"/>
          <w:divBdr>
            <w:top w:val="none" w:sz="0" w:space="0" w:color="auto"/>
            <w:left w:val="none" w:sz="0" w:space="0" w:color="auto"/>
            <w:bottom w:val="none" w:sz="0" w:space="0" w:color="auto"/>
            <w:right w:val="none" w:sz="0" w:space="0" w:color="auto"/>
          </w:divBdr>
          <w:divsChild>
            <w:div w:id="2028826002">
              <w:marLeft w:val="0"/>
              <w:marRight w:val="0"/>
              <w:marTop w:val="0"/>
              <w:marBottom w:val="0"/>
              <w:divBdr>
                <w:top w:val="none" w:sz="0" w:space="0" w:color="auto"/>
                <w:left w:val="none" w:sz="0" w:space="0" w:color="auto"/>
                <w:bottom w:val="none" w:sz="0" w:space="0" w:color="auto"/>
                <w:right w:val="none" w:sz="0" w:space="0" w:color="auto"/>
              </w:divBdr>
            </w:div>
          </w:divsChild>
        </w:div>
        <w:div w:id="1470131834">
          <w:marLeft w:val="0"/>
          <w:marRight w:val="0"/>
          <w:marTop w:val="0"/>
          <w:marBottom w:val="0"/>
          <w:divBdr>
            <w:top w:val="none" w:sz="0" w:space="0" w:color="auto"/>
            <w:left w:val="none" w:sz="0" w:space="0" w:color="auto"/>
            <w:bottom w:val="none" w:sz="0" w:space="0" w:color="auto"/>
            <w:right w:val="none" w:sz="0" w:space="0" w:color="auto"/>
          </w:divBdr>
          <w:divsChild>
            <w:div w:id="599341262">
              <w:marLeft w:val="0"/>
              <w:marRight w:val="0"/>
              <w:marTop w:val="240"/>
              <w:marBottom w:val="0"/>
              <w:divBdr>
                <w:top w:val="none" w:sz="0" w:space="0" w:color="auto"/>
                <w:left w:val="none" w:sz="0" w:space="0" w:color="auto"/>
                <w:bottom w:val="none" w:sz="0" w:space="0" w:color="auto"/>
                <w:right w:val="none" w:sz="0" w:space="0" w:color="auto"/>
              </w:divBdr>
              <w:divsChild>
                <w:div w:id="1185558908">
                  <w:marLeft w:val="0"/>
                  <w:marRight w:val="0"/>
                  <w:marTop w:val="0"/>
                  <w:marBottom w:val="0"/>
                  <w:divBdr>
                    <w:top w:val="none" w:sz="0" w:space="0" w:color="auto"/>
                    <w:left w:val="none" w:sz="0" w:space="0" w:color="auto"/>
                    <w:bottom w:val="none" w:sz="0" w:space="0" w:color="auto"/>
                    <w:right w:val="none" w:sz="0" w:space="0" w:color="auto"/>
                  </w:divBdr>
                  <w:divsChild>
                    <w:div w:id="812717583">
                      <w:marLeft w:val="0"/>
                      <w:marRight w:val="60"/>
                      <w:marTop w:val="0"/>
                      <w:marBottom w:val="0"/>
                      <w:divBdr>
                        <w:top w:val="none" w:sz="0" w:space="0" w:color="auto"/>
                        <w:left w:val="none" w:sz="0" w:space="0" w:color="auto"/>
                        <w:bottom w:val="none" w:sz="0" w:space="0" w:color="auto"/>
                        <w:right w:val="none" w:sz="0" w:space="0" w:color="auto"/>
                      </w:divBdr>
                    </w:div>
                  </w:divsChild>
                </w:div>
                <w:div w:id="195875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83454">
      <w:bodyDiv w:val="1"/>
      <w:marLeft w:val="0"/>
      <w:marRight w:val="0"/>
      <w:marTop w:val="0"/>
      <w:marBottom w:val="0"/>
      <w:divBdr>
        <w:top w:val="none" w:sz="0" w:space="0" w:color="auto"/>
        <w:left w:val="none" w:sz="0" w:space="0" w:color="auto"/>
        <w:bottom w:val="none" w:sz="0" w:space="0" w:color="auto"/>
        <w:right w:val="none" w:sz="0" w:space="0" w:color="auto"/>
      </w:divBdr>
    </w:div>
    <w:div w:id="518811421">
      <w:bodyDiv w:val="1"/>
      <w:marLeft w:val="0"/>
      <w:marRight w:val="0"/>
      <w:marTop w:val="0"/>
      <w:marBottom w:val="0"/>
      <w:divBdr>
        <w:top w:val="none" w:sz="0" w:space="0" w:color="auto"/>
        <w:left w:val="none" w:sz="0" w:space="0" w:color="auto"/>
        <w:bottom w:val="none" w:sz="0" w:space="0" w:color="auto"/>
        <w:right w:val="none" w:sz="0" w:space="0" w:color="auto"/>
      </w:divBdr>
    </w:div>
    <w:div w:id="591015619">
      <w:bodyDiv w:val="1"/>
      <w:marLeft w:val="0"/>
      <w:marRight w:val="0"/>
      <w:marTop w:val="0"/>
      <w:marBottom w:val="0"/>
      <w:divBdr>
        <w:top w:val="none" w:sz="0" w:space="0" w:color="auto"/>
        <w:left w:val="none" w:sz="0" w:space="0" w:color="auto"/>
        <w:bottom w:val="none" w:sz="0" w:space="0" w:color="auto"/>
        <w:right w:val="none" w:sz="0" w:space="0" w:color="auto"/>
      </w:divBdr>
    </w:div>
    <w:div w:id="607397645">
      <w:bodyDiv w:val="1"/>
      <w:marLeft w:val="0"/>
      <w:marRight w:val="0"/>
      <w:marTop w:val="0"/>
      <w:marBottom w:val="0"/>
      <w:divBdr>
        <w:top w:val="none" w:sz="0" w:space="0" w:color="auto"/>
        <w:left w:val="none" w:sz="0" w:space="0" w:color="auto"/>
        <w:bottom w:val="none" w:sz="0" w:space="0" w:color="auto"/>
        <w:right w:val="none" w:sz="0" w:space="0" w:color="auto"/>
      </w:divBdr>
      <w:divsChild>
        <w:div w:id="138960310">
          <w:marLeft w:val="0"/>
          <w:marRight w:val="0"/>
          <w:marTop w:val="0"/>
          <w:marBottom w:val="0"/>
          <w:divBdr>
            <w:top w:val="none" w:sz="0" w:space="0" w:color="auto"/>
            <w:left w:val="none" w:sz="0" w:space="0" w:color="auto"/>
            <w:bottom w:val="none" w:sz="0" w:space="0" w:color="auto"/>
            <w:right w:val="none" w:sz="0" w:space="0" w:color="auto"/>
          </w:divBdr>
        </w:div>
        <w:div w:id="317348542">
          <w:marLeft w:val="0"/>
          <w:marRight w:val="0"/>
          <w:marTop w:val="0"/>
          <w:marBottom w:val="0"/>
          <w:divBdr>
            <w:top w:val="none" w:sz="0" w:space="0" w:color="auto"/>
            <w:left w:val="none" w:sz="0" w:space="0" w:color="auto"/>
            <w:bottom w:val="none" w:sz="0" w:space="0" w:color="auto"/>
            <w:right w:val="none" w:sz="0" w:space="0" w:color="auto"/>
          </w:divBdr>
        </w:div>
        <w:div w:id="1418942187">
          <w:marLeft w:val="0"/>
          <w:marRight w:val="0"/>
          <w:marTop w:val="0"/>
          <w:marBottom w:val="0"/>
          <w:divBdr>
            <w:top w:val="none" w:sz="0" w:space="0" w:color="auto"/>
            <w:left w:val="none" w:sz="0" w:space="0" w:color="auto"/>
            <w:bottom w:val="none" w:sz="0" w:space="0" w:color="auto"/>
            <w:right w:val="none" w:sz="0" w:space="0" w:color="auto"/>
          </w:divBdr>
        </w:div>
        <w:div w:id="1631587475">
          <w:marLeft w:val="0"/>
          <w:marRight w:val="0"/>
          <w:marTop w:val="0"/>
          <w:marBottom w:val="0"/>
          <w:divBdr>
            <w:top w:val="none" w:sz="0" w:space="0" w:color="auto"/>
            <w:left w:val="none" w:sz="0" w:space="0" w:color="auto"/>
            <w:bottom w:val="none" w:sz="0" w:space="0" w:color="auto"/>
            <w:right w:val="none" w:sz="0" w:space="0" w:color="auto"/>
          </w:divBdr>
        </w:div>
        <w:div w:id="1980842956">
          <w:marLeft w:val="0"/>
          <w:marRight w:val="0"/>
          <w:marTop w:val="0"/>
          <w:marBottom w:val="0"/>
          <w:divBdr>
            <w:top w:val="none" w:sz="0" w:space="0" w:color="auto"/>
            <w:left w:val="none" w:sz="0" w:space="0" w:color="auto"/>
            <w:bottom w:val="none" w:sz="0" w:space="0" w:color="auto"/>
            <w:right w:val="none" w:sz="0" w:space="0" w:color="auto"/>
          </w:divBdr>
        </w:div>
      </w:divsChild>
    </w:div>
    <w:div w:id="698042119">
      <w:bodyDiv w:val="1"/>
      <w:marLeft w:val="0"/>
      <w:marRight w:val="0"/>
      <w:marTop w:val="0"/>
      <w:marBottom w:val="0"/>
      <w:divBdr>
        <w:top w:val="none" w:sz="0" w:space="0" w:color="auto"/>
        <w:left w:val="none" w:sz="0" w:space="0" w:color="auto"/>
        <w:bottom w:val="none" w:sz="0" w:space="0" w:color="auto"/>
        <w:right w:val="none" w:sz="0" w:space="0" w:color="auto"/>
      </w:divBdr>
    </w:div>
    <w:div w:id="756367489">
      <w:bodyDiv w:val="1"/>
      <w:marLeft w:val="0"/>
      <w:marRight w:val="0"/>
      <w:marTop w:val="0"/>
      <w:marBottom w:val="0"/>
      <w:divBdr>
        <w:top w:val="none" w:sz="0" w:space="0" w:color="auto"/>
        <w:left w:val="none" w:sz="0" w:space="0" w:color="auto"/>
        <w:bottom w:val="none" w:sz="0" w:space="0" w:color="auto"/>
        <w:right w:val="none" w:sz="0" w:space="0" w:color="auto"/>
      </w:divBdr>
    </w:div>
    <w:div w:id="906651501">
      <w:bodyDiv w:val="1"/>
      <w:marLeft w:val="0"/>
      <w:marRight w:val="0"/>
      <w:marTop w:val="0"/>
      <w:marBottom w:val="0"/>
      <w:divBdr>
        <w:top w:val="none" w:sz="0" w:space="0" w:color="auto"/>
        <w:left w:val="none" w:sz="0" w:space="0" w:color="auto"/>
        <w:bottom w:val="none" w:sz="0" w:space="0" w:color="auto"/>
        <w:right w:val="none" w:sz="0" w:space="0" w:color="auto"/>
      </w:divBdr>
    </w:div>
    <w:div w:id="940457280">
      <w:bodyDiv w:val="1"/>
      <w:marLeft w:val="0"/>
      <w:marRight w:val="0"/>
      <w:marTop w:val="0"/>
      <w:marBottom w:val="0"/>
      <w:divBdr>
        <w:top w:val="none" w:sz="0" w:space="0" w:color="auto"/>
        <w:left w:val="none" w:sz="0" w:space="0" w:color="auto"/>
        <w:bottom w:val="none" w:sz="0" w:space="0" w:color="auto"/>
        <w:right w:val="none" w:sz="0" w:space="0" w:color="auto"/>
      </w:divBdr>
    </w:div>
    <w:div w:id="968586601">
      <w:bodyDiv w:val="1"/>
      <w:marLeft w:val="0"/>
      <w:marRight w:val="0"/>
      <w:marTop w:val="0"/>
      <w:marBottom w:val="0"/>
      <w:divBdr>
        <w:top w:val="none" w:sz="0" w:space="0" w:color="auto"/>
        <w:left w:val="none" w:sz="0" w:space="0" w:color="auto"/>
        <w:bottom w:val="none" w:sz="0" w:space="0" w:color="auto"/>
        <w:right w:val="none" w:sz="0" w:space="0" w:color="auto"/>
      </w:divBdr>
    </w:div>
    <w:div w:id="977297936">
      <w:bodyDiv w:val="1"/>
      <w:marLeft w:val="0"/>
      <w:marRight w:val="0"/>
      <w:marTop w:val="0"/>
      <w:marBottom w:val="0"/>
      <w:divBdr>
        <w:top w:val="none" w:sz="0" w:space="0" w:color="auto"/>
        <w:left w:val="none" w:sz="0" w:space="0" w:color="auto"/>
        <w:bottom w:val="none" w:sz="0" w:space="0" w:color="auto"/>
        <w:right w:val="none" w:sz="0" w:space="0" w:color="auto"/>
      </w:divBdr>
    </w:div>
    <w:div w:id="1020351454">
      <w:bodyDiv w:val="1"/>
      <w:marLeft w:val="0"/>
      <w:marRight w:val="0"/>
      <w:marTop w:val="0"/>
      <w:marBottom w:val="0"/>
      <w:divBdr>
        <w:top w:val="none" w:sz="0" w:space="0" w:color="auto"/>
        <w:left w:val="none" w:sz="0" w:space="0" w:color="auto"/>
        <w:bottom w:val="none" w:sz="0" w:space="0" w:color="auto"/>
        <w:right w:val="none" w:sz="0" w:space="0" w:color="auto"/>
      </w:divBdr>
    </w:div>
    <w:div w:id="1076824912">
      <w:bodyDiv w:val="1"/>
      <w:marLeft w:val="0"/>
      <w:marRight w:val="0"/>
      <w:marTop w:val="0"/>
      <w:marBottom w:val="0"/>
      <w:divBdr>
        <w:top w:val="none" w:sz="0" w:space="0" w:color="auto"/>
        <w:left w:val="none" w:sz="0" w:space="0" w:color="auto"/>
        <w:bottom w:val="none" w:sz="0" w:space="0" w:color="auto"/>
        <w:right w:val="none" w:sz="0" w:space="0" w:color="auto"/>
      </w:divBdr>
    </w:div>
    <w:div w:id="1206868223">
      <w:bodyDiv w:val="1"/>
      <w:marLeft w:val="0"/>
      <w:marRight w:val="0"/>
      <w:marTop w:val="0"/>
      <w:marBottom w:val="0"/>
      <w:divBdr>
        <w:top w:val="none" w:sz="0" w:space="0" w:color="auto"/>
        <w:left w:val="none" w:sz="0" w:space="0" w:color="auto"/>
        <w:bottom w:val="none" w:sz="0" w:space="0" w:color="auto"/>
        <w:right w:val="none" w:sz="0" w:space="0" w:color="auto"/>
      </w:divBdr>
    </w:div>
    <w:div w:id="1212307775">
      <w:bodyDiv w:val="1"/>
      <w:marLeft w:val="0"/>
      <w:marRight w:val="0"/>
      <w:marTop w:val="0"/>
      <w:marBottom w:val="0"/>
      <w:divBdr>
        <w:top w:val="none" w:sz="0" w:space="0" w:color="auto"/>
        <w:left w:val="none" w:sz="0" w:space="0" w:color="auto"/>
        <w:bottom w:val="none" w:sz="0" w:space="0" w:color="auto"/>
        <w:right w:val="none" w:sz="0" w:space="0" w:color="auto"/>
      </w:divBdr>
      <w:divsChild>
        <w:div w:id="422149908">
          <w:marLeft w:val="446"/>
          <w:marRight w:val="0"/>
          <w:marTop w:val="77"/>
          <w:marBottom w:val="120"/>
          <w:divBdr>
            <w:top w:val="none" w:sz="0" w:space="0" w:color="auto"/>
            <w:left w:val="none" w:sz="0" w:space="0" w:color="auto"/>
            <w:bottom w:val="none" w:sz="0" w:space="0" w:color="auto"/>
            <w:right w:val="none" w:sz="0" w:space="0" w:color="auto"/>
          </w:divBdr>
        </w:div>
        <w:div w:id="604267204">
          <w:marLeft w:val="1166"/>
          <w:marRight w:val="0"/>
          <w:marTop w:val="77"/>
          <w:marBottom w:val="120"/>
          <w:divBdr>
            <w:top w:val="none" w:sz="0" w:space="0" w:color="auto"/>
            <w:left w:val="none" w:sz="0" w:space="0" w:color="auto"/>
            <w:bottom w:val="none" w:sz="0" w:space="0" w:color="auto"/>
            <w:right w:val="none" w:sz="0" w:space="0" w:color="auto"/>
          </w:divBdr>
        </w:div>
        <w:div w:id="1014501670">
          <w:marLeft w:val="446"/>
          <w:marRight w:val="0"/>
          <w:marTop w:val="77"/>
          <w:marBottom w:val="120"/>
          <w:divBdr>
            <w:top w:val="none" w:sz="0" w:space="0" w:color="auto"/>
            <w:left w:val="none" w:sz="0" w:space="0" w:color="auto"/>
            <w:bottom w:val="none" w:sz="0" w:space="0" w:color="auto"/>
            <w:right w:val="none" w:sz="0" w:space="0" w:color="auto"/>
          </w:divBdr>
        </w:div>
        <w:div w:id="1137066250">
          <w:marLeft w:val="1166"/>
          <w:marRight w:val="0"/>
          <w:marTop w:val="77"/>
          <w:marBottom w:val="120"/>
          <w:divBdr>
            <w:top w:val="none" w:sz="0" w:space="0" w:color="auto"/>
            <w:left w:val="none" w:sz="0" w:space="0" w:color="auto"/>
            <w:bottom w:val="none" w:sz="0" w:space="0" w:color="auto"/>
            <w:right w:val="none" w:sz="0" w:space="0" w:color="auto"/>
          </w:divBdr>
        </w:div>
        <w:div w:id="1256866794">
          <w:marLeft w:val="1166"/>
          <w:marRight w:val="0"/>
          <w:marTop w:val="77"/>
          <w:marBottom w:val="120"/>
          <w:divBdr>
            <w:top w:val="none" w:sz="0" w:space="0" w:color="auto"/>
            <w:left w:val="none" w:sz="0" w:space="0" w:color="auto"/>
            <w:bottom w:val="none" w:sz="0" w:space="0" w:color="auto"/>
            <w:right w:val="none" w:sz="0" w:space="0" w:color="auto"/>
          </w:divBdr>
        </w:div>
        <w:div w:id="1264024319">
          <w:marLeft w:val="446"/>
          <w:marRight w:val="0"/>
          <w:marTop w:val="77"/>
          <w:marBottom w:val="120"/>
          <w:divBdr>
            <w:top w:val="none" w:sz="0" w:space="0" w:color="auto"/>
            <w:left w:val="none" w:sz="0" w:space="0" w:color="auto"/>
            <w:bottom w:val="none" w:sz="0" w:space="0" w:color="auto"/>
            <w:right w:val="none" w:sz="0" w:space="0" w:color="auto"/>
          </w:divBdr>
        </w:div>
        <w:div w:id="1501509774">
          <w:marLeft w:val="446"/>
          <w:marRight w:val="0"/>
          <w:marTop w:val="77"/>
          <w:marBottom w:val="120"/>
          <w:divBdr>
            <w:top w:val="none" w:sz="0" w:space="0" w:color="auto"/>
            <w:left w:val="none" w:sz="0" w:space="0" w:color="auto"/>
            <w:bottom w:val="none" w:sz="0" w:space="0" w:color="auto"/>
            <w:right w:val="none" w:sz="0" w:space="0" w:color="auto"/>
          </w:divBdr>
        </w:div>
      </w:divsChild>
    </w:div>
    <w:div w:id="1328511806">
      <w:bodyDiv w:val="1"/>
      <w:marLeft w:val="0"/>
      <w:marRight w:val="0"/>
      <w:marTop w:val="0"/>
      <w:marBottom w:val="0"/>
      <w:divBdr>
        <w:top w:val="none" w:sz="0" w:space="0" w:color="auto"/>
        <w:left w:val="none" w:sz="0" w:space="0" w:color="auto"/>
        <w:bottom w:val="none" w:sz="0" w:space="0" w:color="auto"/>
        <w:right w:val="none" w:sz="0" w:space="0" w:color="auto"/>
      </w:divBdr>
    </w:div>
    <w:div w:id="1330209386">
      <w:bodyDiv w:val="1"/>
      <w:marLeft w:val="0"/>
      <w:marRight w:val="0"/>
      <w:marTop w:val="0"/>
      <w:marBottom w:val="0"/>
      <w:divBdr>
        <w:top w:val="none" w:sz="0" w:space="0" w:color="auto"/>
        <w:left w:val="none" w:sz="0" w:space="0" w:color="auto"/>
        <w:bottom w:val="none" w:sz="0" w:space="0" w:color="auto"/>
        <w:right w:val="none" w:sz="0" w:space="0" w:color="auto"/>
      </w:divBdr>
    </w:div>
    <w:div w:id="1375737353">
      <w:bodyDiv w:val="1"/>
      <w:marLeft w:val="0"/>
      <w:marRight w:val="0"/>
      <w:marTop w:val="0"/>
      <w:marBottom w:val="0"/>
      <w:divBdr>
        <w:top w:val="none" w:sz="0" w:space="0" w:color="auto"/>
        <w:left w:val="none" w:sz="0" w:space="0" w:color="auto"/>
        <w:bottom w:val="none" w:sz="0" w:space="0" w:color="auto"/>
        <w:right w:val="none" w:sz="0" w:space="0" w:color="auto"/>
      </w:divBdr>
    </w:div>
    <w:div w:id="1386831257">
      <w:bodyDiv w:val="1"/>
      <w:marLeft w:val="0"/>
      <w:marRight w:val="0"/>
      <w:marTop w:val="0"/>
      <w:marBottom w:val="0"/>
      <w:divBdr>
        <w:top w:val="none" w:sz="0" w:space="0" w:color="auto"/>
        <w:left w:val="none" w:sz="0" w:space="0" w:color="auto"/>
        <w:bottom w:val="none" w:sz="0" w:space="0" w:color="auto"/>
        <w:right w:val="none" w:sz="0" w:space="0" w:color="auto"/>
      </w:divBdr>
    </w:div>
    <w:div w:id="1421945976">
      <w:bodyDiv w:val="1"/>
      <w:marLeft w:val="0"/>
      <w:marRight w:val="0"/>
      <w:marTop w:val="0"/>
      <w:marBottom w:val="0"/>
      <w:divBdr>
        <w:top w:val="none" w:sz="0" w:space="0" w:color="auto"/>
        <w:left w:val="none" w:sz="0" w:space="0" w:color="auto"/>
        <w:bottom w:val="none" w:sz="0" w:space="0" w:color="auto"/>
        <w:right w:val="none" w:sz="0" w:space="0" w:color="auto"/>
      </w:divBdr>
    </w:div>
    <w:div w:id="1532919206">
      <w:bodyDiv w:val="1"/>
      <w:marLeft w:val="0"/>
      <w:marRight w:val="0"/>
      <w:marTop w:val="0"/>
      <w:marBottom w:val="0"/>
      <w:divBdr>
        <w:top w:val="none" w:sz="0" w:space="0" w:color="auto"/>
        <w:left w:val="none" w:sz="0" w:space="0" w:color="auto"/>
        <w:bottom w:val="none" w:sz="0" w:space="0" w:color="auto"/>
        <w:right w:val="none" w:sz="0" w:space="0" w:color="auto"/>
      </w:divBdr>
      <w:divsChild>
        <w:div w:id="1253203884">
          <w:marLeft w:val="446"/>
          <w:marRight w:val="0"/>
          <w:marTop w:val="0"/>
          <w:marBottom w:val="0"/>
          <w:divBdr>
            <w:top w:val="none" w:sz="0" w:space="0" w:color="auto"/>
            <w:left w:val="none" w:sz="0" w:space="0" w:color="auto"/>
            <w:bottom w:val="none" w:sz="0" w:space="0" w:color="auto"/>
            <w:right w:val="none" w:sz="0" w:space="0" w:color="auto"/>
          </w:divBdr>
        </w:div>
      </w:divsChild>
    </w:div>
    <w:div w:id="1593661367">
      <w:bodyDiv w:val="1"/>
      <w:marLeft w:val="0"/>
      <w:marRight w:val="0"/>
      <w:marTop w:val="0"/>
      <w:marBottom w:val="0"/>
      <w:divBdr>
        <w:top w:val="none" w:sz="0" w:space="0" w:color="auto"/>
        <w:left w:val="none" w:sz="0" w:space="0" w:color="auto"/>
        <w:bottom w:val="none" w:sz="0" w:space="0" w:color="auto"/>
        <w:right w:val="none" w:sz="0" w:space="0" w:color="auto"/>
      </w:divBdr>
    </w:div>
    <w:div w:id="1669559864">
      <w:bodyDiv w:val="1"/>
      <w:marLeft w:val="0"/>
      <w:marRight w:val="0"/>
      <w:marTop w:val="0"/>
      <w:marBottom w:val="0"/>
      <w:divBdr>
        <w:top w:val="none" w:sz="0" w:space="0" w:color="auto"/>
        <w:left w:val="none" w:sz="0" w:space="0" w:color="auto"/>
        <w:bottom w:val="none" w:sz="0" w:space="0" w:color="auto"/>
        <w:right w:val="none" w:sz="0" w:space="0" w:color="auto"/>
      </w:divBdr>
    </w:div>
    <w:div w:id="1677536925">
      <w:bodyDiv w:val="1"/>
      <w:marLeft w:val="0"/>
      <w:marRight w:val="0"/>
      <w:marTop w:val="0"/>
      <w:marBottom w:val="0"/>
      <w:divBdr>
        <w:top w:val="none" w:sz="0" w:space="0" w:color="auto"/>
        <w:left w:val="none" w:sz="0" w:space="0" w:color="auto"/>
        <w:bottom w:val="none" w:sz="0" w:space="0" w:color="auto"/>
        <w:right w:val="none" w:sz="0" w:space="0" w:color="auto"/>
      </w:divBdr>
    </w:div>
    <w:div w:id="1743260794">
      <w:bodyDiv w:val="1"/>
      <w:marLeft w:val="0"/>
      <w:marRight w:val="0"/>
      <w:marTop w:val="0"/>
      <w:marBottom w:val="0"/>
      <w:divBdr>
        <w:top w:val="none" w:sz="0" w:space="0" w:color="auto"/>
        <w:left w:val="none" w:sz="0" w:space="0" w:color="auto"/>
        <w:bottom w:val="none" w:sz="0" w:space="0" w:color="auto"/>
        <w:right w:val="none" w:sz="0" w:space="0" w:color="auto"/>
      </w:divBdr>
      <w:divsChild>
        <w:div w:id="958530793">
          <w:marLeft w:val="0"/>
          <w:marRight w:val="0"/>
          <w:marTop w:val="0"/>
          <w:marBottom w:val="0"/>
          <w:divBdr>
            <w:top w:val="none" w:sz="0" w:space="0" w:color="auto"/>
            <w:left w:val="none" w:sz="0" w:space="0" w:color="auto"/>
            <w:bottom w:val="none" w:sz="0" w:space="0" w:color="auto"/>
            <w:right w:val="none" w:sz="0" w:space="0" w:color="auto"/>
          </w:divBdr>
        </w:div>
        <w:div w:id="1061945671">
          <w:marLeft w:val="0"/>
          <w:marRight w:val="0"/>
          <w:marTop w:val="0"/>
          <w:marBottom w:val="0"/>
          <w:divBdr>
            <w:top w:val="none" w:sz="0" w:space="0" w:color="auto"/>
            <w:left w:val="none" w:sz="0" w:space="0" w:color="auto"/>
            <w:bottom w:val="none" w:sz="0" w:space="0" w:color="auto"/>
            <w:right w:val="none" w:sz="0" w:space="0" w:color="auto"/>
          </w:divBdr>
        </w:div>
        <w:div w:id="2086411888">
          <w:marLeft w:val="0"/>
          <w:marRight w:val="0"/>
          <w:marTop w:val="0"/>
          <w:marBottom w:val="0"/>
          <w:divBdr>
            <w:top w:val="none" w:sz="0" w:space="0" w:color="auto"/>
            <w:left w:val="none" w:sz="0" w:space="0" w:color="auto"/>
            <w:bottom w:val="none" w:sz="0" w:space="0" w:color="auto"/>
            <w:right w:val="none" w:sz="0" w:space="0" w:color="auto"/>
          </w:divBdr>
        </w:div>
      </w:divsChild>
    </w:div>
    <w:div w:id="1764374344">
      <w:bodyDiv w:val="1"/>
      <w:marLeft w:val="0"/>
      <w:marRight w:val="0"/>
      <w:marTop w:val="0"/>
      <w:marBottom w:val="0"/>
      <w:divBdr>
        <w:top w:val="none" w:sz="0" w:space="0" w:color="auto"/>
        <w:left w:val="none" w:sz="0" w:space="0" w:color="auto"/>
        <w:bottom w:val="none" w:sz="0" w:space="0" w:color="auto"/>
        <w:right w:val="none" w:sz="0" w:space="0" w:color="auto"/>
      </w:divBdr>
    </w:div>
    <w:div w:id="1767921729">
      <w:bodyDiv w:val="1"/>
      <w:marLeft w:val="0"/>
      <w:marRight w:val="0"/>
      <w:marTop w:val="0"/>
      <w:marBottom w:val="0"/>
      <w:divBdr>
        <w:top w:val="none" w:sz="0" w:space="0" w:color="auto"/>
        <w:left w:val="none" w:sz="0" w:space="0" w:color="auto"/>
        <w:bottom w:val="none" w:sz="0" w:space="0" w:color="auto"/>
        <w:right w:val="none" w:sz="0" w:space="0" w:color="auto"/>
      </w:divBdr>
    </w:div>
    <w:div w:id="1848321722">
      <w:bodyDiv w:val="1"/>
      <w:marLeft w:val="0"/>
      <w:marRight w:val="0"/>
      <w:marTop w:val="0"/>
      <w:marBottom w:val="0"/>
      <w:divBdr>
        <w:top w:val="none" w:sz="0" w:space="0" w:color="auto"/>
        <w:left w:val="none" w:sz="0" w:space="0" w:color="auto"/>
        <w:bottom w:val="none" w:sz="0" w:space="0" w:color="auto"/>
        <w:right w:val="none" w:sz="0" w:space="0" w:color="auto"/>
      </w:divBdr>
    </w:div>
    <w:div w:id="1879858294">
      <w:bodyDiv w:val="1"/>
      <w:marLeft w:val="0"/>
      <w:marRight w:val="0"/>
      <w:marTop w:val="0"/>
      <w:marBottom w:val="0"/>
      <w:divBdr>
        <w:top w:val="none" w:sz="0" w:space="0" w:color="auto"/>
        <w:left w:val="none" w:sz="0" w:space="0" w:color="auto"/>
        <w:bottom w:val="none" w:sz="0" w:space="0" w:color="auto"/>
        <w:right w:val="none" w:sz="0" w:space="0" w:color="auto"/>
      </w:divBdr>
    </w:div>
    <w:div w:id="2029990145">
      <w:bodyDiv w:val="1"/>
      <w:marLeft w:val="0"/>
      <w:marRight w:val="0"/>
      <w:marTop w:val="0"/>
      <w:marBottom w:val="0"/>
      <w:divBdr>
        <w:top w:val="none" w:sz="0" w:space="0" w:color="auto"/>
        <w:left w:val="none" w:sz="0" w:space="0" w:color="auto"/>
        <w:bottom w:val="none" w:sz="0" w:space="0" w:color="auto"/>
        <w:right w:val="none" w:sz="0" w:space="0" w:color="auto"/>
      </w:divBdr>
    </w:div>
    <w:div w:id="2070615736">
      <w:bodyDiv w:val="1"/>
      <w:marLeft w:val="0"/>
      <w:marRight w:val="0"/>
      <w:marTop w:val="0"/>
      <w:marBottom w:val="0"/>
      <w:divBdr>
        <w:top w:val="none" w:sz="0" w:space="0" w:color="auto"/>
        <w:left w:val="none" w:sz="0" w:space="0" w:color="auto"/>
        <w:bottom w:val="none" w:sz="0" w:space="0" w:color="auto"/>
        <w:right w:val="none" w:sz="0" w:space="0" w:color="auto"/>
      </w:divBdr>
      <w:divsChild>
        <w:div w:id="9456793">
          <w:marLeft w:val="0"/>
          <w:marRight w:val="0"/>
          <w:marTop w:val="0"/>
          <w:marBottom w:val="0"/>
          <w:divBdr>
            <w:top w:val="none" w:sz="0" w:space="0" w:color="auto"/>
            <w:left w:val="none" w:sz="0" w:space="0" w:color="auto"/>
            <w:bottom w:val="none" w:sz="0" w:space="0" w:color="auto"/>
            <w:right w:val="none" w:sz="0" w:space="0" w:color="auto"/>
          </w:divBdr>
        </w:div>
        <w:div w:id="123694617">
          <w:marLeft w:val="0"/>
          <w:marRight w:val="0"/>
          <w:marTop w:val="0"/>
          <w:marBottom w:val="0"/>
          <w:divBdr>
            <w:top w:val="none" w:sz="0" w:space="0" w:color="auto"/>
            <w:left w:val="none" w:sz="0" w:space="0" w:color="auto"/>
            <w:bottom w:val="none" w:sz="0" w:space="0" w:color="auto"/>
            <w:right w:val="none" w:sz="0" w:space="0" w:color="auto"/>
          </w:divBdr>
        </w:div>
        <w:div w:id="248469026">
          <w:marLeft w:val="0"/>
          <w:marRight w:val="0"/>
          <w:marTop w:val="0"/>
          <w:marBottom w:val="0"/>
          <w:divBdr>
            <w:top w:val="none" w:sz="0" w:space="0" w:color="auto"/>
            <w:left w:val="none" w:sz="0" w:space="0" w:color="auto"/>
            <w:bottom w:val="none" w:sz="0" w:space="0" w:color="auto"/>
            <w:right w:val="none" w:sz="0" w:space="0" w:color="auto"/>
          </w:divBdr>
        </w:div>
        <w:div w:id="580985631">
          <w:marLeft w:val="0"/>
          <w:marRight w:val="0"/>
          <w:marTop w:val="0"/>
          <w:marBottom w:val="0"/>
          <w:divBdr>
            <w:top w:val="none" w:sz="0" w:space="0" w:color="auto"/>
            <w:left w:val="none" w:sz="0" w:space="0" w:color="auto"/>
            <w:bottom w:val="none" w:sz="0" w:space="0" w:color="auto"/>
            <w:right w:val="none" w:sz="0" w:space="0" w:color="auto"/>
          </w:divBdr>
        </w:div>
        <w:div w:id="1325889848">
          <w:marLeft w:val="0"/>
          <w:marRight w:val="0"/>
          <w:marTop w:val="0"/>
          <w:marBottom w:val="0"/>
          <w:divBdr>
            <w:top w:val="none" w:sz="0" w:space="0" w:color="auto"/>
            <w:left w:val="none" w:sz="0" w:space="0" w:color="auto"/>
            <w:bottom w:val="none" w:sz="0" w:space="0" w:color="auto"/>
            <w:right w:val="none" w:sz="0" w:space="0" w:color="auto"/>
          </w:divBdr>
        </w:div>
      </w:divsChild>
    </w:div>
    <w:div w:id="20710727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emf"/><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image" Target="media/image30.jpeg"/><Relationship Id="rId47" Type="http://schemas.openxmlformats.org/officeDocument/2006/relationships/chart" Target="charts/chart2.xml"/><Relationship Id="rId50" Type="http://schemas.openxmlformats.org/officeDocument/2006/relationships/image" Target="media/image40.emf"/><Relationship Id="rId55" Type="http://schemas.openxmlformats.org/officeDocument/2006/relationships/image" Target="media/image4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image" Target="media/image33.png"/><Relationship Id="rId53" Type="http://schemas.openxmlformats.org/officeDocument/2006/relationships/image" Target="media/image42.png"/><Relationship Id="rId58" Type="http://schemas.openxmlformats.org/officeDocument/2006/relationships/hyperlink" Target="https://old.infocenter.gov.ge/eng-euinfo-the-association-agreement/"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yperlink" Target="https://demotrends.org/2020/01/20/population-change-in-georgia-from-1990-to-2018/"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31.png"/><Relationship Id="rId48" Type="http://schemas.openxmlformats.org/officeDocument/2006/relationships/chart" Target="charts/chart3.xml"/><Relationship Id="rId56" Type="http://schemas.openxmlformats.org/officeDocument/2006/relationships/image" Target="media/image45.png"/><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demotrends.org/2020/01/20/population-change-in-georgia-from-1990-to-2018/"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chart" Target="charts/chart1.xml"/><Relationship Id="rId59" Type="http://schemas.openxmlformats.org/officeDocument/2006/relationships/hyperlink" Target="https://eur-lex.europa.eu/legal-content/EN/TXT/?uri=CELEX%3A32018L1972"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9.emf"/><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3" Type="http://schemas.openxmlformats.org/officeDocument/2006/relationships/hyperlink" Target="https://law-store.wolterskluwer.com/s/product/margin-squeeze-in-eu-competition-law-analysis-decisional-practic/01t0f00000J3jECAAZ" TargetMode="External"/><Relationship Id="rId18" Type="http://schemas.openxmlformats.org/officeDocument/2006/relationships/hyperlink" Target="https://comcom.ge/en/the-commission/annual-report" TargetMode="External"/><Relationship Id="rId26" Type="http://schemas.openxmlformats.org/officeDocument/2006/relationships/hyperlink" Target="https://digital-strategy.ec.europa.eu/en/news/recommendation-relevant-markets" TargetMode="External"/><Relationship Id="rId39" Type="http://schemas.openxmlformats.org/officeDocument/2006/relationships/hyperlink" Target="https://www.techtarget.com/searchnetworking/definition/ADSL" TargetMode="External"/><Relationship Id="rId21" Type="http://schemas.openxmlformats.org/officeDocument/2006/relationships/hyperlink" Target="https://www.rfwireless-world.com/Terminology/PDH-vs-SDH.html" TargetMode="External"/><Relationship Id="rId34" Type="http://schemas.openxmlformats.org/officeDocument/2006/relationships/hyperlink" Target="https://www.comcom.ge/en/yvela-siaxle/comcom-announces-auction-for-the-implementation-of-5g-technology.page" TargetMode="External"/><Relationship Id="rId42" Type="http://schemas.openxmlformats.org/officeDocument/2006/relationships/hyperlink" Target="https://www.uswitch.com/broadband/guides/what-is-a-mobile-dongle/" TargetMode="External"/><Relationship Id="rId47" Type="http://schemas.openxmlformats.org/officeDocument/2006/relationships/hyperlink" Target="https://www.lawinsider.com/dictionary/fiber-wholesale-bitstream-access-service" TargetMode="External"/><Relationship Id="rId50" Type="http://schemas.openxmlformats.org/officeDocument/2006/relationships/hyperlink" Target="https://www.cablelabs.com/technologies/docsis-4-0-technology" TargetMode="External"/><Relationship Id="rId55" Type="http://schemas.openxmlformats.org/officeDocument/2006/relationships/hyperlink" Target="https://www.berec.europa.eu/sites/default/files/files/doc/berec/bor_10_09.pdf" TargetMode="External"/><Relationship Id="rId7" Type="http://schemas.openxmlformats.org/officeDocument/2006/relationships/hyperlink" Target="https://uk.practicallaw.thomsonreuters.com/w-020-5855?transitionType=Default&amp;contextData=(sc.Default)&amp;firstPage=true" TargetMode="External"/><Relationship Id="rId2" Type="http://schemas.openxmlformats.org/officeDocument/2006/relationships/hyperlink" Target="https://www.berec.europa.eu/sites/default/files/files/documents/erg_08_21_erg_rep_3crit_test_final_080604.pdf" TargetMode="External"/><Relationship Id="rId16" Type="http://schemas.openxmlformats.org/officeDocument/2006/relationships/hyperlink" Target="https://www.techopedia.com/definition/2233/main-distribution-frame-mdf" TargetMode="External"/><Relationship Id="rId29" Type="http://schemas.openxmlformats.org/officeDocument/2006/relationships/hyperlink" Target="https://www.pts.se/globalassets/startpage/dokument/legala-dokument/eu-regler/explanatorynote-201410091.pdf" TargetMode="External"/><Relationship Id="rId11" Type="http://schemas.openxmlformats.org/officeDocument/2006/relationships/hyperlink" Target="https://eur-lex.europa.eu/legal-content/EN/TXT/?uri=CELEX%3A32014H0710" TargetMode="External"/><Relationship Id="rId24" Type="http://schemas.openxmlformats.org/officeDocument/2006/relationships/hyperlink" Target="https://everstream.net/knowledge-base/dark-fiber-vs-lit-fiber-which-is-better-for-your-business/" TargetMode="External"/><Relationship Id="rId32" Type="http://schemas.openxmlformats.org/officeDocument/2006/relationships/hyperlink" Target="https://bundunetworx.co.za/the-difference-between-adsl-fixed-lte-and-fibre/" TargetMode="External"/><Relationship Id="rId37" Type="http://schemas.openxmlformats.org/officeDocument/2006/relationships/hyperlink" Target="https://www.draytek.co.uk/support/guides/kb-what-is-vdsl-vectoring-sra-and-ginp" TargetMode="External"/><Relationship Id="rId40" Type="http://schemas.openxmlformats.org/officeDocument/2006/relationships/hyperlink" Target="https://www.airband.co.uk/what-is-the-difference-between-fttc-and-fttp/" TargetMode="External"/><Relationship Id="rId45" Type="http://schemas.openxmlformats.org/officeDocument/2006/relationships/hyperlink" Target="https://eur-lex.europa.eu/legal-content/EN/TXT/PDF/?uri=CELEX:32014H0710&amp;from=EN" TargetMode="External"/><Relationship Id="rId53" Type="http://schemas.openxmlformats.org/officeDocument/2006/relationships/hyperlink" Target="https://www.commsupdate.com/articles/2016/11/23/magticom-snaps-up-a-second-isp-deltacom/" TargetMode="External"/><Relationship Id="rId58" Type="http://schemas.openxmlformats.org/officeDocument/2006/relationships/hyperlink" Target="https://www.garlandtechnology.com/2014/02/14/split-ratios-and-loss-budget" TargetMode="External"/><Relationship Id="rId5" Type="http://schemas.openxmlformats.org/officeDocument/2006/relationships/hyperlink" Target="https://matsne.gov.ge/en/document/view/29620?publication=40" TargetMode="External"/><Relationship Id="rId19" Type="http://schemas.openxmlformats.org/officeDocument/2006/relationships/hyperlink" Target="https://www.itu.int/en/ITU-T/committees/scv/Documents/T17-SCV-LS-0015.pdf" TargetMode="External"/><Relationship Id="rId4" Type="http://schemas.openxmlformats.org/officeDocument/2006/relationships/hyperlink" Target="https://matsne.gov.ge/ka/document/view/90052?impose=translateEn&amp;publication=34" TargetMode="External"/><Relationship Id="rId9" Type="http://schemas.openxmlformats.org/officeDocument/2006/relationships/hyperlink" Target="https://eur-lex.europa.eu/legal-content/EN/TXT/?uri=CELEX%3A32003H0311" TargetMode="External"/><Relationship Id="rId14" Type="http://schemas.openxmlformats.org/officeDocument/2006/relationships/hyperlink" Target="http://www.geostat.ge" TargetMode="External"/><Relationship Id="rId22" Type="http://schemas.openxmlformats.org/officeDocument/2006/relationships/hyperlink" Target="https://www.versitron.com/blog/everything-you-should-know-about-ethernet-networks-and-media-converters" TargetMode="External"/><Relationship Id="rId27" Type="http://schemas.openxmlformats.org/officeDocument/2006/relationships/hyperlink" Target="https://www.carritech.com/news/ott-telecom-providers/" TargetMode="External"/><Relationship Id="rId30" Type="http://schemas.openxmlformats.org/officeDocument/2006/relationships/hyperlink" Target="https://digital-strategy.ec.europa.eu/en/policies/desi-connectivity" TargetMode="External"/><Relationship Id="rId35" Type="http://schemas.openxmlformats.org/officeDocument/2006/relationships/hyperlink" Target="https://ec.europa.eu/health/scientific_committees/opinions_layman/en/electromagnetic-fields/glossary/wxyz/wimax.htm" TargetMode="External"/><Relationship Id="rId43" Type="http://schemas.openxmlformats.org/officeDocument/2006/relationships/hyperlink" Target="https://comcom.ge/en/yvela-siaxle/5g-auction-concludes-the-new-technology-will-be-implemented-by-cellfie-mobile.page" TargetMode="External"/><Relationship Id="rId48" Type="http://schemas.openxmlformats.org/officeDocument/2006/relationships/hyperlink" Target="https://www.researchgate.net/figure/Overview-of-the-impact-of-fibre-unbundling-on-the-network-deployment-cost_fig1_283032020" TargetMode="External"/><Relationship Id="rId56" Type="http://schemas.openxmlformats.org/officeDocument/2006/relationships/hyperlink" Target="https://www.eib.org/attachments/efs/smes_and_private_sector_financing_in_georgia_en.pdf" TargetMode="External"/><Relationship Id="rId8" Type="http://schemas.openxmlformats.org/officeDocument/2006/relationships/hyperlink" Target="https://digital-strategy.ec.europa.eu/en/news/commission-updated-recommendation-relevant-markets" TargetMode="External"/><Relationship Id="rId51" Type="http://schemas.openxmlformats.org/officeDocument/2006/relationships/hyperlink" Target="https://opennet.ge/eng/static/9/oufen-neti" TargetMode="External"/><Relationship Id="rId3" Type="http://schemas.openxmlformats.org/officeDocument/2006/relationships/hyperlink" Target="https://ssrn.com/abstract=2999039" TargetMode="External"/><Relationship Id="rId12" Type="http://schemas.openxmlformats.org/officeDocument/2006/relationships/hyperlink" Target="https://matsne.gov.ge/en/document/view/1659450" TargetMode="External"/><Relationship Id="rId17" Type="http://schemas.openxmlformats.org/officeDocument/2006/relationships/hyperlink" Target="https://www.qsfptek.com/article/optical-distribution-frame-ODF-wiki" TargetMode="External"/><Relationship Id="rId25" Type="http://schemas.openxmlformats.org/officeDocument/2006/relationships/hyperlink" Target="https://digital-strategy.ec.europa.eu/en/news/recommendation-relevant-markets" TargetMode="External"/><Relationship Id="rId33" Type="http://schemas.openxmlformats.org/officeDocument/2006/relationships/hyperlink" Target="https://www.ppc-online.com/docsis-3.1-guide" TargetMode="External"/><Relationship Id="rId38" Type="http://schemas.openxmlformats.org/officeDocument/2006/relationships/hyperlink" Target="https://www.airband.co.uk/what-is-the-difference-between-fttc-and-fttp/" TargetMode="External"/><Relationship Id="rId46" Type="http://schemas.openxmlformats.org/officeDocument/2006/relationships/hyperlink" Target="https://eur-lex.europa.eu/legal-content/EN/TXT/?uri=CELEX%3A52018XC0507%2801%29" TargetMode="External"/><Relationship Id="rId59" Type="http://schemas.openxmlformats.org/officeDocument/2006/relationships/hyperlink" Target="https://www.berec.europa.eu/sites/default/files/files/documents/erg_0330rev1_remedies_common_position.pdf" TargetMode="External"/><Relationship Id="rId20" Type="http://schemas.openxmlformats.org/officeDocument/2006/relationships/hyperlink" Target="https://www.techtarget.com/searchnetworking/definition/SDH" TargetMode="External"/><Relationship Id="rId41" Type="http://schemas.openxmlformats.org/officeDocument/2006/relationships/hyperlink" Target="https://www.4gltemall.com/blog/what-is-gsm-edge-gprs-umts-3g-hsdpa-hsupa-lte/" TargetMode="External"/><Relationship Id="rId54" Type="http://schemas.openxmlformats.org/officeDocument/2006/relationships/hyperlink" Target="https://www.comcom.ge/uploads/other/1/1222.pdf" TargetMode="External"/><Relationship Id="rId1" Type="http://schemas.openxmlformats.org/officeDocument/2006/relationships/hyperlink" Target="https://eur-lex.europa.eu/legal-content/EN/TXT/?uri=uriserv%3AOJ.L_.2007.344.01.0065.01.ENG" TargetMode="External"/><Relationship Id="rId6" Type="http://schemas.openxmlformats.org/officeDocument/2006/relationships/hyperlink" Target="https://eur-lex.europa.eu/legal-content/EN/TXT/?uri=CELEX%3A52018XC0507%2801%29" TargetMode="External"/><Relationship Id="rId15" Type="http://schemas.openxmlformats.org/officeDocument/2006/relationships/hyperlink" Target="https://www.geostat.ge/ka" TargetMode="External"/><Relationship Id="rId23" Type="http://schemas.openxmlformats.org/officeDocument/2006/relationships/hyperlink" Target="https://www.techopedia.com/definition/3451/wavelength-division-multiplexing-wdm" TargetMode="External"/><Relationship Id="rId28" Type="http://schemas.openxmlformats.org/officeDocument/2006/relationships/hyperlink" Target="https://digital-strategy.ec.europa.eu/en/news/recommendation-relevant-markets" TargetMode="External"/><Relationship Id="rId36" Type="http://schemas.openxmlformats.org/officeDocument/2006/relationships/hyperlink" Target="https://www.increasebroadbandspeed.co.uk/2012/graph-ADSL-speed-versus-distance" TargetMode="External"/><Relationship Id="rId49" Type="http://schemas.openxmlformats.org/officeDocument/2006/relationships/hyperlink" Target="https://www.ofcom.org.uk/__data/assets/pdf_file/0022/76702/competition_and_investment_fixed.pdf" TargetMode="External"/><Relationship Id="rId57" Type="http://schemas.openxmlformats.org/officeDocument/2006/relationships/hyperlink" Target="https://en.wikipedia.org/wiki/GPON" TargetMode="External"/><Relationship Id="rId10" Type="http://schemas.openxmlformats.org/officeDocument/2006/relationships/hyperlink" Target="https://eur-lex.europa.eu/legal-content/EN/TXT/?uri=celex%3A32007H0879" TargetMode="External"/><Relationship Id="rId31" Type="http://schemas.openxmlformats.org/officeDocument/2006/relationships/hyperlink" Target="https://digital-decade-desi.digital-strategy.ec.europa.eu/datasets/desi/charts" TargetMode="External"/><Relationship Id="rId44" Type="http://schemas.openxmlformats.org/officeDocument/2006/relationships/hyperlink" Target="https://www.commsupdate.com/articles/2016/11/23/magticom-snaps-up-a-second-isp-deltacom/" TargetMode="External"/><Relationship Id="rId52" Type="http://schemas.openxmlformats.org/officeDocument/2006/relationships/hyperlink" Target="https://www.eib.org/attachments/efs/smes_and_private_sector_financing_in_georgia_en.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C:\Users\Peter%20Lundy\Downloads\Requested%20Fixed%20Broadband%20Charts%20(2023031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Peter%20Lundy\Downloads\Requested%20Fixed%20Broadband%20Charts%20(2023031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Peter%20Lundy\Desktop\Georgia%20DELIVERABLE%203%20April%202023\Requested%20Fixed%20Broadband%20Charts%20(202303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US" sz="1000" b="1"/>
              <a:t>Market shares on the retail higher-speed fixed broadband access market</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4009201868961799E-2"/>
          <c:y val="0.19238507196652199"/>
          <c:w val="0.54077228730648297"/>
          <c:h val="0.76546763916885896"/>
        </c:manualLayout>
      </c:layout>
      <c:pieChart>
        <c:varyColors val="1"/>
        <c:ser>
          <c:idx val="0"/>
          <c:order val="0"/>
          <c:tx>
            <c:strRef>
              <c:f>Charts!$E$906</c:f>
              <c:strCache>
                <c:ptCount val="1"/>
                <c:pt idx="0">
                  <c:v>Above 10Mbps</c:v>
                </c:pt>
              </c:strCache>
            </c:strRef>
          </c:tx>
          <c:dPt>
            <c:idx val="0"/>
            <c:bubble3D val="0"/>
            <c:spPr>
              <a:solidFill>
                <a:srgbClr val="FF5050"/>
              </a:solidFill>
              <a:ln w="19050">
                <a:solidFill>
                  <a:schemeClr val="lt1"/>
                </a:solidFill>
              </a:ln>
              <a:effectLst/>
            </c:spPr>
            <c:extLst>
              <c:ext xmlns:c16="http://schemas.microsoft.com/office/drawing/2014/chart" uri="{C3380CC4-5D6E-409C-BE32-E72D297353CC}">
                <c16:uniqueId val="{00000001-64C9-41C5-88F9-57A52C453CC7}"/>
              </c:ext>
            </c:extLst>
          </c:dPt>
          <c:dPt>
            <c:idx val="1"/>
            <c:bubble3D val="0"/>
            <c:spPr>
              <a:solidFill>
                <a:srgbClr val="3E89CE"/>
              </a:solidFill>
              <a:ln w="19050">
                <a:solidFill>
                  <a:schemeClr val="lt1"/>
                </a:solidFill>
              </a:ln>
              <a:effectLst/>
            </c:spPr>
            <c:extLst>
              <c:ext xmlns:c16="http://schemas.microsoft.com/office/drawing/2014/chart" uri="{C3380CC4-5D6E-409C-BE32-E72D297353CC}">
                <c16:uniqueId val="{00000003-64C9-41C5-88F9-57A52C453CC7}"/>
              </c:ext>
            </c:extLst>
          </c:dPt>
          <c:dPt>
            <c:idx val="2"/>
            <c:bubble3D val="0"/>
            <c:spPr>
              <a:solidFill>
                <a:srgbClr val="FA50D6"/>
              </a:solidFill>
              <a:ln w="19050">
                <a:solidFill>
                  <a:schemeClr val="lt1"/>
                </a:solidFill>
              </a:ln>
              <a:effectLst/>
            </c:spPr>
            <c:extLst>
              <c:ext xmlns:c16="http://schemas.microsoft.com/office/drawing/2014/chart" uri="{C3380CC4-5D6E-409C-BE32-E72D297353CC}">
                <c16:uniqueId val="{00000005-64C9-41C5-88F9-57A52C453CC7}"/>
              </c:ext>
            </c:extLst>
          </c:dPt>
          <c:dPt>
            <c:idx val="3"/>
            <c:bubble3D val="0"/>
            <c:spPr>
              <a:solidFill>
                <a:srgbClr val="3864B2"/>
              </a:solidFill>
              <a:ln w="19050">
                <a:solidFill>
                  <a:schemeClr val="lt1"/>
                </a:solidFill>
              </a:ln>
              <a:effectLst/>
            </c:spPr>
            <c:extLst>
              <c:ext xmlns:c16="http://schemas.microsoft.com/office/drawing/2014/chart" uri="{C3380CC4-5D6E-409C-BE32-E72D297353CC}">
                <c16:uniqueId val="{00000007-64C9-41C5-88F9-57A52C453CC7}"/>
              </c:ext>
            </c:extLst>
          </c:dPt>
          <c:dPt>
            <c:idx val="4"/>
            <c:bubble3D val="0"/>
            <c:spPr>
              <a:solidFill>
                <a:srgbClr val="8F45C7"/>
              </a:solidFill>
              <a:ln w="19050">
                <a:solidFill>
                  <a:schemeClr val="lt1"/>
                </a:solidFill>
              </a:ln>
              <a:effectLst/>
            </c:spPr>
            <c:extLst>
              <c:ext xmlns:c16="http://schemas.microsoft.com/office/drawing/2014/chart" uri="{C3380CC4-5D6E-409C-BE32-E72D297353CC}">
                <c16:uniqueId val="{00000009-64C9-41C5-88F9-57A52C453CC7}"/>
              </c:ext>
            </c:extLst>
          </c:dPt>
          <c:dPt>
            <c:idx val="5"/>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B-64C9-41C5-88F9-57A52C453CC7}"/>
              </c:ext>
            </c:extLst>
          </c:dPt>
          <c:dLbls>
            <c:dLbl>
              <c:idx val="0"/>
              <c:layout>
                <c:manualLayout>
                  <c:x val="-0.18409384453248101"/>
                  <c:y val="-1.7941676138207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C9-41C5-88F9-57A52C453CC7}"/>
                </c:ext>
              </c:extLst>
            </c:dLbl>
            <c:dLbl>
              <c:idx val="1"/>
              <c:layout>
                <c:manualLayout>
                  <c:x val="0.12951845763661499"/>
                  <c:y val="-3.65705575976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C9-41C5-88F9-57A52C453CC7}"/>
                </c:ext>
              </c:extLst>
            </c:dLbl>
            <c:dLbl>
              <c:idx val="2"/>
              <c:layout>
                <c:manualLayout>
                  <c:x val="5.8653425094046301E-2"/>
                  <c:y val="0.10114102912001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C9-41C5-88F9-57A52C453CC7}"/>
                </c:ext>
              </c:extLst>
            </c:dLbl>
            <c:dLbl>
              <c:idx val="3"/>
              <c:layout>
                <c:manualLayout>
                  <c:x val="-1.7252517147878701E-2"/>
                  <c:y val="-2.7949330694435098E-3"/>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lumMod val="50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4C9-41C5-88F9-57A52C453CC7}"/>
                </c:ext>
              </c:extLst>
            </c:dLbl>
            <c:dLbl>
              <c:idx val="4"/>
              <c:layout>
                <c:manualLayout>
                  <c:x val="0.12683230873170701"/>
                  <c:y val="-2.73118702073437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lumMod val="50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4C9-41C5-88F9-57A52C453CC7}"/>
                </c:ext>
              </c:extLst>
            </c:dLbl>
            <c:dLbl>
              <c:idx val="5"/>
              <c:layout>
                <c:manualLayout>
                  <c:x val="1.47105916654854E-2"/>
                  <c:y val="9.595526989227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4C9-41C5-88F9-57A52C453CC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Charts!$A$907:$A$912</c:f>
              <c:strCache>
                <c:ptCount val="6"/>
                <c:pt idx="0">
                  <c:v>Magticom</c:v>
                </c:pt>
                <c:pt idx="1">
                  <c:v>Silknet</c:v>
                </c:pt>
                <c:pt idx="2">
                  <c:v>New Net Group</c:v>
                </c:pt>
                <c:pt idx="3">
                  <c:v>Skytel</c:v>
                </c:pt>
                <c:pt idx="4">
                  <c:v>iLink</c:v>
                </c:pt>
                <c:pt idx="5">
                  <c:v>Other</c:v>
                </c:pt>
              </c:strCache>
            </c:strRef>
          </c:cat>
          <c:val>
            <c:numRef>
              <c:f>Charts!$E$907:$E$912</c:f>
              <c:numCache>
                <c:formatCode>0%</c:formatCode>
                <c:ptCount val="6"/>
                <c:pt idx="0">
                  <c:v>0.54649512193511596</c:v>
                </c:pt>
                <c:pt idx="1">
                  <c:v>0.31956441840657901</c:v>
                </c:pt>
                <c:pt idx="2">
                  <c:v>6.3334514427319799E-2</c:v>
                </c:pt>
                <c:pt idx="3">
                  <c:v>1.5945869215482199E-2</c:v>
                </c:pt>
                <c:pt idx="4">
                  <c:v>9.6769011028189997E-3</c:v>
                </c:pt>
                <c:pt idx="5">
                  <c:v>4.4983174912683402E-2</c:v>
                </c:pt>
              </c:numCache>
            </c:numRef>
          </c:val>
          <c:extLst>
            <c:ext xmlns:c16="http://schemas.microsoft.com/office/drawing/2014/chart" uri="{C3380CC4-5D6E-409C-BE32-E72D297353CC}">
              <c16:uniqueId val="{0000000C-64C9-41C5-88F9-57A52C453CC7}"/>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E-64C9-41C5-88F9-57A52C453CC7}"/>
              </c:ext>
            </c:extLst>
          </c:dPt>
          <c:cat>
            <c:strRef>
              <c:f>Charts!$A$906:$B$906</c:f>
              <c:strCache>
                <c:ptCount val="2"/>
                <c:pt idx="0">
                  <c:v>Company</c:v>
                </c:pt>
                <c:pt idx="1">
                  <c:v>Up to 10Mbps</c:v>
                </c:pt>
              </c:strCache>
            </c:strRef>
          </c:cat>
          <c:val>
            <c:numRef>
              <c:f>Charts!$C$906</c:f>
              <c:numCache>
                <c:formatCode>General</c:formatCode>
                <c:ptCount val="1"/>
                <c:pt idx="0">
                  <c:v>0</c:v>
                </c:pt>
              </c:numCache>
            </c:numRef>
          </c:val>
          <c:extLst>
            <c:ext xmlns:c16="http://schemas.microsoft.com/office/drawing/2014/chart" uri="{C3380CC4-5D6E-409C-BE32-E72D297353CC}">
              <c16:uniqueId val="{0000000F-64C9-41C5-88F9-57A52C453CC7}"/>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5"/>
        <c:delete val="1"/>
      </c:legendEntry>
      <c:layout>
        <c:manualLayout>
          <c:xMode val="edge"/>
          <c:yMode val="edge"/>
          <c:x val="0.54685755737294695"/>
          <c:y val="0.184124862852413"/>
          <c:w val="0.213464686539273"/>
          <c:h val="0.748439885061519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Technologies used for retail fixed broadband access</a:t>
            </a:r>
            <a:r>
              <a:rPr lang="en-GB" sz="1400" b="0" i="0" u="none" strike="noStrike" kern="1200" spc="0" baseline="0">
                <a:solidFill>
                  <a:sysClr val="windowText" lastClr="000000">
                    <a:lumMod val="65000"/>
                    <a:lumOff val="35000"/>
                  </a:sysClr>
                </a:solidFill>
                <a:latin typeface="+mn-lt"/>
                <a:ea typeface="+mn-ea"/>
                <a:cs typeface="+mn-cs"/>
              </a:rPr>
              <a:t> </a:t>
            </a:r>
            <a:r>
              <a:rPr lang="en-GB"/>
              <a:t>(subscriptions)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Charts!$I$616</c:f>
              <c:strCache>
                <c:ptCount val="1"/>
                <c:pt idx="0">
                  <c:v>Fibre</c:v>
                </c:pt>
              </c:strCache>
            </c:strRef>
          </c:tx>
          <c:spPr>
            <a:ln w="28575" cap="rnd">
              <a:solidFill>
                <a:schemeClr val="accent1"/>
              </a:solidFill>
              <a:round/>
            </a:ln>
            <a:effectLst/>
          </c:spPr>
          <c:marker>
            <c:symbol val="none"/>
          </c:marker>
          <c:cat>
            <c:numRef>
              <c:f>Charts!$J$615:$N$615</c:f>
              <c:numCache>
                <c:formatCode>General</c:formatCode>
                <c:ptCount val="5"/>
                <c:pt idx="0">
                  <c:v>2018</c:v>
                </c:pt>
                <c:pt idx="1">
                  <c:v>2019</c:v>
                </c:pt>
                <c:pt idx="2">
                  <c:v>2020</c:v>
                </c:pt>
                <c:pt idx="3">
                  <c:v>2021</c:v>
                </c:pt>
                <c:pt idx="4">
                  <c:v>2022</c:v>
                </c:pt>
              </c:numCache>
            </c:numRef>
          </c:cat>
          <c:val>
            <c:numRef>
              <c:f>Charts!$J$616:$N$616</c:f>
              <c:numCache>
                <c:formatCode>_(* #,##0_);_(* \(#,##0\);_(* "-"??_);_(@_)</c:formatCode>
                <c:ptCount val="5"/>
                <c:pt idx="0">
                  <c:v>652901</c:v>
                </c:pt>
                <c:pt idx="1">
                  <c:v>771430</c:v>
                </c:pt>
                <c:pt idx="2">
                  <c:v>831025</c:v>
                </c:pt>
                <c:pt idx="3">
                  <c:v>877708</c:v>
                </c:pt>
                <c:pt idx="4">
                  <c:v>952047</c:v>
                </c:pt>
              </c:numCache>
            </c:numRef>
          </c:val>
          <c:smooth val="0"/>
          <c:extLst>
            <c:ext xmlns:c16="http://schemas.microsoft.com/office/drawing/2014/chart" uri="{C3380CC4-5D6E-409C-BE32-E72D297353CC}">
              <c16:uniqueId val="{00000000-486E-4C9F-938B-7B6BC82553A7}"/>
            </c:ext>
          </c:extLst>
        </c:ser>
        <c:ser>
          <c:idx val="1"/>
          <c:order val="1"/>
          <c:tx>
            <c:strRef>
              <c:f>Charts!$I$617</c:f>
              <c:strCache>
                <c:ptCount val="1"/>
                <c:pt idx="0">
                  <c:v>FWA</c:v>
                </c:pt>
              </c:strCache>
            </c:strRef>
          </c:tx>
          <c:spPr>
            <a:ln w="28575" cap="rnd">
              <a:solidFill>
                <a:schemeClr val="accent2"/>
              </a:solidFill>
              <a:round/>
            </a:ln>
            <a:effectLst/>
          </c:spPr>
          <c:marker>
            <c:symbol val="none"/>
          </c:marker>
          <c:cat>
            <c:numRef>
              <c:f>Charts!$J$615:$N$615</c:f>
              <c:numCache>
                <c:formatCode>General</c:formatCode>
                <c:ptCount val="5"/>
                <c:pt idx="0">
                  <c:v>2018</c:v>
                </c:pt>
                <c:pt idx="1">
                  <c:v>2019</c:v>
                </c:pt>
                <c:pt idx="2">
                  <c:v>2020</c:v>
                </c:pt>
                <c:pt idx="3">
                  <c:v>2021</c:v>
                </c:pt>
                <c:pt idx="4">
                  <c:v>2022</c:v>
                </c:pt>
              </c:numCache>
            </c:numRef>
          </c:cat>
          <c:val>
            <c:numRef>
              <c:f>Charts!$J$617:$N$617</c:f>
              <c:numCache>
                <c:formatCode>_(* #,##0_);_(* \(#,##0\);_(* "-"??_);_(@_)</c:formatCode>
                <c:ptCount val="5"/>
                <c:pt idx="0">
                  <c:v>109298</c:v>
                </c:pt>
                <c:pt idx="1">
                  <c:v>103002</c:v>
                </c:pt>
                <c:pt idx="2">
                  <c:v>92581</c:v>
                </c:pt>
                <c:pt idx="3">
                  <c:v>100744</c:v>
                </c:pt>
                <c:pt idx="4">
                  <c:v>105520</c:v>
                </c:pt>
              </c:numCache>
            </c:numRef>
          </c:val>
          <c:smooth val="0"/>
          <c:extLst>
            <c:ext xmlns:c16="http://schemas.microsoft.com/office/drawing/2014/chart" uri="{C3380CC4-5D6E-409C-BE32-E72D297353CC}">
              <c16:uniqueId val="{00000001-486E-4C9F-938B-7B6BC82553A7}"/>
            </c:ext>
          </c:extLst>
        </c:ser>
        <c:ser>
          <c:idx val="2"/>
          <c:order val="2"/>
          <c:tx>
            <c:strRef>
              <c:f>Charts!$I$618</c:f>
              <c:strCache>
                <c:ptCount val="1"/>
                <c:pt idx="0">
                  <c:v>xDSL</c:v>
                </c:pt>
              </c:strCache>
            </c:strRef>
          </c:tx>
          <c:spPr>
            <a:ln w="28575" cap="rnd">
              <a:solidFill>
                <a:schemeClr val="accent3"/>
              </a:solidFill>
              <a:round/>
            </a:ln>
            <a:effectLst/>
          </c:spPr>
          <c:marker>
            <c:symbol val="none"/>
          </c:marker>
          <c:cat>
            <c:numRef>
              <c:f>Charts!$J$615:$N$615</c:f>
              <c:numCache>
                <c:formatCode>General</c:formatCode>
                <c:ptCount val="5"/>
                <c:pt idx="0">
                  <c:v>2018</c:v>
                </c:pt>
                <c:pt idx="1">
                  <c:v>2019</c:v>
                </c:pt>
                <c:pt idx="2">
                  <c:v>2020</c:v>
                </c:pt>
                <c:pt idx="3">
                  <c:v>2021</c:v>
                </c:pt>
                <c:pt idx="4">
                  <c:v>2022</c:v>
                </c:pt>
              </c:numCache>
            </c:numRef>
          </c:cat>
          <c:val>
            <c:numRef>
              <c:f>Charts!$J$618:$N$618</c:f>
              <c:numCache>
                <c:formatCode>_(* #,##0_);_(* \(#,##0\);_(* "-"??_);_(@_)</c:formatCode>
                <c:ptCount val="5"/>
                <c:pt idx="0">
                  <c:v>75085</c:v>
                </c:pt>
                <c:pt idx="1">
                  <c:v>45340</c:v>
                </c:pt>
                <c:pt idx="2">
                  <c:v>28807</c:v>
                </c:pt>
                <c:pt idx="3">
                  <c:v>21975</c:v>
                </c:pt>
                <c:pt idx="4">
                  <c:v>17603</c:v>
                </c:pt>
              </c:numCache>
            </c:numRef>
          </c:val>
          <c:smooth val="0"/>
          <c:extLst>
            <c:ext xmlns:c16="http://schemas.microsoft.com/office/drawing/2014/chart" uri="{C3380CC4-5D6E-409C-BE32-E72D297353CC}">
              <c16:uniqueId val="{00000002-486E-4C9F-938B-7B6BC82553A7}"/>
            </c:ext>
          </c:extLst>
        </c:ser>
        <c:ser>
          <c:idx val="3"/>
          <c:order val="3"/>
          <c:tx>
            <c:strRef>
              <c:f>Charts!$I$619</c:f>
              <c:strCache>
                <c:ptCount val="1"/>
                <c:pt idx="0">
                  <c:v>others</c:v>
                </c:pt>
              </c:strCache>
            </c:strRef>
          </c:tx>
          <c:spPr>
            <a:ln w="28575" cap="rnd">
              <a:solidFill>
                <a:schemeClr val="accent4"/>
              </a:solidFill>
              <a:round/>
            </a:ln>
            <a:effectLst/>
          </c:spPr>
          <c:marker>
            <c:symbol val="none"/>
          </c:marker>
          <c:cat>
            <c:numRef>
              <c:f>Charts!$J$615:$N$615</c:f>
              <c:numCache>
                <c:formatCode>General</c:formatCode>
                <c:ptCount val="5"/>
                <c:pt idx="0">
                  <c:v>2018</c:v>
                </c:pt>
                <c:pt idx="1">
                  <c:v>2019</c:v>
                </c:pt>
                <c:pt idx="2">
                  <c:v>2020</c:v>
                </c:pt>
                <c:pt idx="3">
                  <c:v>2021</c:v>
                </c:pt>
                <c:pt idx="4">
                  <c:v>2022</c:v>
                </c:pt>
              </c:numCache>
            </c:numRef>
          </c:cat>
          <c:val>
            <c:numRef>
              <c:f>Charts!$J$619:$N$619</c:f>
              <c:numCache>
                <c:formatCode>_(* #,##0_);_(* \(#,##0\);_(* "-"??_);_(@_)</c:formatCode>
                <c:ptCount val="5"/>
                <c:pt idx="0">
                  <c:v>32485</c:v>
                </c:pt>
                <c:pt idx="1">
                  <c:v>25384</c:v>
                </c:pt>
                <c:pt idx="2">
                  <c:v>17569</c:v>
                </c:pt>
                <c:pt idx="3">
                  <c:v>10020</c:v>
                </c:pt>
                <c:pt idx="4">
                  <c:v>5839</c:v>
                </c:pt>
              </c:numCache>
            </c:numRef>
          </c:val>
          <c:smooth val="0"/>
          <c:extLst>
            <c:ext xmlns:c16="http://schemas.microsoft.com/office/drawing/2014/chart" uri="{C3380CC4-5D6E-409C-BE32-E72D297353CC}">
              <c16:uniqueId val="{00000003-486E-4C9F-938B-7B6BC82553A7}"/>
            </c:ext>
          </c:extLst>
        </c:ser>
        <c:dLbls>
          <c:showLegendKey val="0"/>
          <c:showVal val="0"/>
          <c:showCatName val="0"/>
          <c:showSerName val="0"/>
          <c:showPercent val="0"/>
          <c:showBubbleSize val="0"/>
        </c:dLbls>
        <c:smooth val="0"/>
        <c:axId val="-453414944"/>
        <c:axId val="-453417120"/>
      </c:lineChart>
      <c:catAx>
        <c:axId val="-45341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17120"/>
        <c:crosses val="autoZero"/>
        <c:auto val="1"/>
        <c:lblAlgn val="ctr"/>
        <c:lblOffset val="100"/>
        <c:noMultiLvlLbl val="0"/>
      </c:catAx>
      <c:valAx>
        <c:axId val="-45341712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1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US" sz="1000" b="1"/>
              <a:t>Market shares (subscribers) retail higher-speed fixed broadband access market </a:t>
            </a:r>
          </a:p>
        </c:rich>
      </c:tx>
      <c:layout>
        <c:manualLayout>
          <c:xMode val="edge"/>
          <c:yMode val="edge"/>
          <c:x val="8.9120215905215197E-2"/>
          <c:y val="5.0044696676086404E-3"/>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7399595094767197E-2"/>
          <c:y val="0.16010119686035401"/>
          <c:w val="0.81161157449126897"/>
          <c:h val="0.67672221227580898"/>
        </c:manualLayout>
      </c:layout>
      <c:barChart>
        <c:barDir val="col"/>
        <c:grouping val="percentStacked"/>
        <c:varyColors val="0"/>
        <c:ser>
          <c:idx val="0"/>
          <c:order val="0"/>
          <c:tx>
            <c:strRef>
              <c:f>Charts!$A$950</c:f>
              <c:strCache>
                <c:ptCount val="1"/>
                <c:pt idx="0">
                  <c:v>Magticom</c:v>
                </c:pt>
              </c:strCache>
            </c:strRef>
          </c:tx>
          <c:spPr>
            <a:solidFill>
              <a:srgbClr val="FF5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Charts!$D$950:$H$950</c:f>
              <c:numCache>
                <c:formatCode>0.0%</c:formatCode>
                <c:ptCount val="5"/>
                <c:pt idx="0">
                  <c:v>0.58885436924541901</c:v>
                </c:pt>
                <c:pt idx="1">
                  <c:v>0.58431048360780602</c:v>
                </c:pt>
                <c:pt idx="2">
                  <c:v>0.57764239501205406</c:v>
                </c:pt>
                <c:pt idx="3">
                  <c:v>0.56677174997189494</c:v>
                </c:pt>
                <c:pt idx="4">
                  <c:v>0.54761655351576399</c:v>
                </c:pt>
              </c:numCache>
            </c:numRef>
          </c:val>
          <c:extLst>
            <c:ext xmlns:c16="http://schemas.microsoft.com/office/drawing/2014/chart" uri="{C3380CC4-5D6E-409C-BE32-E72D297353CC}">
              <c16:uniqueId val="{00000000-E781-4380-9F3E-564648ED9186}"/>
            </c:ext>
          </c:extLst>
        </c:ser>
        <c:ser>
          <c:idx val="1"/>
          <c:order val="1"/>
          <c:tx>
            <c:strRef>
              <c:f>Charts!$A$951</c:f>
              <c:strCache>
                <c:ptCount val="1"/>
                <c:pt idx="0">
                  <c:v>Silknet</c:v>
                </c:pt>
              </c:strCache>
            </c:strRef>
          </c:tx>
          <c:spPr>
            <a:solidFill>
              <a:srgbClr val="3E89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Charts!$D$951:$H$951</c:f>
              <c:numCache>
                <c:formatCode>0.0%</c:formatCode>
                <c:ptCount val="5"/>
                <c:pt idx="0">
                  <c:v>0.30236033666066803</c:v>
                </c:pt>
                <c:pt idx="1">
                  <c:v>0.30566493353927798</c:v>
                </c:pt>
                <c:pt idx="2">
                  <c:v>0.31352855225054899</c:v>
                </c:pt>
                <c:pt idx="3">
                  <c:v>0.31266429232612802</c:v>
                </c:pt>
                <c:pt idx="4">
                  <c:v>0.32022017838771799</c:v>
                </c:pt>
              </c:numCache>
            </c:numRef>
          </c:val>
          <c:extLst>
            <c:ext xmlns:c16="http://schemas.microsoft.com/office/drawing/2014/chart" uri="{C3380CC4-5D6E-409C-BE32-E72D297353CC}">
              <c16:uniqueId val="{00000001-E781-4380-9F3E-564648ED9186}"/>
            </c:ext>
          </c:extLst>
        </c:ser>
        <c:ser>
          <c:idx val="2"/>
          <c:order val="2"/>
          <c:tx>
            <c:strRef>
              <c:f>Charts!$A$952</c:f>
              <c:strCache>
                <c:ptCount val="1"/>
                <c:pt idx="0">
                  <c:v>New Net Group</c:v>
                </c:pt>
              </c:strCache>
            </c:strRef>
          </c:tx>
          <c:spPr>
            <a:solidFill>
              <a:srgbClr val="FA50D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Charts!$D$952:$H$952</c:f>
              <c:numCache>
                <c:formatCode>0.0%</c:formatCode>
                <c:ptCount val="5"/>
                <c:pt idx="0">
                  <c:v>9.36274944925478E-2</c:v>
                </c:pt>
                <c:pt idx="1">
                  <c:v>8.1376313442252005E-2</c:v>
                </c:pt>
                <c:pt idx="2">
                  <c:v>6.6394385656499105E-2</c:v>
                </c:pt>
                <c:pt idx="3">
                  <c:v>6.55973364013194E-2</c:v>
                </c:pt>
                <c:pt idx="4">
                  <c:v>6.3464479584872002E-2</c:v>
                </c:pt>
              </c:numCache>
            </c:numRef>
          </c:val>
          <c:extLst>
            <c:ext xmlns:c16="http://schemas.microsoft.com/office/drawing/2014/chart" uri="{C3380CC4-5D6E-409C-BE32-E72D297353CC}">
              <c16:uniqueId val="{00000002-E781-4380-9F3E-564648ED9186}"/>
            </c:ext>
          </c:extLst>
        </c:ser>
        <c:ser>
          <c:idx val="3"/>
          <c:order val="3"/>
          <c:tx>
            <c:strRef>
              <c:f>Charts!$A$953</c:f>
              <c:strCache>
                <c:ptCount val="1"/>
                <c:pt idx="0">
                  <c:v>Skytel</c:v>
                </c:pt>
              </c:strCache>
            </c:strRef>
          </c:tx>
          <c:spPr>
            <a:solidFill>
              <a:srgbClr val="3864B2"/>
            </a:solidFill>
            <a:ln>
              <a:noFill/>
            </a:ln>
            <a:effectLst/>
          </c:spPr>
          <c:invertIfNegative val="0"/>
          <c:cat>
            <c:numRef>
              <c:f>Charts!$D$949:$H$949</c:f>
              <c:numCache>
                <c:formatCode>General</c:formatCode>
                <c:ptCount val="5"/>
                <c:pt idx="0">
                  <c:v>2018</c:v>
                </c:pt>
                <c:pt idx="1">
                  <c:v>2019</c:v>
                </c:pt>
                <c:pt idx="2">
                  <c:v>2020</c:v>
                </c:pt>
                <c:pt idx="3">
                  <c:v>2021</c:v>
                </c:pt>
                <c:pt idx="4">
                  <c:v>2022</c:v>
                </c:pt>
              </c:numCache>
            </c:numRef>
          </c:cat>
          <c:val>
            <c:numRef>
              <c:f>Charts!$D$953:$H$953</c:f>
              <c:numCache>
                <c:formatCode>0.0%</c:formatCode>
                <c:ptCount val="5"/>
                <c:pt idx="0">
                  <c:v>0</c:v>
                </c:pt>
                <c:pt idx="1">
                  <c:v>3.7214197141427498E-3</c:v>
                </c:pt>
                <c:pt idx="2">
                  <c:v>6.8196542435298496E-3</c:v>
                </c:pt>
                <c:pt idx="3">
                  <c:v>1.36420932785752E-2</c:v>
                </c:pt>
                <c:pt idx="4">
                  <c:v>1.4870421358009299E-2</c:v>
                </c:pt>
              </c:numCache>
            </c:numRef>
          </c:val>
          <c:extLst>
            <c:ext xmlns:c16="http://schemas.microsoft.com/office/drawing/2014/chart" uri="{C3380CC4-5D6E-409C-BE32-E72D297353CC}">
              <c16:uniqueId val="{00000003-E781-4380-9F3E-564648ED9186}"/>
            </c:ext>
          </c:extLst>
        </c:ser>
        <c:ser>
          <c:idx val="4"/>
          <c:order val="4"/>
          <c:tx>
            <c:strRef>
              <c:f>Charts!$A$954</c:f>
              <c:strCache>
                <c:ptCount val="1"/>
                <c:pt idx="0">
                  <c:v>iLink</c:v>
                </c:pt>
              </c:strCache>
            </c:strRef>
          </c:tx>
          <c:spPr>
            <a:solidFill>
              <a:srgbClr val="8F45C7"/>
            </a:solidFill>
            <a:ln>
              <a:noFill/>
            </a:ln>
            <a:effectLst/>
          </c:spPr>
          <c:invertIfNegative val="0"/>
          <c:cat>
            <c:numRef>
              <c:f>Charts!$D$949:$H$949</c:f>
              <c:numCache>
                <c:formatCode>General</c:formatCode>
                <c:ptCount val="5"/>
                <c:pt idx="0">
                  <c:v>2018</c:v>
                </c:pt>
                <c:pt idx="1">
                  <c:v>2019</c:v>
                </c:pt>
                <c:pt idx="2">
                  <c:v>2020</c:v>
                </c:pt>
                <c:pt idx="3">
                  <c:v>2021</c:v>
                </c:pt>
                <c:pt idx="4">
                  <c:v>2022</c:v>
                </c:pt>
              </c:numCache>
            </c:numRef>
          </c:cat>
          <c:val>
            <c:numRef>
              <c:f>Charts!$D$954:$H$954</c:f>
              <c:numCache>
                <c:formatCode>0.0%</c:formatCode>
                <c:ptCount val="5"/>
                <c:pt idx="0">
                  <c:v>2.0787101667971201E-3</c:v>
                </c:pt>
                <c:pt idx="1">
                  <c:v>2.9600039158526798E-3</c:v>
                </c:pt>
                <c:pt idx="2">
                  <c:v>5.8851090323794701E-3</c:v>
                </c:pt>
                <c:pt idx="3">
                  <c:v>8.6693726813703506E-3</c:v>
                </c:pt>
                <c:pt idx="4">
                  <c:v>9.6967585216026896E-3</c:v>
                </c:pt>
              </c:numCache>
            </c:numRef>
          </c:val>
          <c:extLst>
            <c:ext xmlns:c16="http://schemas.microsoft.com/office/drawing/2014/chart" uri="{C3380CC4-5D6E-409C-BE32-E72D297353CC}">
              <c16:uniqueId val="{00000004-E781-4380-9F3E-564648ED9186}"/>
            </c:ext>
          </c:extLst>
        </c:ser>
        <c:ser>
          <c:idx val="5"/>
          <c:order val="5"/>
          <c:tx>
            <c:strRef>
              <c:f>Charts!$A$955</c:f>
              <c:strCache>
                <c:ptCount val="1"/>
                <c:pt idx="0">
                  <c:v>Other</c:v>
                </c:pt>
              </c:strCache>
            </c:strRef>
          </c:tx>
          <c:spPr>
            <a:solidFill>
              <a:schemeClr val="bg1">
                <a:lumMod val="75000"/>
              </a:schemeClr>
            </a:solidFill>
            <a:ln>
              <a:noFill/>
            </a:ln>
            <a:effectLst/>
          </c:spPr>
          <c:invertIfNegative val="0"/>
          <c:dLbls>
            <c:dLbl>
              <c:idx val="0"/>
              <c:layout>
                <c:manualLayout>
                  <c:x val="0"/>
                  <c:y val="-3.80481008577526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81-4380-9F3E-564648ED9186}"/>
                </c:ext>
              </c:extLst>
            </c:dLbl>
            <c:dLbl>
              <c:idx val="1"/>
              <c:layout>
                <c:manualLayout>
                  <c:x val="0"/>
                  <c:y val="-3.50407514803888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781-4380-9F3E-564648ED9186}"/>
                </c:ext>
              </c:extLst>
            </c:dLbl>
            <c:dLbl>
              <c:idx val="2"/>
              <c:layout>
                <c:manualLayout>
                  <c:x val="0"/>
                  <c:y val="-3.5955728604566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781-4380-9F3E-564648ED9186}"/>
                </c:ext>
              </c:extLst>
            </c:dLbl>
            <c:dLbl>
              <c:idx val="3"/>
              <c:layout>
                <c:manualLayout>
                  <c:x val="-9.9414052493305401E-17"/>
                  <c:y val="-3.14240680535499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781-4380-9F3E-564648ED9186}"/>
                </c:ext>
              </c:extLst>
            </c:dLbl>
            <c:dLbl>
              <c:idx val="4"/>
              <c:layout>
                <c:manualLayout>
                  <c:x val="-9.9414052493305401E-17"/>
                  <c:y val="-3.81660634677883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781-4380-9F3E-564648ED918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Charts!$D$955:$H$955</c:f>
              <c:numCache>
                <c:formatCode>0.0%</c:formatCode>
                <c:ptCount val="5"/>
                <c:pt idx="0">
                  <c:v>1.3079089434568199E-2</c:v>
                </c:pt>
                <c:pt idx="1">
                  <c:v>2.1966845780668699E-2</c:v>
                </c:pt>
                <c:pt idx="2">
                  <c:v>2.97299038049882E-2</c:v>
                </c:pt>
                <c:pt idx="3">
                  <c:v>3.2655155340711499E-2</c:v>
                </c:pt>
                <c:pt idx="4">
                  <c:v>4.4131608632033699E-2</c:v>
                </c:pt>
              </c:numCache>
            </c:numRef>
          </c:val>
          <c:extLst>
            <c:ext xmlns:c16="http://schemas.microsoft.com/office/drawing/2014/chart" uri="{C3380CC4-5D6E-409C-BE32-E72D297353CC}">
              <c16:uniqueId val="{0000000A-E781-4380-9F3E-564648ED9186}"/>
            </c:ext>
          </c:extLst>
        </c:ser>
        <c:dLbls>
          <c:showLegendKey val="0"/>
          <c:showVal val="0"/>
          <c:showCatName val="0"/>
          <c:showSerName val="0"/>
          <c:showPercent val="0"/>
          <c:showBubbleSize val="0"/>
        </c:dLbls>
        <c:gapWidth val="150"/>
        <c:overlap val="100"/>
        <c:axId val="-453408416"/>
        <c:axId val="-453416576"/>
      </c:barChart>
      <c:catAx>
        <c:axId val="-45340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16576"/>
        <c:crosses val="autoZero"/>
        <c:auto val="1"/>
        <c:lblAlgn val="ctr"/>
        <c:lblOffset val="100"/>
        <c:noMultiLvlLbl val="0"/>
      </c:catAx>
      <c:valAx>
        <c:axId val="-453416576"/>
        <c:scaling>
          <c:orientation val="minMax"/>
        </c:scaling>
        <c:delete val="1"/>
        <c:axPos val="l"/>
        <c:numFmt formatCode="0%" sourceLinked="1"/>
        <c:majorTickMark val="none"/>
        <c:minorTickMark val="none"/>
        <c:tickLblPos val="nextTo"/>
        <c:crossAx val="-453408416"/>
        <c:crosses val="autoZero"/>
        <c:crossBetween val="between"/>
      </c:valAx>
      <c:spPr>
        <a:noFill/>
        <a:ln>
          <a:noFill/>
        </a:ln>
        <a:effectLst/>
      </c:spPr>
    </c:plotArea>
    <c:legend>
      <c:legendPos val="b"/>
      <c:layout>
        <c:manualLayout>
          <c:xMode val="edge"/>
          <c:yMode val="edge"/>
          <c:x val="0.85273904534507405"/>
          <c:y val="4.6904438701284024E-2"/>
          <c:w val="0.12418694982279301"/>
          <c:h val="0.820303392078463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image" Target="../media/image34.png"/><Relationship Id="rId6" Type="http://schemas.openxmlformats.org/officeDocument/2006/relationships/image" Target="../media/image38.png"/><Relationship Id="rId5" Type="http://schemas.microsoft.com/office/2007/relationships/hdphoto" Target="../media/hdphoto1.wdp"/><Relationship Id="rId4" Type="http://schemas.openxmlformats.org/officeDocument/2006/relationships/image" Target="../media/image37.png"/></Relationships>
</file>

<file path=word/drawings/drawing1.xml><?xml version="1.0" encoding="utf-8"?>
<c:userShapes xmlns:c="http://schemas.openxmlformats.org/drawingml/2006/chart">
  <cdr:relSizeAnchor xmlns:cdr="http://schemas.openxmlformats.org/drawingml/2006/chartDrawing">
    <cdr:from>
      <cdr:x>0.76435</cdr:x>
      <cdr:y>0.20961</cdr:y>
    </cdr:from>
    <cdr:to>
      <cdr:x>0.98938</cdr:x>
      <cdr:y>0.30944</cdr:y>
    </cdr:to>
    <cdr:pic>
      <cdr:nvPicPr>
        <cdr:cNvPr id="3" name="Picture 2">
          <a:extLst xmlns:a="http://schemas.openxmlformats.org/drawingml/2006/main">
            <a:ext uri="{FF2B5EF4-FFF2-40B4-BE49-F238E27FC236}">
              <a16:creationId xmlns:a16="http://schemas.microsoft.com/office/drawing/2014/main" id="{6FD0AE04-A121-2814-F43E-44FD087A881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71491" y="750047"/>
          <a:ext cx="1139779" cy="357223"/>
        </a:xfrm>
        <a:prstGeom xmlns:a="http://schemas.openxmlformats.org/drawingml/2006/main" prst="rect">
          <a:avLst/>
        </a:prstGeom>
      </cdr:spPr>
    </cdr:pic>
  </cdr:relSizeAnchor>
  <cdr:relSizeAnchor xmlns:cdr="http://schemas.openxmlformats.org/drawingml/2006/chartDrawing">
    <cdr:from>
      <cdr:x>0.75339</cdr:x>
      <cdr:y>0.37747</cdr:y>
    </cdr:from>
    <cdr:to>
      <cdr:x>0.97842</cdr:x>
      <cdr:y>0.4496</cdr:y>
    </cdr:to>
    <cdr:pic>
      <cdr:nvPicPr>
        <cdr:cNvPr id="4" name="Picture 3">
          <a:extLst xmlns:a="http://schemas.openxmlformats.org/drawingml/2006/main">
            <a:ext uri="{FF2B5EF4-FFF2-40B4-BE49-F238E27FC236}">
              <a16:creationId xmlns:a16="http://schemas.microsoft.com/office/drawing/2014/main" id="{CF609D00-A2CF-6510-045A-DD13E5A7D1D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3815976" y="1350683"/>
          <a:ext cx="1139780" cy="258089"/>
        </a:xfrm>
        <a:prstGeom xmlns:a="http://schemas.openxmlformats.org/drawingml/2006/main" prst="rect">
          <a:avLst/>
        </a:prstGeom>
      </cdr:spPr>
    </cdr:pic>
  </cdr:relSizeAnchor>
  <cdr:relSizeAnchor xmlns:cdr="http://schemas.openxmlformats.org/drawingml/2006/chartDrawing">
    <cdr:from>
      <cdr:x>0.86667</cdr:x>
      <cdr:y>0.47267</cdr:y>
    </cdr:from>
    <cdr:to>
      <cdr:x>0.97499</cdr:x>
      <cdr:y>0.60546</cdr:y>
    </cdr:to>
    <cdr:pic>
      <cdr:nvPicPr>
        <cdr:cNvPr id="5" name="Picture 4">
          <a:extLst xmlns:a="http://schemas.openxmlformats.org/drawingml/2006/main">
            <a:ext uri="{FF2B5EF4-FFF2-40B4-BE49-F238E27FC236}">
              <a16:creationId xmlns:a16="http://schemas.microsoft.com/office/drawing/2014/main" id="{1B5D25DD-9C97-07C8-51AD-4D0FFDC1C6D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389718" y="1691341"/>
          <a:ext cx="548640" cy="475138"/>
        </a:xfrm>
        <a:prstGeom xmlns:a="http://schemas.openxmlformats.org/drawingml/2006/main" prst="rect">
          <a:avLst/>
        </a:prstGeom>
      </cdr:spPr>
    </cdr:pic>
  </cdr:relSizeAnchor>
  <cdr:relSizeAnchor xmlns:cdr="http://schemas.openxmlformats.org/drawingml/2006/chartDrawing">
    <cdr:from>
      <cdr:x>0.81888</cdr:x>
      <cdr:y>0.64303</cdr:y>
    </cdr:from>
    <cdr:to>
      <cdr:x>0.98136</cdr:x>
      <cdr:y>0.76779</cdr:y>
    </cdr:to>
    <cdr:pic>
      <cdr:nvPicPr>
        <cdr:cNvPr id="6" name="Picture 5">
          <a:extLst xmlns:a="http://schemas.openxmlformats.org/drawingml/2006/main">
            <a:ext uri="{FF2B5EF4-FFF2-40B4-BE49-F238E27FC236}">
              <a16:creationId xmlns:a16="http://schemas.microsoft.com/office/drawing/2014/main" id="{D7B81CAF-6088-354A-613A-77327BC24DD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4">
          <a:extLst>
            <a:ext uri="{BEBA8EAE-BF5A-486C-A8C5-ECC9F3942E4B}">
              <a14:imgProps xmlns:a14="http://schemas.microsoft.com/office/drawing/2010/main">
                <a14:imgLayer r:embed="rId5">
                  <a14:imgEffect>
                    <a14:brightnessContrast bright="20000"/>
                  </a14:imgEffect>
                </a14:imgLayer>
              </a14:imgProps>
            </a:ext>
          </a:extLst>
        </a:blip>
        <a:stretch xmlns:a="http://schemas.openxmlformats.org/drawingml/2006/main">
          <a:fillRect/>
        </a:stretch>
      </cdr:blipFill>
      <cdr:spPr>
        <a:xfrm xmlns:a="http://schemas.openxmlformats.org/drawingml/2006/main">
          <a:off x="4147669" y="2300942"/>
          <a:ext cx="822960" cy="446399"/>
        </a:xfrm>
        <a:prstGeom xmlns:a="http://schemas.openxmlformats.org/drawingml/2006/main" prst="rect">
          <a:avLst/>
        </a:prstGeom>
      </cdr:spPr>
    </cdr:pic>
  </cdr:relSizeAnchor>
  <cdr:relSizeAnchor xmlns:cdr="http://schemas.openxmlformats.org/drawingml/2006/chartDrawing">
    <cdr:from>
      <cdr:x>0.82596</cdr:x>
      <cdr:y>0.79586</cdr:y>
    </cdr:from>
    <cdr:to>
      <cdr:x>0.97038</cdr:x>
      <cdr:y>0.89926</cdr:y>
    </cdr:to>
    <cdr:pic>
      <cdr:nvPicPr>
        <cdr:cNvPr id="7" name="Picture 6">
          <a:extLst xmlns:a="http://schemas.openxmlformats.org/drawingml/2006/main">
            <a:ext uri="{FF2B5EF4-FFF2-40B4-BE49-F238E27FC236}">
              <a16:creationId xmlns:a16="http://schemas.microsoft.com/office/drawing/2014/main" id="{52DDB8D9-9C4B-43FE-8C34-54121FF3947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4183529" y="2847790"/>
          <a:ext cx="731520" cy="369981"/>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D7E35C3A40B1447A02C8528854CA5E8" ma:contentTypeVersion="15" ma:contentTypeDescription="Crée un document." ma:contentTypeScope="" ma:versionID="c19056e43d84e14ba920a1a24b4e12d6">
  <xsd:schema xmlns:xsd="http://www.w3.org/2001/XMLSchema" xmlns:xs="http://www.w3.org/2001/XMLSchema" xmlns:p="http://schemas.microsoft.com/office/2006/metadata/properties" xmlns:ns3="fdd43aa2-dbd0-452b-a208-ebcfa34051e4" xmlns:ns4="90a40266-2cb7-4b1c-a9b2-76c10816e208" targetNamespace="http://schemas.microsoft.com/office/2006/metadata/properties" ma:root="true" ma:fieldsID="d0d758c6a8e5df42d6f9fb64e193b66b" ns3:_="" ns4:_="">
    <xsd:import namespace="fdd43aa2-dbd0-452b-a208-ebcfa34051e4"/>
    <xsd:import namespace="90a40266-2cb7-4b1c-a9b2-76c10816e208"/>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_activity"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d43aa2-dbd0-452b-a208-ebcfa34051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a40266-2cb7-4b1c-a9b2-76c10816e208"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fdd43aa2-dbd0-452b-a208-ebcfa34051e4" xsi:nil="true"/>
  </documentManagement>
</p:properties>
</file>

<file path=customXml/itemProps1.xml><?xml version="1.0" encoding="utf-8"?>
<ds:datastoreItem xmlns:ds="http://schemas.openxmlformats.org/officeDocument/2006/customXml" ds:itemID="{26D582CB-6902-49C3-A22A-3C54FA3028C5}">
  <ds:schemaRefs>
    <ds:schemaRef ds:uri="http://schemas.openxmlformats.org/officeDocument/2006/bibliography"/>
  </ds:schemaRefs>
</ds:datastoreItem>
</file>

<file path=customXml/itemProps2.xml><?xml version="1.0" encoding="utf-8"?>
<ds:datastoreItem xmlns:ds="http://schemas.openxmlformats.org/officeDocument/2006/customXml" ds:itemID="{F897A2D4-4120-4651-BCB5-59242D2B57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d43aa2-dbd0-452b-a208-ebcfa34051e4"/>
    <ds:schemaRef ds:uri="90a40266-2cb7-4b1c-a9b2-76c10816e2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8200A9-10C6-448A-8A4B-BEBF225D1A03}">
  <ds:schemaRefs>
    <ds:schemaRef ds:uri="http://schemas.microsoft.com/sharepoint/v3/contenttype/forms"/>
  </ds:schemaRefs>
</ds:datastoreItem>
</file>

<file path=customXml/itemProps4.xml><?xml version="1.0" encoding="utf-8"?>
<ds:datastoreItem xmlns:ds="http://schemas.openxmlformats.org/officeDocument/2006/customXml" ds:itemID="{4FB1A6B0-BCD4-406C-8A84-D974C30BC65B}">
  <ds:schemaRefs>
    <ds:schemaRef ds:uri="http://schemas.microsoft.com/office/2006/metadata/properties"/>
    <ds:schemaRef ds:uri="http://schemas.microsoft.com/office/infopath/2007/PartnerControls"/>
    <ds:schemaRef ds:uri="fdd43aa2-dbd0-452b-a208-ebcfa34051e4"/>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5</Pages>
  <Words>68993</Words>
  <Characters>393264</Characters>
  <Application>Microsoft Office Word</Application>
  <DocSecurity>0</DocSecurity>
  <Lines>3277</Lines>
  <Paragraphs>922</Paragraphs>
  <ScaleCrop>false</ScaleCrop>
  <HeadingPairs>
    <vt:vector size="10" baseType="variant">
      <vt:variant>
        <vt:lpstr>Title</vt:lpstr>
      </vt:variant>
      <vt:variant>
        <vt:i4>1</vt:i4>
      </vt:variant>
      <vt:variant>
        <vt:lpstr>Naslov</vt:lpstr>
      </vt:variant>
      <vt:variant>
        <vt:i4>1</vt:i4>
      </vt:variant>
      <vt:variant>
        <vt:lpstr>Titre</vt:lpstr>
      </vt:variant>
      <vt:variant>
        <vt:i4>1</vt:i4>
      </vt:variant>
      <vt:variant>
        <vt:lpstr>Tytuł</vt:lpstr>
      </vt:variant>
      <vt:variant>
        <vt:i4>1</vt:i4>
      </vt:variant>
      <vt:variant>
        <vt:lpstr>Titel</vt:lpstr>
      </vt:variant>
      <vt:variant>
        <vt:i4>1</vt:i4>
      </vt:variant>
    </vt:vector>
  </HeadingPairs>
  <TitlesOfParts>
    <vt:vector size="5" baseType="lpstr">
      <vt:lpstr/>
      <vt:lpstr/>
      <vt:lpstr/>
      <vt:lpstr/>
      <vt:lpstr/>
    </vt:vector>
  </TitlesOfParts>
  <Company>EEAS</Company>
  <LinksUpToDate>false</LinksUpToDate>
  <CharactersWithSpaces>461335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Hubert Taczynski</dc:creator>
  <cp:keywords/>
  <dc:description/>
  <cp:lastModifiedBy>Ekaterine Sichinava</cp:lastModifiedBy>
  <cp:revision>16</cp:revision>
  <cp:lastPrinted>2016-05-03T08:12:00Z</cp:lastPrinted>
  <dcterms:created xsi:type="dcterms:W3CDTF">2024-06-13T18:22:00Z</dcterms:created>
  <dcterms:modified xsi:type="dcterms:W3CDTF">2024-06-14T09:03:00Z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b247d97dde6bd5c2fd006db69dd61e512bc2ec994abddaea04a7ac8900591bc4</vt:lpwstr>
  </property>
  <property fmtid="{D5CDD505-2E9C-101B-9397-08002B2CF9AE}" pid="3" name="ContentTypeId">
    <vt:lpwstr>0x0101003D7E35C3A40B1447A02C8528854CA5E8</vt:lpwstr>
  </property>
</Properties>
</file>