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FCEDC" w14:textId="7C8CCBD5" w:rsidR="000166B6" w:rsidRPr="000F4F77" w:rsidRDefault="00BD7494" w:rsidP="00814BFF">
      <w:pPr>
        <w:spacing w:after="0" w:line="240" w:lineRule="auto"/>
        <w:jc w:val="center"/>
        <w:rPr>
          <w:rFonts w:ascii="Sylfaen" w:hAnsi="Sylfaen" w:cs="Sylfaen"/>
          <w:b/>
          <w:bCs/>
          <w:sz w:val="20"/>
          <w:szCs w:val="20"/>
          <w:lang w:val="ka-GE"/>
        </w:rPr>
      </w:pPr>
      <w:r w:rsidRPr="000F4F77">
        <w:rPr>
          <w:rFonts w:ascii="Sylfaen" w:hAnsi="Sylfaen" w:cs="Sylfaen"/>
          <w:b/>
          <w:bCs/>
          <w:sz w:val="20"/>
          <w:szCs w:val="20"/>
          <w:lang w:val="ka-GE"/>
        </w:rPr>
        <w:t>,,</w:t>
      </w:r>
      <w:r w:rsidR="000166B6" w:rsidRPr="000F4F77">
        <w:rPr>
          <w:rFonts w:ascii="Sylfaen" w:hAnsi="Sylfaen" w:cs="Sylfaen"/>
          <w:b/>
          <w:bCs/>
          <w:sz w:val="20"/>
          <w:szCs w:val="20"/>
          <w:lang w:val="ka-GE"/>
        </w:rPr>
        <w:t>ფიქსირებული</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საცალო</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ხმოვანი</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მაუწყებლობის</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ტრანზიტის</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საცალო</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და</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ფიქსირებული</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ინტერნეტის</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საცალო</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მომსახურებების</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ბაზრის</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შესაბამის</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სეგმენტებზე</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კონკურენციის</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კვლევისა</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და</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ანალიზის</w:t>
      </w:r>
      <w:r w:rsidR="009F4D8A"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შედეგების</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შესახებ</w:t>
      </w:r>
      <w:r w:rsidRPr="000F4F77">
        <w:rPr>
          <w:rFonts w:ascii="Sylfaen" w:hAnsi="Sylfaen" w:cs="Sylfaen"/>
          <w:b/>
          <w:bCs/>
          <w:sz w:val="20"/>
          <w:szCs w:val="20"/>
          <w:lang w:val="ka-GE"/>
        </w:rPr>
        <w:t>“ საქართველოს კომუნიკაციების ეროვნული</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კომისიის</w:t>
      </w:r>
      <w:r w:rsidR="000166B6" w:rsidRPr="000F4F77">
        <w:rPr>
          <w:rFonts w:ascii="Sylfaen" w:hAnsi="Sylfaen"/>
          <w:b/>
          <w:bCs/>
          <w:sz w:val="20"/>
          <w:szCs w:val="20"/>
          <w:lang w:val="ka-GE"/>
        </w:rPr>
        <w:t xml:space="preserve"> 2019 </w:t>
      </w:r>
      <w:r w:rsidR="000166B6" w:rsidRPr="000F4F77">
        <w:rPr>
          <w:rFonts w:ascii="Sylfaen" w:hAnsi="Sylfaen" w:cs="Sylfaen"/>
          <w:b/>
          <w:bCs/>
          <w:sz w:val="20"/>
          <w:szCs w:val="20"/>
          <w:lang w:val="ka-GE"/>
        </w:rPr>
        <w:t>წლის</w:t>
      </w:r>
      <w:r w:rsidR="000166B6" w:rsidRPr="000F4F77">
        <w:rPr>
          <w:rFonts w:ascii="Sylfaen" w:hAnsi="Sylfaen"/>
          <w:b/>
          <w:bCs/>
          <w:sz w:val="20"/>
          <w:szCs w:val="20"/>
          <w:lang w:val="ka-GE"/>
        </w:rPr>
        <w:t xml:space="preserve"> 30 </w:t>
      </w:r>
      <w:r w:rsidR="000166B6" w:rsidRPr="000F4F77">
        <w:rPr>
          <w:rFonts w:ascii="Sylfaen" w:hAnsi="Sylfaen" w:cs="Sylfaen"/>
          <w:b/>
          <w:bCs/>
          <w:sz w:val="20"/>
          <w:szCs w:val="20"/>
          <w:lang w:val="ka-GE"/>
        </w:rPr>
        <w:t>აპრილის</w:t>
      </w:r>
      <w:r w:rsidR="000166B6" w:rsidRPr="000F4F77">
        <w:rPr>
          <w:rFonts w:ascii="Sylfaen" w:hAnsi="Sylfaen"/>
          <w:b/>
          <w:bCs/>
          <w:sz w:val="20"/>
          <w:szCs w:val="20"/>
          <w:lang w:val="ka-GE"/>
        </w:rPr>
        <w:t xml:space="preserve"> N266/9  </w:t>
      </w:r>
      <w:r w:rsidR="000166B6" w:rsidRPr="000F4F77">
        <w:rPr>
          <w:rFonts w:ascii="Sylfaen" w:hAnsi="Sylfaen" w:cs="Sylfaen"/>
          <w:b/>
          <w:bCs/>
          <w:sz w:val="20"/>
          <w:szCs w:val="20"/>
          <w:lang w:val="ka-GE"/>
        </w:rPr>
        <w:t>გადაწყვეტილების</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ძალადაკარგულად</w:t>
      </w:r>
      <w:r w:rsidR="000166B6" w:rsidRPr="000F4F77">
        <w:rPr>
          <w:rFonts w:ascii="Sylfaen" w:hAnsi="Sylfaen"/>
          <w:b/>
          <w:bCs/>
          <w:sz w:val="20"/>
          <w:szCs w:val="20"/>
          <w:lang w:val="ka-GE"/>
        </w:rPr>
        <w:t xml:space="preserve"> </w:t>
      </w:r>
      <w:r w:rsidR="000166B6" w:rsidRPr="000F4F77">
        <w:rPr>
          <w:rFonts w:ascii="Sylfaen" w:hAnsi="Sylfaen" w:cs="Sylfaen"/>
          <w:b/>
          <w:bCs/>
          <w:sz w:val="20"/>
          <w:szCs w:val="20"/>
          <w:lang w:val="ka-GE"/>
        </w:rPr>
        <w:t>გამოცხადების</w:t>
      </w:r>
      <w:r w:rsidR="000166B6" w:rsidRPr="000F4F77">
        <w:rPr>
          <w:rFonts w:ascii="Sylfaen" w:hAnsi="Sylfaen"/>
          <w:b/>
          <w:bCs/>
          <w:sz w:val="20"/>
          <w:szCs w:val="20"/>
          <w:lang w:val="ka-GE"/>
        </w:rPr>
        <w:t xml:space="preserve"> </w:t>
      </w:r>
      <w:r w:rsidR="00D76AB2" w:rsidRPr="000F4F77">
        <w:rPr>
          <w:rFonts w:ascii="Sylfaen" w:hAnsi="Sylfaen"/>
          <w:b/>
          <w:bCs/>
          <w:sz w:val="20"/>
          <w:szCs w:val="20"/>
          <w:lang w:val="ka-GE"/>
        </w:rPr>
        <w:t>საკითხის განხილვის შესახებ</w:t>
      </w:r>
    </w:p>
    <w:p w14:paraId="579BDD87" w14:textId="77777777" w:rsidR="006A487A" w:rsidRPr="000F4F77" w:rsidRDefault="006A487A" w:rsidP="00A052AF">
      <w:pPr>
        <w:spacing w:after="0" w:line="240" w:lineRule="auto"/>
        <w:jc w:val="both"/>
        <w:rPr>
          <w:rFonts w:ascii="Sylfaen" w:hAnsi="Sylfaen"/>
          <w:b/>
          <w:bCs/>
          <w:sz w:val="20"/>
          <w:szCs w:val="20"/>
          <w:lang w:val="ka-GE"/>
        </w:rPr>
      </w:pPr>
    </w:p>
    <w:p w14:paraId="7EDA294B" w14:textId="77777777" w:rsidR="00D76AB2" w:rsidRPr="000F4F77" w:rsidRDefault="00D76AB2" w:rsidP="009F4D8A">
      <w:pPr>
        <w:spacing w:after="0" w:line="240" w:lineRule="auto"/>
        <w:jc w:val="both"/>
        <w:rPr>
          <w:rFonts w:ascii="Sylfaen" w:hAnsi="Sylfaen" w:cs="Sylfaen"/>
          <w:sz w:val="20"/>
          <w:szCs w:val="20"/>
          <w:lang w:val="ka-GE"/>
        </w:rPr>
      </w:pPr>
    </w:p>
    <w:p w14:paraId="4E58800C" w14:textId="46152979" w:rsidR="0012740D" w:rsidRPr="000F4F77" w:rsidRDefault="0012740D" w:rsidP="0012740D">
      <w:pPr>
        <w:spacing w:after="0" w:line="240" w:lineRule="auto"/>
        <w:jc w:val="both"/>
        <w:rPr>
          <w:rFonts w:ascii="Sylfaen" w:hAnsi="Sylfaen" w:cs="Sylfaen"/>
          <w:sz w:val="20"/>
          <w:szCs w:val="20"/>
          <w:lang w:val="ka-GE"/>
        </w:rPr>
      </w:pPr>
      <w:r w:rsidRPr="000F4F77">
        <w:rPr>
          <w:rFonts w:ascii="Sylfaen" w:hAnsi="Sylfaen" w:cs="Sylfaen"/>
          <w:sz w:val="20"/>
          <w:szCs w:val="20"/>
          <w:lang w:val="ka-GE"/>
        </w:rPr>
        <w:t xml:space="preserve">,,ელექტრონული კომუნიკაციების შესახებ“ საქართველოს კანონის მე-11 მუხლის მე-2 პუნქტის ,,ა“ ქვეპუნქტის თანახმად, </w:t>
      </w:r>
      <w:r w:rsidR="000D5CAC" w:rsidRPr="000F4F77">
        <w:rPr>
          <w:rFonts w:ascii="Sylfaen" w:hAnsi="Sylfaen" w:cs="Sylfaen"/>
          <w:sz w:val="20"/>
          <w:szCs w:val="20"/>
          <w:lang w:val="ka-GE"/>
        </w:rPr>
        <w:t>,,</w:t>
      </w:r>
      <w:r w:rsidRPr="000F4F77">
        <w:rPr>
          <w:rFonts w:ascii="Sylfaen" w:hAnsi="Sylfaen" w:cs="Sylfaen"/>
          <w:sz w:val="20"/>
          <w:szCs w:val="20"/>
          <w:lang w:val="ka-GE"/>
        </w:rPr>
        <w:t>კომისიის ძირითად ამოცანას წარმოადგენს ელექტრონული საკომუნიკაციო მომსახურების სფეროში კონკურენტუნარიანი გარემოს ჩამოყალიბება, შენარჩუნება და განვითარება</w:t>
      </w:r>
      <w:r w:rsidR="000D5CAC" w:rsidRPr="000F4F77">
        <w:rPr>
          <w:rFonts w:ascii="Sylfaen" w:hAnsi="Sylfaen" w:cs="Sylfaen"/>
          <w:sz w:val="20"/>
          <w:szCs w:val="20"/>
          <w:lang w:val="ka-GE"/>
        </w:rPr>
        <w:t>“</w:t>
      </w:r>
      <w:r w:rsidRPr="000F4F77">
        <w:rPr>
          <w:rFonts w:ascii="Sylfaen" w:hAnsi="Sylfaen" w:cs="Sylfaen"/>
          <w:sz w:val="20"/>
          <w:szCs w:val="20"/>
          <w:lang w:val="ka-GE"/>
        </w:rPr>
        <w:t xml:space="preserve">, მე-3 პუნქტის ,,გ“ ქვეპუნქტის შესაბამისად, </w:t>
      </w:r>
      <w:r w:rsidR="000D5CAC" w:rsidRPr="000F4F77">
        <w:rPr>
          <w:rFonts w:ascii="Sylfaen" w:hAnsi="Sylfaen" w:cs="Sylfaen"/>
          <w:sz w:val="20"/>
          <w:szCs w:val="20"/>
          <w:lang w:val="ka-GE"/>
        </w:rPr>
        <w:t>,,</w:t>
      </w:r>
      <w:r w:rsidRPr="000F4F77">
        <w:rPr>
          <w:rFonts w:ascii="Sylfaen" w:hAnsi="Sylfaen" w:cs="Sylfaen"/>
          <w:sz w:val="20"/>
          <w:szCs w:val="20"/>
          <w:lang w:val="ka-GE"/>
        </w:rPr>
        <w:t>მომსახურების ბაზრის შესაბამისი სეგმენტების კვლევისა და ანალიზის ჩატარება, მნიშვნელოვანი საბაზრო ძალაუფლების მქონე ავტორიზებული პირების განსაზღვრა, კონკურენციის უზრუნველყოფის მიზნით ამ კანონით განსაზღვრული სპეციფიკური ვალდებულებების დაკისრება და მათ შესრულებაზე ზედამხედველობა და კონტროლი</w:t>
      </w:r>
      <w:r w:rsidR="000D5CAC" w:rsidRPr="000F4F77">
        <w:rPr>
          <w:rFonts w:ascii="Sylfaen" w:hAnsi="Sylfaen" w:cs="Sylfaen"/>
          <w:sz w:val="20"/>
          <w:szCs w:val="20"/>
          <w:lang w:val="ka-GE"/>
        </w:rPr>
        <w:t>“</w:t>
      </w:r>
      <w:r w:rsidRPr="000F4F77">
        <w:rPr>
          <w:rFonts w:ascii="Sylfaen" w:hAnsi="Sylfaen" w:cs="Sylfaen"/>
          <w:sz w:val="20"/>
          <w:szCs w:val="20"/>
          <w:lang w:val="ka-GE"/>
        </w:rPr>
        <w:t xml:space="preserve">, ხოლო ,,ე“ ქვეპუნქტის თანახმად, </w:t>
      </w:r>
      <w:r w:rsidR="000D5CAC" w:rsidRPr="000F4F77">
        <w:rPr>
          <w:rFonts w:ascii="Sylfaen" w:hAnsi="Sylfaen" w:cs="Sylfaen"/>
          <w:sz w:val="20"/>
          <w:szCs w:val="20"/>
          <w:lang w:val="ka-GE"/>
        </w:rPr>
        <w:t>,,</w:t>
      </w:r>
      <w:r w:rsidRPr="000F4F77">
        <w:rPr>
          <w:rFonts w:ascii="Sylfaen" w:hAnsi="Sylfaen" w:cs="Sylfaen"/>
          <w:sz w:val="20"/>
          <w:szCs w:val="20"/>
          <w:lang w:val="ka-GE"/>
        </w:rPr>
        <w:t>ელექტრონული საკომუნიკაციო ქსელის ელემენტებთან დაშვების ან/და ურთიერთჩართვის ტექნიკურ-ეკონომიკური და სამართლებრივი ურთიერთობების რეგულირება</w:t>
      </w:r>
      <w:r w:rsidR="000D5CAC" w:rsidRPr="000F4F77">
        <w:rPr>
          <w:rFonts w:ascii="Sylfaen" w:hAnsi="Sylfaen" w:cs="Sylfaen"/>
          <w:sz w:val="20"/>
          <w:szCs w:val="20"/>
          <w:lang w:val="ka-GE"/>
        </w:rPr>
        <w:t>“</w:t>
      </w:r>
      <w:r w:rsidRPr="000F4F77">
        <w:rPr>
          <w:rFonts w:ascii="Sylfaen" w:hAnsi="Sylfaen" w:cs="Sylfaen"/>
          <w:sz w:val="20"/>
          <w:szCs w:val="20"/>
          <w:lang w:val="ka-GE"/>
        </w:rPr>
        <w:t>.</w:t>
      </w:r>
    </w:p>
    <w:p w14:paraId="34E4EA2A" w14:textId="4CF8139D" w:rsidR="0028036B" w:rsidRPr="000F4F77" w:rsidRDefault="0028036B" w:rsidP="0012740D">
      <w:pPr>
        <w:spacing w:after="0" w:line="240" w:lineRule="auto"/>
        <w:jc w:val="both"/>
        <w:rPr>
          <w:rFonts w:ascii="Sylfaen" w:hAnsi="Sylfaen" w:cs="Sylfaen"/>
          <w:sz w:val="20"/>
          <w:szCs w:val="20"/>
          <w:lang w:val="ka-GE"/>
        </w:rPr>
      </w:pPr>
    </w:p>
    <w:p w14:paraId="74A5B41A" w14:textId="015F1B5D" w:rsidR="0012740D" w:rsidRPr="000F4F77" w:rsidRDefault="0028036B" w:rsidP="0012740D">
      <w:pPr>
        <w:spacing w:after="0" w:line="240" w:lineRule="auto"/>
        <w:jc w:val="both"/>
        <w:rPr>
          <w:rFonts w:ascii="Sylfaen" w:hAnsi="Sylfaen" w:cs="Sylfaen"/>
          <w:sz w:val="20"/>
          <w:szCs w:val="20"/>
          <w:lang w:val="ka-GE"/>
        </w:rPr>
      </w:pPr>
      <w:r w:rsidRPr="000F4F77">
        <w:rPr>
          <w:rFonts w:ascii="Sylfaen" w:hAnsi="Sylfaen" w:cs="Sylfaen"/>
          <w:sz w:val="20"/>
          <w:szCs w:val="20"/>
          <w:lang w:val="ka-GE"/>
        </w:rPr>
        <w:t xml:space="preserve">,,ელექტრონული კომუნიკაციების შესახებ“ საქართველოს კანონის 21-ე მუხლის მე-3 პუნქტის შესაბამისად, ,,მომსახურების ბაზრის კვლევასა და ანალიზს, რომლებიც ხორციელდება ელექტრონული კომუნიკაციების სფეროში ბაზრის შესაბამის სეგმენტზე მნიშვნელოვანი საბაზრო ძალაუფლების მქონე ავტორიზებული პირების დადგენის მიზნით, კომისია ატარებს ბაზრის კონკურენტუნარიანობისა და მნიშვნელოვანი საბაზრო ძალაუფლების მქონე ავტორიზებული პირების განსაზღვრის მეთოდოლოგიის და პროცედურების </w:t>
      </w:r>
      <w:r w:rsidR="00543E97" w:rsidRPr="000F4F77">
        <w:rPr>
          <w:rFonts w:ascii="Sylfaen" w:hAnsi="Sylfaen" w:cs="Sylfaen"/>
          <w:sz w:val="20"/>
          <w:szCs w:val="20"/>
          <w:lang w:val="ka-GE"/>
        </w:rPr>
        <w:t xml:space="preserve">(შემდგომში-პროცედურები) </w:t>
      </w:r>
      <w:r w:rsidRPr="000F4F77">
        <w:rPr>
          <w:rFonts w:ascii="Sylfaen" w:hAnsi="Sylfaen" w:cs="Sylfaen"/>
          <w:sz w:val="20"/>
          <w:szCs w:val="20"/>
          <w:lang w:val="ka-GE"/>
        </w:rPr>
        <w:t>საფუძველზე, რომლებიც მტკიცდება კომისიის დადგენილებით“.</w:t>
      </w:r>
    </w:p>
    <w:p w14:paraId="69A024F1" w14:textId="77777777" w:rsidR="0028036B" w:rsidRPr="000F4F77" w:rsidRDefault="0028036B" w:rsidP="0012740D">
      <w:pPr>
        <w:spacing w:after="0" w:line="240" w:lineRule="auto"/>
        <w:jc w:val="both"/>
        <w:rPr>
          <w:rFonts w:ascii="Sylfaen" w:hAnsi="Sylfaen" w:cs="Sylfaen"/>
          <w:sz w:val="20"/>
          <w:szCs w:val="20"/>
          <w:lang w:val="ka-GE"/>
        </w:rPr>
      </w:pPr>
    </w:p>
    <w:p w14:paraId="076F079B" w14:textId="70F3FD5D" w:rsidR="00D76AB2" w:rsidRPr="000F4F77" w:rsidRDefault="00D76AB2" w:rsidP="0012740D">
      <w:pPr>
        <w:spacing w:after="0" w:line="240" w:lineRule="auto"/>
        <w:jc w:val="both"/>
        <w:rPr>
          <w:rFonts w:ascii="Sylfaen" w:hAnsi="Sylfaen" w:cs="Sylfaen"/>
          <w:b/>
          <w:bCs/>
          <w:sz w:val="20"/>
          <w:szCs w:val="20"/>
          <w:lang w:val="ka-GE"/>
        </w:rPr>
      </w:pPr>
      <w:r w:rsidRPr="000F4F77">
        <w:rPr>
          <w:rFonts w:ascii="Sylfaen" w:hAnsi="Sylfaen" w:cs="Sylfaen"/>
          <w:sz w:val="20"/>
          <w:szCs w:val="20"/>
          <w:lang w:val="ka-GE"/>
        </w:rPr>
        <w:t>საქართველოს კომუნიკაციების ეროვნულ</w:t>
      </w:r>
      <w:r w:rsidR="0040048B" w:rsidRPr="000F4F77">
        <w:rPr>
          <w:rFonts w:ascii="Sylfaen" w:hAnsi="Sylfaen" w:cs="Sylfaen"/>
          <w:sz w:val="20"/>
          <w:szCs w:val="20"/>
          <w:lang w:val="ka-GE"/>
        </w:rPr>
        <w:t>მა</w:t>
      </w:r>
      <w:r w:rsidRPr="000F4F77">
        <w:rPr>
          <w:rFonts w:ascii="Sylfaen" w:hAnsi="Sylfaen" w:cs="Sylfaen"/>
          <w:sz w:val="20"/>
          <w:szCs w:val="20"/>
          <w:lang w:val="ka-GE"/>
        </w:rPr>
        <w:t xml:space="preserve"> კომისი</w:t>
      </w:r>
      <w:r w:rsidR="0040048B" w:rsidRPr="000F4F77">
        <w:rPr>
          <w:rFonts w:ascii="Sylfaen" w:hAnsi="Sylfaen" w:cs="Sylfaen"/>
          <w:sz w:val="20"/>
          <w:szCs w:val="20"/>
          <w:lang w:val="ka-GE"/>
        </w:rPr>
        <w:t>ამ</w:t>
      </w:r>
      <w:r w:rsidRPr="000F4F77">
        <w:rPr>
          <w:rFonts w:ascii="Sylfaen" w:hAnsi="Sylfaen"/>
          <w:sz w:val="20"/>
          <w:szCs w:val="20"/>
          <w:lang w:val="ka-GE"/>
        </w:rPr>
        <w:t xml:space="preserve"> (შემდგომში - კომისია) 2024 წლის 22 აგვისტოს</w:t>
      </w:r>
      <w:r w:rsidR="000A6161" w:rsidRPr="000F4F77">
        <w:rPr>
          <w:rFonts w:ascii="Sylfaen" w:hAnsi="Sylfaen"/>
          <w:sz w:val="20"/>
          <w:szCs w:val="20"/>
          <w:lang w:val="ka-GE"/>
        </w:rPr>
        <w:t xml:space="preserve"> მიიღო გადაწყვეტილება </w:t>
      </w:r>
      <w:r w:rsidR="00C3264C" w:rsidRPr="00C3264C">
        <w:rPr>
          <w:rFonts w:ascii="Sylfaen" w:hAnsi="Sylfaen"/>
          <w:sz w:val="20"/>
          <w:szCs w:val="20"/>
          <w:lang w:val="ka-GE"/>
        </w:rPr>
        <w:t xml:space="preserve">Nგ-24-23/379 </w:t>
      </w:r>
      <w:r w:rsidRPr="000F4F77">
        <w:rPr>
          <w:rFonts w:ascii="Sylfaen" w:hAnsi="Sylfaen" w:cs="Sylfaen"/>
          <w:b/>
          <w:bCs/>
          <w:sz w:val="20"/>
          <w:szCs w:val="20"/>
          <w:lang w:val="ka-GE"/>
        </w:rPr>
        <w:t>,,ფიქსირებული</w:t>
      </w:r>
      <w:r w:rsidRPr="000F4F77">
        <w:rPr>
          <w:rFonts w:ascii="Sylfaen" w:hAnsi="Sylfaen"/>
          <w:b/>
          <w:bCs/>
          <w:sz w:val="20"/>
          <w:szCs w:val="20"/>
          <w:lang w:val="ka-GE"/>
        </w:rPr>
        <w:t xml:space="preserve"> </w:t>
      </w:r>
      <w:r w:rsidRPr="000F4F77">
        <w:rPr>
          <w:rFonts w:ascii="Sylfaen" w:hAnsi="Sylfaen" w:cs="Sylfaen"/>
          <w:b/>
          <w:bCs/>
          <w:sz w:val="20"/>
          <w:szCs w:val="20"/>
          <w:lang w:val="ka-GE"/>
        </w:rPr>
        <w:t>საცალო</w:t>
      </w:r>
      <w:r w:rsidRPr="000F4F77">
        <w:rPr>
          <w:rFonts w:ascii="Sylfaen" w:hAnsi="Sylfaen"/>
          <w:b/>
          <w:bCs/>
          <w:sz w:val="20"/>
          <w:szCs w:val="20"/>
          <w:lang w:val="ka-GE"/>
        </w:rPr>
        <w:t xml:space="preserve"> </w:t>
      </w:r>
      <w:r w:rsidRPr="000F4F77">
        <w:rPr>
          <w:rFonts w:ascii="Sylfaen" w:hAnsi="Sylfaen" w:cs="Sylfaen"/>
          <w:b/>
          <w:bCs/>
          <w:sz w:val="20"/>
          <w:szCs w:val="20"/>
          <w:lang w:val="ka-GE"/>
        </w:rPr>
        <w:t>ხმოვანი</w:t>
      </w:r>
      <w:r w:rsidRPr="000F4F77">
        <w:rPr>
          <w:rFonts w:ascii="Sylfaen" w:hAnsi="Sylfaen"/>
          <w:b/>
          <w:bCs/>
          <w:sz w:val="20"/>
          <w:szCs w:val="20"/>
          <w:lang w:val="ka-GE"/>
        </w:rPr>
        <w:t xml:space="preserve">, </w:t>
      </w:r>
      <w:r w:rsidRPr="000F4F77">
        <w:rPr>
          <w:rFonts w:ascii="Sylfaen" w:hAnsi="Sylfaen" w:cs="Sylfaen"/>
          <w:b/>
          <w:bCs/>
          <w:sz w:val="20"/>
          <w:szCs w:val="20"/>
          <w:lang w:val="ka-GE"/>
        </w:rPr>
        <w:t>მაუწყებლობის</w:t>
      </w:r>
      <w:r w:rsidRPr="000F4F77">
        <w:rPr>
          <w:rFonts w:ascii="Sylfaen" w:hAnsi="Sylfaen"/>
          <w:b/>
          <w:bCs/>
          <w:sz w:val="20"/>
          <w:szCs w:val="20"/>
          <w:lang w:val="ka-GE"/>
        </w:rPr>
        <w:t xml:space="preserve"> </w:t>
      </w:r>
      <w:r w:rsidRPr="000F4F77">
        <w:rPr>
          <w:rFonts w:ascii="Sylfaen" w:hAnsi="Sylfaen" w:cs="Sylfaen"/>
          <w:b/>
          <w:bCs/>
          <w:sz w:val="20"/>
          <w:szCs w:val="20"/>
          <w:lang w:val="ka-GE"/>
        </w:rPr>
        <w:t>ტრანზიტის</w:t>
      </w:r>
      <w:r w:rsidRPr="000F4F77">
        <w:rPr>
          <w:rFonts w:ascii="Sylfaen" w:hAnsi="Sylfaen"/>
          <w:b/>
          <w:bCs/>
          <w:sz w:val="20"/>
          <w:szCs w:val="20"/>
          <w:lang w:val="ka-GE"/>
        </w:rPr>
        <w:t xml:space="preserve"> </w:t>
      </w:r>
      <w:r w:rsidRPr="000F4F77">
        <w:rPr>
          <w:rFonts w:ascii="Sylfaen" w:hAnsi="Sylfaen" w:cs="Sylfaen"/>
          <w:b/>
          <w:bCs/>
          <w:sz w:val="20"/>
          <w:szCs w:val="20"/>
          <w:lang w:val="ka-GE"/>
        </w:rPr>
        <w:t>საცალო</w:t>
      </w:r>
      <w:r w:rsidRPr="000F4F77">
        <w:rPr>
          <w:rFonts w:ascii="Sylfaen" w:hAnsi="Sylfaen"/>
          <w:b/>
          <w:bCs/>
          <w:sz w:val="20"/>
          <w:szCs w:val="20"/>
          <w:lang w:val="ka-GE"/>
        </w:rPr>
        <w:t xml:space="preserve"> </w:t>
      </w:r>
      <w:r w:rsidRPr="000F4F77">
        <w:rPr>
          <w:rFonts w:ascii="Sylfaen" w:hAnsi="Sylfaen" w:cs="Sylfaen"/>
          <w:b/>
          <w:bCs/>
          <w:sz w:val="20"/>
          <w:szCs w:val="20"/>
          <w:lang w:val="ka-GE"/>
        </w:rPr>
        <w:t>და</w:t>
      </w:r>
      <w:r w:rsidRPr="000F4F77">
        <w:rPr>
          <w:rFonts w:ascii="Sylfaen" w:hAnsi="Sylfaen"/>
          <w:b/>
          <w:bCs/>
          <w:sz w:val="20"/>
          <w:szCs w:val="20"/>
          <w:lang w:val="ka-GE"/>
        </w:rPr>
        <w:t xml:space="preserve"> </w:t>
      </w:r>
      <w:r w:rsidRPr="000F4F77">
        <w:rPr>
          <w:rFonts w:ascii="Sylfaen" w:hAnsi="Sylfaen" w:cs="Sylfaen"/>
          <w:b/>
          <w:bCs/>
          <w:sz w:val="20"/>
          <w:szCs w:val="20"/>
          <w:lang w:val="ka-GE"/>
        </w:rPr>
        <w:t>ფიქსირებული</w:t>
      </w:r>
      <w:r w:rsidRPr="000F4F77">
        <w:rPr>
          <w:rFonts w:ascii="Sylfaen" w:hAnsi="Sylfaen"/>
          <w:b/>
          <w:bCs/>
          <w:sz w:val="20"/>
          <w:szCs w:val="20"/>
          <w:lang w:val="ka-GE"/>
        </w:rPr>
        <w:t xml:space="preserve"> </w:t>
      </w:r>
      <w:r w:rsidRPr="000F4F77">
        <w:rPr>
          <w:rFonts w:ascii="Sylfaen" w:hAnsi="Sylfaen" w:cs="Sylfaen"/>
          <w:b/>
          <w:bCs/>
          <w:sz w:val="20"/>
          <w:szCs w:val="20"/>
          <w:lang w:val="ka-GE"/>
        </w:rPr>
        <w:t>ინტერნეტის</w:t>
      </w:r>
      <w:r w:rsidRPr="000F4F77">
        <w:rPr>
          <w:rFonts w:ascii="Sylfaen" w:hAnsi="Sylfaen"/>
          <w:b/>
          <w:bCs/>
          <w:sz w:val="20"/>
          <w:szCs w:val="20"/>
          <w:lang w:val="ka-GE"/>
        </w:rPr>
        <w:t xml:space="preserve"> </w:t>
      </w:r>
      <w:r w:rsidRPr="000F4F77">
        <w:rPr>
          <w:rFonts w:ascii="Sylfaen" w:hAnsi="Sylfaen" w:cs="Sylfaen"/>
          <w:b/>
          <w:bCs/>
          <w:sz w:val="20"/>
          <w:szCs w:val="20"/>
          <w:lang w:val="ka-GE"/>
        </w:rPr>
        <w:t>საცალო</w:t>
      </w:r>
      <w:r w:rsidRPr="000F4F77">
        <w:rPr>
          <w:rFonts w:ascii="Sylfaen" w:hAnsi="Sylfaen"/>
          <w:b/>
          <w:bCs/>
          <w:sz w:val="20"/>
          <w:szCs w:val="20"/>
          <w:lang w:val="ka-GE"/>
        </w:rPr>
        <w:t xml:space="preserve"> </w:t>
      </w:r>
      <w:r w:rsidRPr="000F4F77">
        <w:rPr>
          <w:rFonts w:ascii="Sylfaen" w:hAnsi="Sylfaen" w:cs="Sylfaen"/>
          <w:b/>
          <w:bCs/>
          <w:sz w:val="20"/>
          <w:szCs w:val="20"/>
          <w:lang w:val="ka-GE"/>
        </w:rPr>
        <w:t>მომსახურებების</w:t>
      </w:r>
      <w:r w:rsidRPr="000F4F77">
        <w:rPr>
          <w:rFonts w:ascii="Sylfaen" w:hAnsi="Sylfaen"/>
          <w:b/>
          <w:bCs/>
          <w:sz w:val="20"/>
          <w:szCs w:val="20"/>
          <w:lang w:val="ka-GE"/>
        </w:rPr>
        <w:t xml:space="preserve"> </w:t>
      </w:r>
      <w:r w:rsidRPr="000F4F77">
        <w:rPr>
          <w:rFonts w:ascii="Sylfaen" w:hAnsi="Sylfaen" w:cs="Sylfaen"/>
          <w:b/>
          <w:bCs/>
          <w:sz w:val="20"/>
          <w:szCs w:val="20"/>
          <w:lang w:val="ka-GE"/>
        </w:rPr>
        <w:t>ბაზრის</w:t>
      </w:r>
      <w:r w:rsidRPr="000F4F77">
        <w:rPr>
          <w:rFonts w:ascii="Sylfaen" w:hAnsi="Sylfaen"/>
          <w:b/>
          <w:bCs/>
          <w:sz w:val="20"/>
          <w:szCs w:val="20"/>
          <w:lang w:val="ka-GE"/>
        </w:rPr>
        <w:t xml:space="preserve"> </w:t>
      </w:r>
      <w:r w:rsidRPr="000F4F77">
        <w:rPr>
          <w:rFonts w:ascii="Sylfaen" w:hAnsi="Sylfaen" w:cs="Sylfaen"/>
          <w:b/>
          <w:bCs/>
          <w:sz w:val="20"/>
          <w:szCs w:val="20"/>
          <w:lang w:val="ka-GE"/>
        </w:rPr>
        <w:t>შესაბამის</w:t>
      </w:r>
      <w:r w:rsidRPr="000F4F77">
        <w:rPr>
          <w:rFonts w:ascii="Sylfaen" w:hAnsi="Sylfaen"/>
          <w:b/>
          <w:bCs/>
          <w:sz w:val="20"/>
          <w:szCs w:val="20"/>
          <w:lang w:val="ka-GE"/>
        </w:rPr>
        <w:t xml:space="preserve"> </w:t>
      </w:r>
      <w:r w:rsidRPr="000F4F77">
        <w:rPr>
          <w:rFonts w:ascii="Sylfaen" w:hAnsi="Sylfaen" w:cs="Sylfaen"/>
          <w:b/>
          <w:bCs/>
          <w:sz w:val="20"/>
          <w:szCs w:val="20"/>
          <w:lang w:val="ka-GE"/>
        </w:rPr>
        <w:t>სეგმენტებზე</w:t>
      </w:r>
      <w:r w:rsidRPr="000F4F77">
        <w:rPr>
          <w:rFonts w:ascii="Sylfaen" w:hAnsi="Sylfaen"/>
          <w:b/>
          <w:bCs/>
          <w:sz w:val="20"/>
          <w:szCs w:val="20"/>
          <w:lang w:val="ka-GE"/>
        </w:rPr>
        <w:t xml:space="preserve"> </w:t>
      </w:r>
      <w:r w:rsidRPr="000F4F77">
        <w:rPr>
          <w:rFonts w:ascii="Sylfaen" w:hAnsi="Sylfaen" w:cs="Sylfaen"/>
          <w:b/>
          <w:bCs/>
          <w:sz w:val="20"/>
          <w:szCs w:val="20"/>
          <w:lang w:val="ka-GE"/>
        </w:rPr>
        <w:t>კონკურენციის</w:t>
      </w:r>
      <w:r w:rsidRPr="000F4F77">
        <w:rPr>
          <w:rFonts w:ascii="Sylfaen" w:hAnsi="Sylfaen"/>
          <w:b/>
          <w:bCs/>
          <w:sz w:val="20"/>
          <w:szCs w:val="20"/>
          <w:lang w:val="ka-GE"/>
        </w:rPr>
        <w:t xml:space="preserve"> </w:t>
      </w:r>
      <w:r w:rsidRPr="000F4F77">
        <w:rPr>
          <w:rFonts w:ascii="Sylfaen" w:hAnsi="Sylfaen" w:cs="Sylfaen"/>
          <w:b/>
          <w:bCs/>
          <w:sz w:val="20"/>
          <w:szCs w:val="20"/>
          <w:lang w:val="ka-GE"/>
        </w:rPr>
        <w:t>კვლევისა</w:t>
      </w:r>
      <w:r w:rsidRPr="000F4F77">
        <w:rPr>
          <w:rFonts w:ascii="Sylfaen" w:hAnsi="Sylfaen"/>
          <w:b/>
          <w:bCs/>
          <w:sz w:val="20"/>
          <w:szCs w:val="20"/>
          <w:lang w:val="ka-GE"/>
        </w:rPr>
        <w:t xml:space="preserve"> </w:t>
      </w:r>
      <w:r w:rsidRPr="000F4F77">
        <w:rPr>
          <w:rFonts w:ascii="Sylfaen" w:hAnsi="Sylfaen" w:cs="Sylfaen"/>
          <w:b/>
          <w:bCs/>
          <w:sz w:val="20"/>
          <w:szCs w:val="20"/>
          <w:lang w:val="ka-GE"/>
        </w:rPr>
        <w:t>და</w:t>
      </w:r>
      <w:r w:rsidRPr="000F4F77">
        <w:rPr>
          <w:rFonts w:ascii="Sylfaen" w:hAnsi="Sylfaen"/>
          <w:b/>
          <w:bCs/>
          <w:sz w:val="20"/>
          <w:szCs w:val="20"/>
          <w:lang w:val="ka-GE"/>
        </w:rPr>
        <w:t xml:space="preserve"> </w:t>
      </w:r>
      <w:r w:rsidRPr="000F4F77">
        <w:rPr>
          <w:rFonts w:ascii="Sylfaen" w:hAnsi="Sylfaen" w:cs="Sylfaen"/>
          <w:b/>
          <w:bCs/>
          <w:sz w:val="20"/>
          <w:szCs w:val="20"/>
          <w:lang w:val="ka-GE"/>
        </w:rPr>
        <w:t>ანალიზის</w:t>
      </w:r>
      <w:r w:rsidRPr="000F4F77">
        <w:rPr>
          <w:rFonts w:ascii="Sylfaen" w:hAnsi="Sylfaen"/>
          <w:b/>
          <w:bCs/>
          <w:sz w:val="20"/>
          <w:szCs w:val="20"/>
          <w:lang w:val="ka-GE"/>
        </w:rPr>
        <w:t xml:space="preserve"> </w:t>
      </w:r>
      <w:r w:rsidRPr="000F4F77">
        <w:rPr>
          <w:rFonts w:ascii="Sylfaen" w:hAnsi="Sylfaen" w:cs="Sylfaen"/>
          <w:b/>
          <w:bCs/>
          <w:sz w:val="20"/>
          <w:szCs w:val="20"/>
          <w:lang w:val="ka-GE"/>
        </w:rPr>
        <w:t>შედეგების</w:t>
      </w:r>
      <w:r w:rsidRPr="000F4F77">
        <w:rPr>
          <w:rFonts w:ascii="Sylfaen" w:hAnsi="Sylfaen"/>
          <w:b/>
          <w:bCs/>
          <w:sz w:val="20"/>
          <w:szCs w:val="20"/>
          <w:lang w:val="ka-GE"/>
        </w:rPr>
        <w:t xml:space="preserve"> </w:t>
      </w:r>
      <w:r w:rsidRPr="000F4F77">
        <w:rPr>
          <w:rFonts w:ascii="Sylfaen" w:hAnsi="Sylfaen" w:cs="Sylfaen"/>
          <w:b/>
          <w:bCs/>
          <w:sz w:val="20"/>
          <w:szCs w:val="20"/>
          <w:lang w:val="ka-GE"/>
        </w:rPr>
        <w:t>შესახებ“ საქართველოს კომუნიკაციების ეროვნული</w:t>
      </w:r>
      <w:r w:rsidRPr="000F4F77">
        <w:rPr>
          <w:rFonts w:ascii="Sylfaen" w:hAnsi="Sylfaen"/>
          <w:b/>
          <w:bCs/>
          <w:sz w:val="20"/>
          <w:szCs w:val="20"/>
          <w:lang w:val="ka-GE"/>
        </w:rPr>
        <w:t xml:space="preserve"> </w:t>
      </w:r>
      <w:r w:rsidRPr="000F4F77">
        <w:rPr>
          <w:rFonts w:ascii="Sylfaen" w:hAnsi="Sylfaen" w:cs="Sylfaen"/>
          <w:b/>
          <w:bCs/>
          <w:sz w:val="20"/>
          <w:szCs w:val="20"/>
          <w:lang w:val="ka-GE"/>
        </w:rPr>
        <w:t>კომისიის</w:t>
      </w:r>
      <w:r w:rsidRPr="000F4F77">
        <w:rPr>
          <w:rFonts w:ascii="Sylfaen" w:hAnsi="Sylfaen"/>
          <w:b/>
          <w:bCs/>
          <w:sz w:val="20"/>
          <w:szCs w:val="20"/>
          <w:lang w:val="ka-GE"/>
        </w:rPr>
        <w:t xml:space="preserve"> 2019 </w:t>
      </w:r>
      <w:r w:rsidRPr="000F4F77">
        <w:rPr>
          <w:rFonts w:ascii="Sylfaen" w:hAnsi="Sylfaen" w:cs="Sylfaen"/>
          <w:b/>
          <w:bCs/>
          <w:sz w:val="20"/>
          <w:szCs w:val="20"/>
          <w:lang w:val="ka-GE"/>
        </w:rPr>
        <w:t>წლის</w:t>
      </w:r>
      <w:r w:rsidRPr="000F4F77">
        <w:rPr>
          <w:rFonts w:ascii="Sylfaen" w:hAnsi="Sylfaen"/>
          <w:b/>
          <w:bCs/>
          <w:sz w:val="20"/>
          <w:szCs w:val="20"/>
          <w:lang w:val="ka-GE"/>
        </w:rPr>
        <w:t xml:space="preserve"> 30 </w:t>
      </w:r>
      <w:r w:rsidRPr="000F4F77">
        <w:rPr>
          <w:rFonts w:ascii="Sylfaen" w:hAnsi="Sylfaen" w:cs="Sylfaen"/>
          <w:b/>
          <w:bCs/>
          <w:sz w:val="20"/>
          <w:szCs w:val="20"/>
          <w:lang w:val="ka-GE"/>
        </w:rPr>
        <w:t>აპრილის</w:t>
      </w:r>
      <w:r w:rsidRPr="000F4F77">
        <w:rPr>
          <w:rFonts w:ascii="Sylfaen" w:hAnsi="Sylfaen"/>
          <w:b/>
          <w:bCs/>
          <w:sz w:val="20"/>
          <w:szCs w:val="20"/>
          <w:lang w:val="ka-GE"/>
        </w:rPr>
        <w:t xml:space="preserve"> N266/9  </w:t>
      </w:r>
      <w:r w:rsidRPr="000F4F77">
        <w:rPr>
          <w:rFonts w:ascii="Sylfaen" w:hAnsi="Sylfaen" w:cs="Sylfaen"/>
          <w:b/>
          <w:bCs/>
          <w:sz w:val="20"/>
          <w:szCs w:val="20"/>
          <w:lang w:val="ka-GE"/>
        </w:rPr>
        <w:t>გადაწყვეტილების</w:t>
      </w:r>
      <w:r w:rsidRPr="000F4F77">
        <w:rPr>
          <w:rFonts w:ascii="Sylfaen" w:hAnsi="Sylfaen"/>
          <w:b/>
          <w:bCs/>
          <w:sz w:val="20"/>
          <w:szCs w:val="20"/>
          <w:lang w:val="ka-GE"/>
        </w:rPr>
        <w:t xml:space="preserve"> </w:t>
      </w:r>
      <w:r w:rsidRPr="000F4F77">
        <w:rPr>
          <w:rFonts w:ascii="Sylfaen" w:hAnsi="Sylfaen" w:cs="Sylfaen"/>
          <w:b/>
          <w:bCs/>
          <w:sz w:val="20"/>
          <w:szCs w:val="20"/>
          <w:lang w:val="ka-GE"/>
        </w:rPr>
        <w:t>ძალადაკარგულად</w:t>
      </w:r>
      <w:r w:rsidRPr="000F4F77">
        <w:rPr>
          <w:rFonts w:ascii="Sylfaen" w:hAnsi="Sylfaen"/>
          <w:b/>
          <w:bCs/>
          <w:sz w:val="20"/>
          <w:szCs w:val="20"/>
          <w:lang w:val="ka-GE"/>
        </w:rPr>
        <w:t xml:space="preserve"> </w:t>
      </w:r>
      <w:r w:rsidRPr="000F4F77">
        <w:rPr>
          <w:rFonts w:ascii="Sylfaen" w:hAnsi="Sylfaen" w:cs="Sylfaen"/>
          <w:b/>
          <w:bCs/>
          <w:sz w:val="20"/>
          <w:szCs w:val="20"/>
          <w:lang w:val="ka-GE"/>
        </w:rPr>
        <w:t>გამოცხადების</w:t>
      </w:r>
      <w:r w:rsidRPr="000F4F77">
        <w:rPr>
          <w:rFonts w:ascii="Sylfaen" w:hAnsi="Sylfaen"/>
          <w:b/>
          <w:bCs/>
          <w:sz w:val="20"/>
          <w:szCs w:val="20"/>
          <w:lang w:val="ka-GE"/>
        </w:rPr>
        <w:t xml:space="preserve"> მიზნით საჯარო ადმინისტრაციული </w:t>
      </w:r>
      <w:r w:rsidRPr="000F4F77">
        <w:rPr>
          <w:rFonts w:ascii="Sylfaen" w:hAnsi="Sylfaen" w:cs="Sylfaen"/>
          <w:b/>
          <w:bCs/>
          <w:sz w:val="20"/>
          <w:szCs w:val="20"/>
          <w:lang w:val="ka-GE"/>
        </w:rPr>
        <w:t>წარმოების</w:t>
      </w:r>
      <w:r w:rsidRPr="000F4F77">
        <w:rPr>
          <w:rFonts w:ascii="Sylfaen" w:hAnsi="Sylfaen"/>
          <w:b/>
          <w:bCs/>
          <w:sz w:val="20"/>
          <w:szCs w:val="20"/>
          <w:lang w:val="ka-GE"/>
        </w:rPr>
        <w:t xml:space="preserve"> </w:t>
      </w:r>
      <w:r w:rsidRPr="000F4F77">
        <w:rPr>
          <w:rFonts w:ascii="Sylfaen" w:hAnsi="Sylfaen" w:cs="Sylfaen"/>
          <w:b/>
          <w:bCs/>
          <w:sz w:val="20"/>
          <w:szCs w:val="20"/>
          <w:lang w:val="ka-GE"/>
        </w:rPr>
        <w:t>დაწყების</w:t>
      </w:r>
      <w:r w:rsidRPr="000F4F77">
        <w:rPr>
          <w:rFonts w:ascii="Sylfaen" w:hAnsi="Sylfaen"/>
          <w:b/>
          <w:bCs/>
          <w:sz w:val="20"/>
          <w:szCs w:val="20"/>
          <w:lang w:val="ka-GE"/>
        </w:rPr>
        <w:t xml:space="preserve"> </w:t>
      </w:r>
      <w:r w:rsidRPr="000F4F77">
        <w:rPr>
          <w:rFonts w:ascii="Sylfaen" w:hAnsi="Sylfaen" w:cs="Sylfaen"/>
          <w:b/>
          <w:bCs/>
          <w:sz w:val="20"/>
          <w:szCs w:val="20"/>
          <w:lang w:val="ka-GE"/>
        </w:rPr>
        <w:t>თაობაზე</w:t>
      </w:r>
      <w:r w:rsidR="0040048B" w:rsidRPr="000F4F77">
        <w:rPr>
          <w:rFonts w:ascii="Sylfaen" w:hAnsi="Sylfaen" w:cs="Sylfaen"/>
          <w:b/>
          <w:bCs/>
          <w:sz w:val="20"/>
          <w:szCs w:val="20"/>
          <w:lang w:val="ka-GE"/>
        </w:rPr>
        <w:t>“</w:t>
      </w:r>
      <w:r w:rsidR="000A6161" w:rsidRPr="000F4F77">
        <w:rPr>
          <w:rFonts w:ascii="Sylfaen" w:hAnsi="Sylfaen" w:cs="Sylfaen"/>
          <w:b/>
          <w:bCs/>
          <w:sz w:val="20"/>
          <w:szCs w:val="20"/>
          <w:lang w:val="ka-GE"/>
        </w:rPr>
        <w:t xml:space="preserve">. </w:t>
      </w:r>
    </w:p>
    <w:p w14:paraId="4C94E702" w14:textId="77777777" w:rsidR="00D76AB2" w:rsidRPr="000F4F77" w:rsidRDefault="00D76AB2" w:rsidP="009F4D8A">
      <w:pPr>
        <w:spacing w:after="0" w:line="240" w:lineRule="auto"/>
        <w:jc w:val="both"/>
        <w:rPr>
          <w:rFonts w:ascii="Sylfaen" w:hAnsi="Sylfaen" w:cs="Sylfaen"/>
          <w:sz w:val="20"/>
          <w:szCs w:val="20"/>
          <w:lang w:val="ka-GE"/>
        </w:rPr>
      </w:pPr>
    </w:p>
    <w:p w14:paraId="48C8FBD8" w14:textId="5C0B5644" w:rsidR="009F4D8A" w:rsidRPr="000F4F77" w:rsidRDefault="008F6E01" w:rsidP="009F4D8A">
      <w:pPr>
        <w:spacing w:after="0" w:line="240" w:lineRule="auto"/>
        <w:jc w:val="both"/>
        <w:rPr>
          <w:rFonts w:ascii="Sylfaen" w:hAnsi="Sylfaen" w:cs="Sylfaen"/>
          <w:sz w:val="20"/>
          <w:szCs w:val="20"/>
          <w:lang w:val="ka-GE"/>
        </w:rPr>
      </w:pPr>
      <w:bookmarkStart w:id="0" w:name="_Hlk175174668"/>
      <w:r w:rsidRPr="000F4F77">
        <w:rPr>
          <w:rFonts w:ascii="Sylfaen" w:hAnsi="Sylfaen"/>
          <w:sz w:val="20"/>
          <w:szCs w:val="20"/>
          <w:lang w:val="ka-GE"/>
        </w:rPr>
        <w:t>,,</w:t>
      </w:r>
      <w:r w:rsidR="00BA2E58" w:rsidRPr="000F4F77">
        <w:rPr>
          <w:rFonts w:ascii="Sylfaen" w:hAnsi="Sylfaen" w:cs="Sylfaen"/>
          <w:sz w:val="20"/>
          <w:szCs w:val="20"/>
          <w:lang w:val="ka-GE"/>
        </w:rPr>
        <w:t xml:space="preserve">ფიქსირებული საცალო ხმოვანი, მაუწყებლობის ტრანზიტის საცალო და ფიქსირებული ინტერნეტის საცალო მომსახურებების </w:t>
      </w:r>
      <w:bookmarkEnd w:id="0"/>
      <w:r w:rsidR="00BA2E58" w:rsidRPr="000F4F77">
        <w:rPr>
          <w:rFonts w:ascii="Sylfaen" w:hAnsi="Sylfaen" w:cs="Sylfaen"/>
          <w:sz w:val="20"/>
          <w:szCs w:val="20"/>
          <w:lang w:val="ka-GE"/>
        </w:rPr>
        <w:t>ბაზრის შესაბამის სეგმენტებზე კონკურენციის კვლევისა და ანალიზის შედეგების შესახებ”</w:t>
      </w:r>
      <w:r w:rsidR="000F4F77" w:rsidRPr="000F4F77">
        <w:rPr>
          <w:rFonts w:ascii="Sylfaen" w:hAnsi="Sylfaen" w:cs="Sylfaen"/>
          <w:sz w:val="20"/>
          <w:szCs w:val="20"/>
          <w:lang w:val="ka-GE"/>
        </w:rPr>
        <w:t xml:space="preserve"> </w:t>
      </w:r>
      <w:r w:rsidR="0040048B" w:rsidRPr="000F4F77">
        <w:rPr>
          <w:rFonts w:ascii="Sylfaen" w:hAnsi="Sylfaen" w:cs="Sylfaen"/>
          <w:sz w:val="20"/>
          <w:szCs w:val="20"/>
          <w:lang w:val="ka-GE"/>
        </w:rPr>
        <w:t>კომისიის</w:t>
      </w:r>
      <w:r w:rsidR="0040048B" w:rsidRPr="000F4F77">
        <w:rPr>
          <w:rFonts w:ascii="Sylfaen" w:hAnsi="Sylfaen"/>
          <w:sz w:val="20"/>
          <w:szCs w:val="20"/>
          <w:lang w:val="ka-GE"/>
        </w:rPr>
        <w:t xml:space="preserve"> 2019 </w:t>
      </w:r>
      <w:r w:rsidR="0040048B" w:rsidRPr="000F4F77">
        <w:rPr>
          <w:rFonts w:ascii="Sylfaen" w:hAnsi="Sylfaen" w:cs="Sylfaen"/>
          <w:sz w:val="20"/>
          <w:szCs w:val="20"/>
          <w:lang w:val="ka-GE"/>
        </w:rPr>
        <w:t>წლის</w:t>
      </w:r>
      <w:r w:rsidR="0040048B" w:rsidRPr="000F4F77">
        <w:rPr>
          <w:rFonts w:ascii="Sylfaen" w:hAnsi="Sylfaen"/>
          <w:sz w:val="20"/>
          <w:szCs w:val="20"/>
          <w:lang w:val="ka-GE"/>
        </w:rPr>
        <w:t xml:space="preserve"> 30 </w:t>
      </w:r>
      <w:r w:rsidR="0040048B" w:rsidRPr="000F4F77">
        <w:rPr>
          <w:rFonts w:ascii="Sylfaen" w:hAnsi="Sylfaen" w:cs="Sylfaen"/>
          <w:sz w:val="20"/>
          <w:szCs w:val="20"/>
          <w:lang w:val="ka-GE"/>
        </w:rPr>
        <w:t>აპრილის</w:t>
      </w:r>
      <w:r w:rsidR="0040048B" w:rsidRPr="000F4F77">
        <w:rPr>
          <w:rFonts w:ascii="Sylfaen" w:hAnsi="Sylfaen"/>
          <w:sz w:val="20"/>
          <w:szCs w:val="20"/>
          <w:lang w:val="ka-GE"/>
        </w:rPr>
        <w:t xml:space="preserve"> N</w:t>
      </w:r>
      <w:r w:rsidR="0040048B" w:rsidRPr="000F4F77">
        <w:rPr>
          <w:rFonts w:ascii="Sylfaen" w:hAnsi="Sylfaen" w:cs="Sylfaen"/>
          <w:sz w:val="20"/>
          <w:szCs w:val="20"/>
          <w:lang w:val="ka-GE"/>
        </w:rPr>
        <w:t>266/9 გადაწყვეტილებით</w:t>
      </w:r>
      <w:r w:rsidR="0040048B" w:rsidRPr="000F4F77">
        <w:rPr>
          <w:rFonts w:ascii="Sylfaen" w:hAnsi="Sylfaen"/>
          <w:sz w:val="20"/>
          <w:szCs w:val="20"/>
          <w:lang w:val="ka-GE"/>
        </w:rPr>
        <w:t xml:space="preserve"> </w:t>
      </w:r>
      <w:r w:rsidR="00BA2E58" w:rsidRPr="000F4F77">
        <w:rPr>
          <w:rFonts w:ascii="Sylfaen" w:hAnsi="Sylfaen" w:cs="Sylfaen"/>
          <w:sz w:val="20"/>
          <w:szCs w:val="20"/>
          <w:lang w:val="ka-GE"/>
        </w:rPr>
        <w:t xml:space="preserve">  </w:t>
      </w:r>
      <w:r w:rsidR="00D9055D" w:rsidRPr="000F4F77">
        <w:rPr>
          <w:rFonts w:ascii="Sylfaen" w:hAnsi="Sylfaen" w:cs="Sylfaen"/>
          <w:sz w:val="20"/>
          <w:szCs w:val="20"/>
          <w:lang w:val="ka-GE"/>
        </w:rPr>
        <w:t>რეგულაციას და</w:t>
      </w:r>
      <w:r w:rsidR="00533D40" w:rsidRPr="000F4F77">
        <w:rPr>
          <w:rFonts w:ascii="Sylfaen" w:hAnsi="Sylfaen" w:cs="Sylfaen"/>
          <w:sz w:val="20"/>
          <w:szCs w:val="20"/>
          <w:lang w:val="ka-GE"/>
        </w:rPr>
        <w:t>ე</w:t>
      </w:r>
      <w:r w:rsidR="00D9055D" w:rsidRPr="000F4F77">
        <w:rPr>
          <w:rFonts w:ascii="Sylfaen" w:hAnsi="Sylfaen" w:cs="Sylfaen"/>
          <w:sz w:val="20"/>
          <w:szCs w:val="20"/>
          <w:lang w:val="ka-GE"/>
        </w:rPr>
        <w:t xml:space="preserve">ქვემდებარა </w:t>
      </w:r>
      <w:r w:rsidR="00B534AC" w:rsidRPr="000F4F77">
        <w:rPr>
          <w:rFonts w:ascii="Sylfaen" w:hAnsi="Sylfaen" w:cs="Sylfaen"/>
          <w:sz w:val="20"/>
          <w:szCs w:val="20"/>
          <w:lang w:val="ka-GE"/>
        </w:rPr>
        <w:t>ფიქსირებული ინტერნეტის საცალო მომსახურების ბაზრის შესაბამისი სეგმენტ</w:t>
      </w:r>
      <w:r w:rsidR="00D9055D" w:rsidRPr="000F4F77">
        <w:rPr>
          <w:rFonts w:ascii="Sylfaen" w:hAnsi="Sylfaen" w:cs="Sylfaen"/>
          <w:sz w:val="20"/>
          <w:szCs w:val="20"/>
          <w:lang w:val="ka-GE"/>
        </w:rPr>
        <w:t>ი და მასზე</w:t>
      </w:r>
      <w:r w:rsidR="00D9055D" w:rsidRPr="000F4F77">
        <w:rPr>
          <w:rFonts w:ascii="Sylfaen" w:hAnsi="Sylfaen"/>
          <w:sz w:val="20"/>
          <w:szCs w:val="20"/>
          <w:lang w:val="ka-GE"/>
        </w:rPr>
        <w:t xml:space="preserve"> მნიშვნელოვანი საბაზრო ძალაუფლების მქონე პირებად განისაზღვრნენ შპს „მაგთიკომი“ და სს „სილქნეტი</w:t>
      </w:r>
      <w:r w:rsidR="007F2FA6" w:rsidRPr="000F4F77">
        <w:rPr>
          <w:rFonts w:ascii="Sylfaen" w:hAnsi="Sylfaen"/>
          <w:sz w:val="20"/>
          <w:szCs w:val="20"/>
          <w:lang w:val="ka-GE"/>
        </w:rPr>
        <w:t>“</w:t>
      </w:r>
      <w:r w:rsidR="00726A3C" w:rsidRPr="000F4F77">
        <w:rPr>
          <w:rFonts w:ascii="Sylfaen" w:hAnsi="Sylfaen"/>
          <w:sz w:val="20"/>
          <w:szCs w:val="20"/>
          <w:lang w:val="ka-GE"/>
        </w:rPr>
        <w:t>, რომლებსაც</w:t>
      </w:r>
      <w:r w:rsidR="009F4D8A" w:rsidRPr="000F4F77">
        <w:rPr>
          <w:rFonts w:ascii="Sylfaen" w:hAnsi="Sylfaen"/>
          <w:sz w:val="20"/>
          <w:szCs w:val="20"/>
          <w:lang w:val="ka-GE"/>
        </w:rPr>
        <w:t>,</w:t>
      </w:r>
      <w:r w:rsidR="00726A3C" w:rsidRPr="000F4F77">
        <w:rPr>
          <w:rFonts w:ascii="Sylfaen" w:hAnsi="Sylfaen"/>
          <w:sz w:val="20"/>
          <w:szCs w:val="20"/>
          <w:lang w:val="ka-GE"/>
        </w:rPr>
        <w:t xml:space="preserve"> ამავე </w:t>
      </w:r>
      <w:r w:rsidR="00830DD3" w:rsidRPr="000F4F77">
        <w:rPr>
          <w:rFonts w:ascii="Sylfaen" w:hAnsi="Sylfaen"/>
          <w:sz w:val="20"/>
          <w:szCs w:val="20"/>
          <w:lang w:val="ka-GE"/>
        </w:rPr>
        <w:t xml:space="preserve">გადაწყვეტილების ფარგლებში </w:t>
      </w:r>
      <w:r w:rsidR="00726A3C" w:rsidRPr="000F4F77">
        <w:rPr>
          <w:rFonts w:ascii="Sylfaen" w:hAnsi="Sylfaen"/>
          <w:sz w:val="20"/>
          <w:szCs w:val="20"/>
          <w:lang w:val="ka-GE"/>
        </w:rPr>
        <w:t xml:space="preserve">განსაზღვრულ გეოგრაფიულ </w:t>
      </w:r>
      <w:r w:rsidR="006A487A" w:rsidRPr="000F4F77">
        <w:rPr>
          <w:rFonts w:ascii="Sylfaen" w:hAnsi="Sylfaen"/>
          <w:sz w:val="20"/>
          <w:szCs w:val="20"/>
          <w:lang w:val="ka-GE"/>
        </w:rPr>
        <w:t>საზღვრებში</w:t>
      </w:r>
      <w:r w:rsidR="009F4D8A" w:rsidRPr="000F4F77">
        <w:rPr>
          <w:rFonts w:ascii="Sylfaen" w:hAnsi="Sylfaen"/>
          <w:sz w:val="20"/>
          <w:szCs w:val="20"/>
          <w:lang w:val="ka-GE"/>
        </w:rPr>
        <w:t>,</w:t>
      </w:r>
      <w:r w:rsidR="00726A3C" w:rsidRPr="000F4F77">
        <w:rPr>
          <w:rFonts w:ascii="Sylfaen" w:hAnsi="Sylfaen"/>
          <w:sz w:val="20"/>
          <w:szCs w:val="20"/>
          <w:lang w:val="ka-GE"/>
        </w:rPr>
        <w:t xml:space="preserve"> </w:t>
      </w:r>
      <w:r w:rsidR="00830DD3" w:rsidRPr="000F4F77">
        <w:rPr>
          <w:rFonts w:ascii="Sylfaen" w:hAnsi="Sylfaen"/>
          <w:sz w:val="20"/>
          <w:szCs w:val="20"/>
          <w:lang w:val="ka-GE"/>
        </w:rPr>
        <w:t xml:space="preserve">დაეკისრათ </w:t>
      </w:r>
      <w:r w:rsidR="00830DD3" w:rsidRPr="000F4F77">
        <w:rPr>
          <w:rFonts w:ascii="Sylfaen" w:hAnsi="Sylfaen" w:cs="Sylfaen"/>
          <w:sz w:val="20"/>
          <w:szCs w:val="20"/>
          <w:lang w:val="ka-GE"/>
        </w:rPr>
        <w:t>დანახარჯებისა და შემოსავლების განცალკევებულად აღრიცხვის ვალდებულება, შემდეგი კონკრეტული პირობით:</w:t>
      </w:r>
      <w:r w:rsidR="00533D40" w:rsidRPr="000F4F77">
        <w:rPr>
          <w:rFonts w:ascii="Sylfaen" w:hAnsi="Sylfaen" w:cs="Sylfaen"/>
          <w:sz w:val="20"/>
          <w:szCs w:val="20"/>
          <w:lang w:val="ka-GE"/>
        </w:rPr>
        <w:t xml:space="preserve"> </w:t>
      </w:r>
      <w:r w:rsidR="0040048B" w:rsidRPr="000F4F77">
        <w:rPr>
          <w:rFonts w:ascii="Sylfaen" w:hAnsi="Sylfaen" w:cs="Sylfaen"/>
          <w:sz w:val="20"/>
          <w:szCs w:val="20"/>
          <w:lang w:val="ka-GE"/>
        </w:rPr>
        <w:t>,,</w:t>
      </w:r>
      <w:r w:rsidR="00830DD3" w:rsidRPr="000F4F77">
        <w:rPr>
          <w:rFonts w:ascii="Sylfaen" w:hAnsi="Sylfaen" w:cs="Sylfaen"/>
          <w:sz w:val="20"/>
          <w:szCs w:val="20"/>
          <w:lang w:val="ka-GE"/>
        </w:rPr>
        <w:t xml:space="preserve">ა) მნიშვნელოვანი საბაზრო ძალაუფლების მქონე ავტორიზებული პირი ვალდებულია არ დაუშვას კონკურენციის შემზღუდავი ქმედებები, მათ შორის, მომხმარებელთა რომელიმე ჯგუფის სატარიფო შეღავათების სუბსიდირება სხვა ავტორიზებულ პირთა ან მომხმარებელთა ჯგუფების ხარჯზე; ბ) კომისიის 2006 წლის 20 აპრილის N5 დადგენილებით დამტკიცებული </w:t>
      </w:r>
      <w:r w:rsidR="0040048B" w:rsidRPr="000F4F77">
        <w:rPr>
          <w:rFonts w:ascii="Sylfaen" w:hAnsi="Sylfaen" w:cs="Sylfaen"/>
          <w:sz w:val="20"/>
          <w:szCs w:val="20"/>
          <w:lang w:val="ka-GE"/>
        </w:rPr>
        <w:t>,,</w:t>
      </w:r>
      <w:r w:rsidR="00830DD3" w:rsidRPr="000F4F77">
        <w:rPr>
          <w:rFonts w:ascii="Sylfaen" w:hAnsi="Sylfaen" w:cs="Sylfaen"/>
          <w:sz w:val="20"/>
          <w:szCs w:val="20"/>
          <w:lang w:val="ka-GE"/>
        </w:rPr>
        <w:t>ავტორიზებული პირების მიერ ხარჯთაღრიცხვისა და დანახარჯების განცალკევებულად განაწილების მეთოდოლოგიური წესების“ მიხედვით მომზადებული ყოველწლიური შემოსავლების და დანახარჯების განცალკევებული აღრიცხვის ანგარიშის კომისიაში წარმოდგენა. ანგარიშში განცალკევებული უნდა იყოს ფიზიკური/იურიდიული პირების, ასევე მაუწყებლობის ტრანზიტის საცალო მომსახურების ყოველწლიური შემოსავლები და დანახარჯები</w:t>
      </w:r>
      <w:r w:rsidR="0040048B" w:rsidRPr="000F4F77">
        <w:rPr>
          <w:rFonts w:ascii="Sylfaen" w:hAnsi="Sylfaen" w:cs="Sylfaen"/>
          <w:sz w:val="20"/>
          <w:szCs w:val="20"/>
          <w:lang w:val="ka-GE"/>
        </w:rPr>
        <w:t>“</w:t>
      </w:r>
      <w:r w:rsidR="00830DD3" w:rsidRPr="000F4F77">
        <w:rPr>
          <w:rFonts w:ascii="Sylfaen" w:hAnsi="Sylfaen" w:cs="Sylfaen"/>
          <w:sz w:val="20"/>
          <w:szCs w:val="20"/>
          <w:lang w:val="ka-GE"/>
        </w:rPr>
        <w:t>.</w:t>
      </w:r>
    </w:p>
    <w:p w14:paraId="033C6531" w14:textId="77777777" w:rsidR="005B0ED3" w:rsidRPr="000F4F77" w:rsidRDefault="005B0ED3" w:rsidP="009F4D8A">
      <w:pPr>
        <w:spacing w:after="0" w:line="240" w:lineRule="auto"/>
        <w:jc w:val="both"/>
        <w:rPr>
          <w:rFonts w:ascii="Sylfaen" w:hAnsi="Sylfaen" w:cs="Sylfaen"/>
          <w:sz w:val="20"/>
          <w:szCs w:val="20"/>
          <w:lang w:val="ka-GE"/>
        </w:rPr>
      </w:pPr>
    </w:p>
    <w:p w14:paraId="0DA28756" w14:textId="68B4D6F6" w:rsidR="00556654" w:rsidRPr="000F4F77" w:rsidRDefault="003757C5" w:rsidP="009F4D8A">
      <w:pPr>
        <w:spacing w:line="240" w:lineRule="auto"/>
        <w:jc w:val="both"/>
        <w:rPr>
          <w:rFonts w:ascii="Sylfaen" w:hAnsi="Sylfaen" w:cs="Sylfaen"/>
          <w:sz w:val="20"/>
          <w:szCs w:val="20"/>
          <w:lang w:val="ka-GE"/>
        </w:rPr>
      </w:pPr>
      <w:r w:rsidRPr="000F4F77">
        <w:rPr>
          <w:rFonts w:ascii="Sylfaen" w:hAnsi="Sylfaen" w:cs="Sylfaen"/>
          <w:sz w:val="20"/>
          <w:szCs w:val="20"/>
          <w:lang w:val="ka-GE"/>
        </w:rPr>
        <w:lastRenderedPageBreak/>
        <w:t>კომისიამ</w:t>
      </w:r>
      <w:r w:rsidR="00C53998" w:rsidRPr="000F4F77">
        <w:rPr>
          <w:rFonts w:ascii="Sylfaen" w:hAnsi="Sylfaen" w:cs="Sylfaen"/>
          <w:sz w:val="20"/>
          <w:szCs w:val="20"/>
          <w:lang w:val="ka-GE"/>
        </w:rPr>
        <w:t xml:space="preserve">, ხელახლა განახორციელა </w:t>
      </w:r>
      <w:r w:rsidR="00C53998" w:rsidRPr="000F4F77">
        <w:rPr>
          <w:rFonts w:ascii="Sylfaen" w:hAnsi="Sylfaen"/>
          <w:sz w:val="20"/>
          <w:szCs w:val="20"/>
          <w:lang w:val="ka-GE"/>
        </w:rPr>
        <w:t xml:space="preserve">2019 </w:t>
      </w:r>
      <w:r w:rsidR="00C53998" w:rsidRPr="000F4F77">
        <w:rPr>
          <w:rFonts w:ascii="Sylfaen" w:hAnsi="Sylfaen" w:cs="Sylfaen"/>
          <w:sz w:val="20"/>
          <w:szCs w:val="20"/>
          <w:lang w:val="ka-GE"/>
        </w:rPr>
        <w:t>წლის</w:t>
      </w:r>
      <w:r w:rsidR="00C53998" w:rsidRPr="000F4F77">
        <w:rPr>
          <w:rFonts w:ascii="Sylfaen" w:hAnsi="Sylfaen"/>
          <w:sz w:val="20"/>
          <w:szCs w:val="20"/>
          <w:lang w:val="ka-GE"/>
        </w:rPr>
        <w:t xml:space="preserve"> 30 </w:t>
      </w:r>
      <w:r w:rsidR="00C53998" w:rsidRPr="000F4F77">
        <w:rPr>
          <w:rFonts w:ascii="Sylfaen" w:hAnsi="Sylfaen" w:cs="Sylfaen"/>
          <w:sz w:val="20"/>
          <w:szCs w:val="20"/>
          <w:lang w:val="ka-GE"/>
        </w:rPr>
        <w:t>აპრილის</w:t>
      </w:r>
      <w:r w:rsidR="00C53998" w:rsidRPr="000F4F77">
        <w:rPr>
          <w:rFonts w:ascii="Sylfaen" w:hAnsi="Sylfaen"/>
          <w:sz w:val="20"/>
          <w:szCs w:val="20"/>
          <w:lang w:val="ka-GE"/>
        </w:rPr>
        <w:t xml:space="preserve"> N</w:t>
      </w:r>
      <w:r w:rsidR="00C53998" w:rsidRPr="000F4F77">
        <w:rPr>
          <w:rFonts w:ascii="Sylfaen" w:hAnsi="Sylfaen" w:cs="Sylfaen"/>
          <w:sz w:val="20"/>
          <w:szCs w:val="20"/>
          <w:lang w:val="ka-GE"/>
        </w:rPr>
        <w:t>266/9 გადაწყვეტილებით</w:t>
      </w:r>
      <w:r w:rsidR="00C53998" w:rsidRPr="000F4F77">
        <w:rPr>
          <w:rFonts w:ascii="Sylfaen" w:hAnsi="Sylfaen"/>
          <w:sz w:val="20"/>
          <w:szCs w:val="20"/>
          <w:lang w:val="ka-GE"/>
        </w:rPr>
        <w:t xml:space="preserve"> </w:t>
      </w:r>
      <w:r w:rsidR="00C53998" w:rsidRPr="000F4F77">
        <w:rPr>
          <w:rFonts w:ascii="Sylfaen" w:hAnsi="Sylfaen" w:cs="Sylfaen"/>
          <w:sz w:val="20"/>
          <w:szCs w:val="20"/>
          <w:lang w:val="ka-GE"/>
        </w:rPr>
        <w:t xml:space="preserve">  რეგულირებას დაქვემდებარებული </w:t>
      </w:r>
      <w:r w:rsidRPr="000F4F77">
        <w:rPr>
          <w:rFonts w:ascii="Sylfaen" w:hAnsi="Sylfaen" w:cs="Sylfaen"/>
          <w:sz w:val="20"/>
          <w:szCs w:val="20"/>
          <w:lang w:val="ka-GE"/>
        </w:rPr>
        <w:t xml:space="preserve"> </w:t>
      </w:r>
      <w:r w:rsidR="00C53998" w:rsidRPr="000F4F77">
        <w:rPr>
          <w:rFonts w:ascii="Sylfaen" w:hAnsi="Sylfaen" w:cs="Sylfaen"/>
          <w:sz w:val="20"/>
          <w:szCs w:val="20"/>
          <w:lang w:val="ka-GE"/>
        </w:rPr>
        <w:t xml:space="preserve">ფიქსირებული ინტერნეტის საცალო მომსახურების ბაზრის შესაბამისი სეგმენტის ანალიზი, რომლის ფარგლებშიც შეისწავლა  აღნიშნული საცალო ბაზარი და მასზე გამოვლენილი კონკურენტული პრობლემების აღმოფხვრის მიზნით </w:t>
      </w:r>
      <w:r w:rsidRPr="000F4F77">
        <w:rPr>
          <w:rFonts w:ascii="Sylfaen" w:hAnsi="Sylfaen" w:cs="Sylfaen"/>
          <w:sz w:val="20"/>
          <w:szCs w:val="20"/>
          <w:lang w:val="ka-GE"/>
        </w:rPr>
        <w:t>2024 წლის 8 აგვისტოს</w:t>
      </w:r>
      <w:r w:rsidR="00C53998" w:rsidRPr="000F4F77">
        <w:rPr>
          <w:rFonts w:ascii="Sylfaen" w:hAnsi="Sylfaen" w:cs="Sylfaen"/>
          <w:sz w:val="20"/>
          <w:szCs w:val="20"/>
          <w:lang w:val="ka-GE"/>
        </w:rPr>
        <w:t xml:space="preserve"> </w:t>
      </w:r>
      <w:r w:rsidRPr="000F4F77">
        <w:rPr>
          <w:rFonts w:ascii="Sylfaen" w:hAnsi="Sylfaen" w:cs="Sylfaen"/>
          <w:sz w:val="20"/>
          <w:szCs w:val="20"/>
          <w:lang w:val="ka-GE"/>
        </w:rPr>
        <w:t>მი</w:t>
      </w:r>
      <w:r w:rsidR="00C53998" w:rsidRPr="000F4F77">
        <w:rPr>
          <w:rFonts w:ascii="Sylfaen" w:hAnsi="Sylfaen" w:cs="Sylfaen"/>
          <w:sz w:val="20"/>
          <w:szCs w:val="20"/>
          <w:lang w:val="ka-GE"/>
        </w:rPr>
        <w:t>ღებული</w:t>
      </w:r>
      <w:r w:rsidRPr="000F4F77">
        <w:rPr>
          <w:rFonts w:ascii="Sylfaen" w:hAnsi="Sylfaen" w:cs="Sylfaen"/>
          <w:sz w:val="20"/>
          <w:szCs w:val="20"/>
          <w:lang w:val="ka-GE"/>
        </w:rPr>
        <w:t xml:space="preserve"> Nგ-24-9/361 გადაწყვეტილებ</w:t>
      </w:r>
      <w:r w:rsidR="00C53998" w:rsidRPr="000F4F77">
        <w:rPr>
          <w:rFonts w:ascii="Sylfaen" w:hAnsi="Sylfaen" w:cs="Sylfaen"/>
          <w:sz w:val="20"/>
          <w:szCs w:val="20"/>
          <w:lang w:val="ka-GE"/>
        </w:rPr>
        <w:t>ით</w:t>
      </w:r>
      <w:r w:rsidRPr="000F4F77">
        <w:rPr>
          <w:rFonts w:ascii="Sylfaen" w:hAnsi="Sylfaen" w:cs="Sylfaen"/>
          <w:sz w:val="20"/>
          <w:szCs w:val="20"/>
          <w:lang w:val="ka-GE"/>
        </w:rPr>
        <w:t xml:space="preserve"> </w:t>
      </w:r>
      <w:r w:rsidR="009F4D8A" w:rsidRPr="000F4F77">
        <w:rPr>
          <w:rFonts w:ascii="Sylfaen" w:hAnsi="Sylfaen" w:cs="Sylfaen"/>
          <w:sz w:val="20"/>
          <w:szCs w:val="20"/>
          <w:lang w:val="ka-GE"/>
        </w:rPr>
        <w:t>,,</w:t>
      </w:r>
      <w:r w:rsidRPr="000F4F77">
        <w:rPr>
          <w:rFonts w:ascii="Sylfaen" w:hAnsi="Sylfaen" w:cs="Sylfaen"/>
          <w:sz w:val="20"/>
          <w:szCs w:val="20"/>
          <w:lang w:val="ka-GE"/>
        </w:rPr>
        <w:t>ფიქსირებული ფართოზოლოვანი ინტერნეტ მომსახურების ბაზრის სეგმენტზე კონკურენციის კვლევ</w:t>
      </w:r>
      <w:r w:rsidR="007F2FA6" w:rsidRPr="000F4F77">
        <w:rPr>
          <w:rFonts w:ascii="Sylfaen" w:hAnsi="Sylfaen" w:cs="Sylfaen"/>
          <w:sz w:val="20"/>
          <w:szCs w:val="20"/>
          <w:lang w:val="ka-GE"/>
        </w:rPr>
        <w:t>ისა</w:t>
      </w:r>
      <w:r w:rsidRPr="000F4F77">
        <w:rPr>
          <w:rFonts w:ascii="Sylfaen" w:hAnsi="Sylfaen" w:cs="Sylfaen"/>
          <w:sz w:val="20"/>
          <w:szCs w:val="20"/>
          <w:lang w:val="ka-GE"/>
        </w:rPr>
        <w:t xml:space="preserve"> და ანალიზის შესახებ</w:t>
      </w:r>
      <w:r w:rsidR="007F2FA6" w:rsidRPr="000F4F77">
        <w:rPr>
          <w:rFonts w:ascii="Sylfaen" w:hAnsi="Sylfaen" w:cs="Sylfaen"/>
          <w:sz w:val="20"/>
          <w:szCs w:val="20"/>
          <w:lang w:val="ka-GE"/>
        </w:rPr>
        <w:t>”</w:t>
      </w:r>
      <w:r w:rsidRPr="000F4F77">
        <w:rPr>
          <w:rFonts w:ascii="Sylfaen" w:hAnsi="Sylfaen" w:cs="Sylfaen"/>
          <w:sz w:val="20"/>
          <w:szCs w:val="20"/>
          <w:lang w:val="ka-GE"/>
        </w:rPr>
        <w:t>,  განსაზღვრა მარეგულირებელი ჩარჩო</w:t>
      </w:r>
      <w:r w:rsidR="00291E93" w:rsidRPr="000F4F77">
        <w:rPr>
          <w:rFonts w:ascii="Sylfaen" w:hAnsi="Sylfaen" w:cs="Sylfaen"/>
          <w:sz w:val="20"/>
          <w:szCs w:val="20"/>
          <w:lang w:val="ka-GE"/>
        </w:rPr>
        <w:t xml:space="preserve"> შესაბამის საბითუმო </w:t>
      </w:r>
      <w:r w:rsidRPr="000F4F77">
        <w:rPr>
          <w:rFonts w:ascii="Sylfaen" w:hAnsi="Sylfaen" w:cs="Sylfaen"/>
          <w:sz w:val="20"/>
          <w:szCs w:val="20"/>
          <w:lang w:val="ka-GE"/>
        </w:rPr>
        <w:t xml:space="preserve">სეგმენტზე, </w:t>
      </w:r>
      <w:r w:rsidR="00D539D1" w:rsidRPr="000F4F77">
        <w:rPr>
          <w:rFonts w:ascii="Sylfaen" w:hAnsi="Sylfaen" w:cs="Sylfaen"/>
          <w:sz w:val="20"/>
          <w:szCs w:val="20"/>
          <w:lang w:val="ka-GE"/>
        </w:rPr>
        <w:t xml:space="preserve">რომელიც მოიცავს </w:t>
      </w:r>
      <w:r w:rsidR="00291E93" w:rsidRPr="000F4F77">
        <w:rPr>
          <w:rFonts w:ascii="Sylfaen" w:hAnsi="Sylfaen" w:cs="Sylfaen"/>
          <w:sz w:val="20"/>
          <w:szCs w:val="20"/>
          <w:lang w:val="ka-GE"/>
        </w:rPr>
        <w:t>ფიქსირებულ ლოკაციაზე ადგილობ</w:t>
      </w:r>
      <w:r w:rsidR="00556654" w:rsidRPr="000F4F77">
        <w:rPr>
          <w:rFonts w:ascii="Sylfaen" w:hAnsi="Sylfaen" w:cs="Sylfaen"/>
          <w:sz w:val="20"/>
          <w:szCs w:val="20"/>
          <w:lang w:val="ka-GE"/>
        </w:rPr>
        <w:t>რივი</w:t>
      </w:r>
      <w:r w:rsidR="00291E93" w:rsidRPr="000F4F77">
        <w:rPr>
          <w:rFonts w:ascii="Sylfaen" w:hAnsi="Sylfaen" w:cs="Sylfaen"/>
          <w:sz w:val="20"/>
          <w:szCs w:val="20"/>
          <w:lang w:val="ka-GE"/>
        </w:rPr>
        <w:t xml:space="preserve"> და ცენტრალური საბითუმო დაშვების</w:t>
      </w:r>
      <w:r w:rsidR="00D539D1" w:rsidRPr="000F4F77">
        <w:rPr>
          <w:rFonts w:ascii="Sylfaen" w:hAnsi="Sylfaen" w:cs="Sylfaen"/>
          <w:sz w:val="20"/>
          <w:szCs w:val="20"/>
          <w:lang w:val="ka-GE"/>
        </w:rPr>
        <w:t xml:space="preserve"> მომსახურებას</w:t>
      </w:r>
      <w:r w:rsidRPr="000F4F77">
        <w:rPr>
          <w:rFonts w:ascii="Sylfaen" w:hAnsi="Sylfaen" w:cs="Sylfaen"/>
          <w:sz w:val="20"/>
          <w:szCs w:val="20"/>
          <w:lang w:val="ka-GE"/>
        </w:rPr>
        <w:t>.</w:t>
      </w:r>
      <w:r w:rsidR="005C0BFF" w:rsidRPr="000F4F77">
        <w:rPr>
          <w:rFonts w:ascii="Sylfaen" w:hAnsi="Sylfaen" w:cs="Sylfaen"/>
          <w:sz w:val="20"/>
          <w:szCs w:val="20"/>
          <w:lang w:val="ka-GE"/>
        </w:rPr>
        <w:t xml:space="preserve"> </w:t>
      </w:r>
    </w:p>
    <w:p w14:paraId="42030D32" w14:textId="7A4129F6" w:rsidR="00556654" w:rsidRPr="000F4F77" w:rsidRDefault="00556654" w:rsidP="00A052AF">
      <w:pPr>
        <w:spacing w:line="240" w:lineRule="auto"/>
        <w:jc w:val="both"/>
        <w:rPr>
          <w:rFonts w:ascii="Sylfaen" w:hAnsi="Sylfaen" w:cs="Sylfaen"/>
          <w:sz w:val="20"/>
          <w:szCs w:val="20"/>
          <w:lang w:val="ka-GE"/>
        </w:rPr>
      </w:pPr>
      <w:r w:rsidRPr="000F4F77">
        <w:rPr>
          <w:rFonts w:ascii="Sylfaen" w:hAnsi="Sylfaen" w:cs="Sylfaen"/>
          <w:sz w:val="20"/>
          <w:szCs w:val="20"/>
          <w:lang w:val="ka-GE"/>
        </w:rPr>
        <w:t>კომისიის 2024 წლის 22 თებერვლის N1 დადგენილებით დამტკიცებული ,,ბაზრის კონკურენტუნარიანობისა და მნიშვნელოვანი საბაზრო ძალაუფლების მქონე ავტორიზებული პირების განსაზღვრის მეთოდოლოგიისა და პროცედურების“  მე-17 მუხლის პირველი პუნქტის ,,ა“ ქვეპუნქტის შესაბამისად, ,,სპეციფიკური ვალდებულებები უნდა დაწესდეს უპირატესად საბითუმო ბაზრის შესაბამის სეგმენტზე და მხოლოდ იმ ბაზრის მხოლოდ იმ სეგმენტებზე, რომლებიც არ ხასიათდება კონკურენციის ეფექტიანი დონით“, ხოლო მე-3 პუნქტის თანახმად, ,,საცალო ბაზრის შესაბამის სეგმენტზე სპეციფიკური ვალდებულებების დაკისრება უნდა მოხდეს მხოლოდ იმ შემთხვევაში, თუ საბითუმო ბაზრის სეგმენტზე დაკისრებული სპეციფიკური ვალდებულებები ვერ უზრუნველყოფს საცალო ბაზრის სეგმენტზე ეფექტიან კონკურენციას“.</w:t>
      </w:r>
    </w:p>
    <w:p w14:paraId="7B0CEDDF" w14:textId="0B9EA821" w:rsidR="003757C5" w:rsidRPr="000F4F77" w:rsidRDefault="007B5437" w:rsidP="00A052AF">
      <w:pPr>
        <w:spacing w:line="240" w:lineRule="auto"/>
        <w:jc w:val="both"/>
        <w:rPr>
          <w:rFonts w:ascii="Sylfaen" w:hAnsi="Sylfaen" w:cs="Sylfaen"/>
          <w:sz w:val="20"/>
          <w:szCs w:val="20"/>
          <w:lang w:val="ka-GE"/>
        </w:rPr>
      </w:pPr>
      <w:r w:rsidRPr="000F4F77">
        <w:rPr>
          <w:rFonts w:ascii="Sylfaen" w:hAnsi="Sylfaen" w:cs="Sylfaen"/>
          <w:sz w:val="20"/>
          <w:szCs w:val="20"/>
          <w:lang w:val="ka-GE"/>
        </w:rPr>
        <w:t xml:space="preserve">ზემოთ აღნიშნულიდან გამომდინარე და იმის გათვალისწინებით, რომ </w:t>
      </w:r>
      <w:r w:rsidR="00556654" w:rsidRPr="000F4F77">
        <w:rPr>
          <w:rFonts w:ascii="Sylfaen" w:hAnsi="Sylfaen" w:cs="Sylfaen"/>
          <w:sz w:val="20"/>
          <w:szCs w:val="20"/>
          <w:lang w:val="ka-GE"/>
        </w:rPr>
        <w:t xml:space="preserve">კომისიის </w:t>
      </w:r>
      <w:r w:rsidR="00D77B80" w:rsidRPr="000F4F77">
        <w:rPr>
          <w:rFonts w:ascii="Sylfaen" w:hAnsi="Sylfaen" w:cs="Sylfaen"/>
          <w:sz w:val="20"/>
          <w:szCs w:val="20"/>
          <w:lang w:val="ka-GE"/>
        </w:rPr>
        <w:t>2024 წლის 8 აგვისტოს Nგ-24-9/361 გადაწყვეტილებ</w:t>
      </w:r>
      <w:r w:rsidR="004E1D2F" w:rsidRPr="000F4F77">
        <w:rPr>
          <w:rFonts w:ascii="Sylfaen" w:hAnsi="Sylfaen" w:cs="Sylfaen"/>
          <w:sz w:val="20"/>
          <w:szCs w:val="20"/>
          <w:lang w:val="ka-GE"/>
        </w:rPr>
        <w:t xml:space="preserve">ის ფარგლებში </w:t>
      </w:r>
      <w:r w:rsidR="00BD4CA6" w:rsidRPr="000F4F77">
        <w:rPr>
          <w:rFonts w:ascii="Sylfaen" w:hAnsi="Sylfaen" w:cs="Sylfaen"/>
          <w:sz w:val="20"/>
          <w:szCs w:val="20"/>
          <w:lang w:val="ka-GE"/>
        </w:rPr>
        <w:t xml:space="preserve">შესწავლილი ბაზარი ერთი მხრივ სრულად მოიცავს </w:t>
      </w:r>
      <w:r w:rsidR="00BD4CA6" w:rsidRPr="000F4F77">
        <w:rPr>
          <w:rFonts w:ascii="Sylfaen" w:hAnsi="Sylfaen"/>
          <w:sz w:val="20"/>
          <w:szCs w:val="20"/>
          <w:lang w:val="ka-GE"/>
        </w:rPr>
        <w:t xml:space="preserve">2019 </w:t>
      </w:r>
      <w:r w:rsidR="00BD4CA6" w:rsidRPr="000F4F77">
        <w:rPr>
          <w:rFonts w:ascii="Sylfaen" w:hAnsi="Sylfaen" w:cs="Sylfaen"/>
          <w:sz w:val="20"/>
          <w:szCs w:val="20"/>
          <w:lang w:val="ka-GE"/>
        </w:rPr>
        <w:t>წლის</w:t>
      </w:r>
      <w:r w:rsidR="00BD4CA6" w:rsidRPr="000F4F77">
        <w:rPr>
          <w:rFonts w:ascii="Sylfaen" w:hAnsi="Sylfaen"/>
          <w:sz w:val="20"/>
          <w:szCs w:val="20"/>
          <w:lang w:val="ka-GE"/>
        </w:rPr>
        <w:t xml:space="preserve"> 30 </w:t>
      </w:r>
      <w:r w:rsidR="00BD4CA6" w:rsidRPr="000F4F77">
        <w:rPr>
          <w:rFonts w:ascii="Sylfaen" w:hAnsi="Sylfaen" w:cs="Sylfaen"/>
          <w:sz w:val="20"/>
          <w:szCs w:val="20"/>
          <w:lang w:val="ka-GE"/>
        </w:rPr>
        <w:t>აპრილის</w:t>
      </w:r>
      <w:r w:rsidR="00BD4CA6" w:rsidRPr="000F4F77">
        <w:rPr>
          <w:rFonts w:ascii="Sylfaen" w:hAnsi="Sylfaen"/>
          <w:sz w:val="20"/>
          <w:szCs w:val="20"/>
          <w:lang w:val="ka-GE"/>
        </w:rPr>
        <w:t xml:space="preserve"> N</w:t>
      </w:r>
      <w:r w:rsidR="00BD4CA6" w:rsidRPr="000F4F77">
        <w:rPr>
          <w:rFonts w:ascii="Sylfaen" w:hAnsi="Sylfaen" w:cs="Sylfaen"/>
          <w:sz w:val="20"/>
          <w:szCs w:val="20"/>
          <w:lang w:val="ka-GE"/>
        </w:rPr>
        <w:t>266/9 გადაწყვეტილებით</w:t>
      </w:r>
      <w:r w:rsidR="00BD4CA6" w:rsidRPr="000F4F77">
        <w:rPr>
          <w:rFonts w:ascii="Sylfaen" w:hAnsi="Sylfaen"/>
          <w:sz w:val="20"/>
          <w:szCs w:val="20"/>
          <w:lang w:val="ka-GE"/>
        </w:rPr>
        <w:t xml:space="preserve"> </w:t>
      </w:r>
      <w:r w:rsidR="00BD4CA6" w:rsidRPr="000F4F77">
        <w:rPr>
          <w:rFonts w:ascii="Sylfaen" w:hAnsi="Sylfaen" w:cs="Sylfaen"/>
          <w:sz w:val="20"/>
          <w:szCs w:val="20"/>
          <w:lang w:val="ka-GE"/>
        </w:rPr>
        <w:t xml:space="preserve">  რეგულირებას დაქვემდებარებული  ფიქსირებული ინტერნეტის საცალო მომსახურების ბაზრის შესაბამისი სეგმენტს, ხოლო მეორე მხრივ </w:t>
      </w:r>
      <w:r w:rsidR="00B34EB6" w:rsidRPr="000F4F77">
        <w:rPr>
          <w:rFonts w:ascii="Sylfaen" w:hAnsi="Sylfaen" w:cs="Sylfaen"/>
          <w:sz w:val="20"/>
          <w:szCs w:val="20"/>
          <w:lang w:val="ka-GE"/>
        </w:rPr>
        <w:t xml:space="preserve">Nგ-24-9/361 გადაწყვეტილების ფარგლებში განსაზღვრული მარეგულირებელი ჩარჩო </w:t>
      </w:r>
      <w:r w:rsidR="00543E97" w:rsidRPr="000F4F77">
        <w:rPr>
          <w:rFonts w:ascii="Sylfaen" w:hAnsi="Sylfaen" w:cs="Sylfaen"/>
          <w:sz w:val="20"/>
          <w:szCs w:val="20"/>
          <w:lang w:val="ka-GE"/>
        </w:rPr>
        <w:t xml:space="preserve">დაწესდა იმ საბითუმო სეგმენტზე, რომელიც საცალო ბაზრის შესაბამის სეგმენტზე ეფექტიანი კონკურენციის განვითარებაზე ყველაზე მნიშვნელოვან გავლენას მოახდენს, როგორც ეს ასახულია პროცედურების მე-11 მუხლის მე-3 პუნქტში, აღნიშნული </w:t>
      </w:r>
      <w:r w:rsidR="00863DEE" w:rsidRPr="000F4F77">
        <w:rPr>
          <w:rFonts w:ascii="Sylfaen" w:hAnsi="Sylfaen" w:cs="Sylfaen"/>
          <w:sz w:val="20"/>
          <w:szCs w:val="20"/>
          <w:lang w:val="ka-GE"/>
        </w:rPr>
        <w:t>ქმნის</w:t>
      </w:r>
      <w:r w:rsidR="00CD5DFB" w:rsidRPr="000F4F77">
        <w:rPr>
          <w:rFonts w:ascii="Sylfaen" w:hAnsi="Sylfaen" w:cs="Sylfaen"/>
          <w:sz w:val="20"/>
          <w:szCs w:val="20"/>
          <w:lang w:val="ka-GE"/>
        </w:rPr>
        <w:t xml:space="preserve"> საკმარის</w:t>
      </w:r>
      <w:r w:rsidR="003757C5" w:rsidRPr="000F4F77">
        <w:rPr>
          <w:rFonts w:ascii="Sylfaen" w:hAnsi="Sylfaen"/>
          <w:sz w:val="20"/>
          <w:szCs w:val="20"/>
          <w:lang w:val="ka-GE"/>
        </w:rPr>
        <w:t xml:space="preserve"> </w:t>
      </w:r>
      <w:r w:rsidR="00D77B80" w:rsidRPr="000F4F77">
        <w:rPr>
          <w:rFonts w:ascii="Sylfaen" w:hAnsi="Sylfaen"/>
          <w:sz w:val="20"/>
          <w:szCs w:val="20"/>
          <w:lang w:val="ka-GE"/>
        </w:rPr>
        <w:t>საფუძვ</w:t>
      </w:r>
      <w:r w:rsidR="00863DEE" w:rsidRPr="000F4F77">
        <w:rPr>
          <w:rFonts w:ascii="Sylfaen" w:hAnsi="Sylfaen"/>
          <w:sz w:val="20"/>
          <w:szCs w:val="20"/>
          <w:lang w:val="ka-GE"/>
        </w:rPr>
        <w:t>ე</w:t>
      </w:r>
      <w:r w:rsidR="00D77B80" w:rsidRPr="000F4F77">
        <w:rPr>
          <w:rFonts w:ascii="Sylfaen" w:hAnsi="Sylfaen"/>
          <w:sz w:val="20"/>
          <w:szCs w:val="20"/>
          <w:lang w:val="ka-GE"/>
        </w:rPr>
        <w:t>ლ</w:t>
      </w:r>
      <w:r w:rsidR="00863DEE" w:rsidRPr="000F4F77">
        <w:rPr>
          <w:rFonts w:ascii="Sylfaen" w:hAnsi="Sylfaen"/>
          <w:sz w:val="20"/>
          <w:szCs w:val="20"/>
          <w:lang w:val="ka-GE"/>
        </w:rPr>
        <w:t>ს ძალადაკარგულად გამოცხადდეს</w:t>
      </w:r>
      <w:r w:rsidR="00D77B80" w:rsidRPr="000F4F77">
        <w:rPr>
          <w:rFonts w:ascii="Sylfaen" w:hAnsi="Sylfaen"/>
          <w:sz w:val="20"/>
          <w:szCs w:val="20"/>
          <w:lang w:val="ka-GE"/>
        </w:rPr>
        <w:t xml:space="preserve"> </w:t>
      </w:r>
      <w:r w:rsidR="00F839C8" w:rsidRPr="000F4F77">
        <w:rPr>
          <w:rFonts w:ascii="Sylfaen" w:hAnsi="Sylfaen"/>
          <w:sz w:val="20"/>
          <w:szCs w:val="20"/>
          <w:lang w:val="ka-GE"/>
        </w:rPr>
        <w:t xml:space="preserve">კომისიის </w:t>
      </w:r>
      <w:r w:rsidR="007F2FA6" w:rsidRPr="000F4F77">
        <w:rPr>
          <w:rFonts w:ascii="Sylfaen" w:hAnsi="Sylfaen"/>
          <w:sz w:val="20"/>
          <w:szCs w:val="20"/>
          <w:lang w:val="ka-GE"/>
        </w:rPr>
        <w:t xml:space="preserve">2019 </w:t>
      </w:r>
      <w:r w:rsidR="007F2FA6" w:rsidRPr="000F4F77">
        <w:rPr>
          <w:rFonts w:ascii="Sylfaen" w:hAnsi="Sylfaen" w:cs="Sylfaen"/>
          <w:sz w:val="20"/>
          <w:szCs w:val="20"/>
          <w:lang w:val="ka-GE"/>
        </w:rPr>
        <w:t>წლის</w:t>
      </w:r>
      <w:r w:rsidR="007F2FA6" w:rsidRPr="000F4F77">
        <w:rPr>
          <w:rFonts w:ascii="Sylfaen" w:hAnsi="Sylfaen"/>
          <w:sz w:val="20"/>
          <w:szCs w:val="20"/>
          <w:lang w:val="ka-GE"/>
        </w:rPr>
        <w:t xml:space="preserve"> 30 </w:t>
      </w:r>
      <w:r w:rsidR="007F2FA6" w:rsidRPr="000F4F77">
        <w:rPr>
          <w:rFonts w:ascii="Sylfaen" w:hAnsi="Sylfaen" w:cs="Sylfaen"/>
          <w:sz w:val="20"/>
          <w:szCs w:val="20"/>
          <w:lang w:val="ka-GE"/>
        </w:rPr>
        <w:t>აპრილ</w:t>
      </w:r>
      <w:r w:rsidR="00F839C8" w:rsidRPr="000F4F77">
        <w:rPr>
          <w:rFonts w:ascii="Sylfaen" w:hAnsi="Sylfaen" w:cs="Sylfaen"/>
          <w:sz w:val="20"/>
          <w:szCs w:val="20"/>
          <w:lang w:val="ka-GE"/>
        </w:rPr>
        <w:t>ის</w:t>
      </w:r>
      <w:r w:rsidR="007F2FA6" w:rsidRPr="000F4F77">
        <w:rPr>
          <w:rFonts w:ascii="Sylfaen" w:hAnsi="Sylfaen"/>
          <w:sz w:val="20"/>
          <w:szCs w:val="20"/>
          <w:lang w:val="ka-GE"/>
        </w:rPr>
        <w:t xml:space="preserve"> N</w:t>
      </w:r>
      <w:r w:rsidR="007F2FA6" w:rsidRPr="000F4F77">
        <w:rPr>
          <w:rFonts w:ascii="Sylfaen" w:hAnsi="Sylfaen" w:cs="Sylfaen"/>
          <w:sz w:val="20"/>
          <w:szCs w:val="20"/>
          <w:lang w:val="ka-GE"/>
        </w:rPr>
        <w:t>266/9 გადაწყვეტილებ</w:t>
      </w:r>
      <w:r w:rsidR="00863DEE" w:rsidRPr="000F4F77">
        <w:rPr>
          <w:rFonts w:ascii="Sylfaen" w:hAnsi="Sylfaen" w:cs="Sylfaen"/>
          <w:sz w:val="20"/>
          <w:szCs w:val="20"/>
          <w:lang w:val="ka-GE"/>
        </w:rPr>
        <w:t>ა</w:t>
      </w:r>
      <w:r w:rsidR="007F2FA6" w:rsidRPr="000F4F77">
        <w:rPr>
          <w:rFonts w:ascii="Sylfaen" w:hAnsi="Sylfaen"/>
          <w:sz w:val="20"/>
          <w:szCs w:val="20"/>
          <w:lang w:val="ka-GE"/>
        </w:rPr>
        <w:t xml:space="preserve"> </w:t>
      </w:r>
      <w:r w:rsidR="00D627BD" w:rsidRPr="000F4F77">
        <w:rPr>
          <w:rFonts w:ascii="Sylfaen" w:hAnsi="Sylfaen"/>
          <w:sz w:val="20"/>
          <w:szCs w:val="20"/>
          <w:lang w:val="ka-GE"/>
        </w:rPr>
        <w:t>,,</w:t>
      </w:r>
      <w:r w:rsidR="007F2FA6" w:rsidRPr="000F4F77">
        <w:rPr>
          <w:rFonts w:ascii="Sylfaen" w:hAnsi="Sylfaen" w:cs="Sylfaen"/>
          <w:sz w:val="20"/>
          <w:szCs w:val="20"/>
          <w:lang w:val="ka-GE"/>
        </w:rPr>
        <w:t>ფიქსირებული საცალო ხმოვანი, მაუწყებლობის ტრანზიტის საცალო და ფიქსირებული ინტერნეტის საცალო მომსახურებების ბაზრის შესაბამის სეგმენტებზე კონკურენციის კვლევისა და ანალიზის შედეგების შესახებ”</w:t>
      </w:r>
      <w:r w:rsidR="003757C5" w:rsidRPr="000F4F77">
        <w:rPr>
          <w:rFonts w:ascii="Sylfaen" w:hAnsi="Sylfaen"/>
          <w:sz w:val="20"/>
          <w:szCs w:val="20"/>
          <w:lang w:val="ka-GE"/>
        </w:rPr>
        <w:t xml:space="preserve">. </w:t>
      </w:r>
    </w:p>
    <w:p w14:paraId="4A1116E7" w14:textId="77777777" w:rsidR="005B0ED3" w:rsidRPr="000F4F77" w:rsidRDefault="005B0ED3" w:rsidP="00A052AF">
      <w:pPr>
        <w:spacing w:line="240" w:lineRule="auto"/>
        <w:jc w:val="both"/>
        <w:rPr>
          <w:rFonts w:ascii="Sylfaen" w:hAnsi="Sylfaen"/>
          <w:sz w:val="20"/>
          <w:szCs w:val="20"/>
          <w:lang w:val="ka-GE"/>
        </w:rPr>
      </w:pPr>
    </w:p>
    <w:p w14:paraId="1DFE5F70" w14:textId="76864F9F" w:rsidR="00AD6A41" w:rsidRPr="000F4F77" w:rsidRDefault="00AD6A41" w:rsidP="00A052AF">
      <w:pPr>
        <w:spacing w:line="240" w:lineRule="auto"/>
        <w:jc w:val="both"/>
        <w:rPr>
          <w:rFonts w:ascii="Sylfaen" w:hAnsi="Sylfaen"/>
          <w:b/>
          <w:bCs/>
          <w:sz w:val="20"/>
          <w:szCs w:val="20"/>
          <w:lang w:val="ka-GE"/>
        </w:rPr>
      </w:pPr>
      <w:r w:rsidRPr="000F4F77">
        <w:rPr>
          <w:rFonts w:ascii="Sylfaen" w:hAnsi="Sylfaen"/>
          <w:b/>
          <w:bCs/>
          <w:sz w:val="20"/>
          <w:szCs w:val="20"/>
          <w:lang w:val="ka-GE"/>
        </w:rPr>
        <w:t>სარეზოლუციო ნაწილი</w:t>
      </w:r>
    </w:p>
    <w:p w14:paraId="02845E67" w14:textId="0DA0F46D" w:rsidR="005B0ED3" w:rsidRPr="000F4F77" w:rsidRDefault="005B0ED3" w:rsidP="005B0ED3">
      <w:pPr>
        <w:spacing w:line="240" w:lineRule="auto"/>
        <w:jc w:val="both"/>
        <w:rPr>
          <w:rFonts w:ascii="Sylfaen" w:hAnsi="Sylfaen" w:cs="Sylfaen"/>
          <w:sz w:val="20"/>
          <w:szCs w:val="20"/>
          <w:lang w:val="ka-GE"/>
        </w:rPr>
      </w:pPr>
      <w:r w:rsidRPr="000F4F77">
        <w:rPr>
          <w:rFonts w:ascii="Sylfaen" w:hAnsi="Sylfaen" w:cs="Sylfaen"/>
          <w:sz w:val="20"/>
          <w:szCs w:val="20"/>
          <w:lang w:val="ka-GE"/>
        </w:rPr>
        <w:t>,,ელექტრონული კომუნიკაციების შესახებ“ საქართველოს კანონის მე-11 მუხლის მე-2 პუნქტის ,,ა“ ქვეპუნქტისა და მე-3 პუნქტის ,,გ“ და ,,ე“ ქვეპუნქტების, მე-20-</w:t>
      </w:r>
      <w:r w:rsidR="0012740D" w:rsidRPr="000F4F77">
        <w:rPr>
          <w:rFonts w:ascii="Sylfaen" w:hAnsi="Sylfaen" w:cs="Sylfaen"/>
          <w:sz w:val="20"/>
          <w:szCs w:val="20"/>
          <w:lang w:val="ka-GE"/>
        </w:rPr>
        <w:t>მუხლის</w:t>
      </w:r>
      <w:r w:rsidR="00115DED" w:rsidRPr="000F4F77">
        <w:rPr>
          <w:rFonts w:ascii="Sylfaen" w:hAnsi="Sylfaen" w:cs="Sylfaen"/>
          <w:sz w:val="20"/>
          <w:szCs w:val="20"/>
          <w:lang w:val="ka-GE"/>
        </w:rPr>
        <w:t xml:space="preserve">, 21-ე მუხლის მე-3 პუნქტის, </w:t>
      </w:r>
      <w:r w:rsidRPr="000F4F77">
        <w:rPr>
          <w:rFonts w:ascii="Sylfaen" w:hAnsi="Sylfaen" w:cs="Sylfaen"/>
          <w:sz w:val="20"/>
          <w:szCs w:val="20"/>
          <w:lang w:val="ka-GE"/>
        </w:rPr>
        <w:t>, კომისიის 2024 წლის 22 თებერვლის №1 დადგენილებით დამტკიცებული ,,ბაზრის კონკურენტუნარიანობისა და მნიშვნელოვანი საბაზრო ძალაუფლების მქონე ავტორიზებული პირების განსაზღვრის მეთოდოლოგიისა და პროცედურების“  მე-17 მუხლ</w:t>
      </w:r>
      <w:r w:rsidR="00115DED" w:rsidRPr="000F4F77">
        <w:rPr>
          <w:rFonts w:ascii="Sylfaen" w:hAnsi="Sylfaen" w:cs="Sylfaen"/>
          <w:sz w:val="20"/>
          <w:szCs w:val="20"/>
          <w:lang w:val="ka-GE"/>
        </w:rPr>
        <w:t xml:space="preserve">ის პირველი პუნქტის ,,ა“ ქვეპუნქტის“, </w:t>
      </w:r>
      <w:r w:rsidRPr="000F4F77">
        <w:rPr>
          <w:rFonts w:ascii="Sylfaen" w:hAnsi="Sylfaen" w:cs="Sylfaen"/>
          <w:sz w:val="20"/>
          <w:szCs w:val="20"/>
          <w:lang w:val="ka-GE"/>
        </w:rPr>
        <w:t xml:space="preserve"> კომისიის 2003 წლის 27 ივნისის №1 დადგენილებით დამტკიცებული ,,საჯარო კონსულტაციების მარეგულირებელი წესის“ მე-9 მუხლისა და საქართველოს ზოგადი ადმინისტრაციული კოდექსის </w:t>
      </w:r>
      <w:r w:rsidR="00D74CBF" w:rsidRPr="000F4F77">
        <w:rPr>
          <w:rFonts w:ascii="Sylfaen" w:hAnsi="Sylfaen" w:cs="Sylfaen"/>
          <w:sz w:val="20"/>
          <w:szCs w:val="20"/>
          <w:lang w:val="ka-GE"/>
        </w:rPr>
        <w:t xml:space="preserve">61-ე - 63-ე მუხლების, </w:t>
      </w:r>
      <w:r w:rsidRPr="000F4F77">
        <w:rPr>
          <w:rFonts w:ascii="Sylfaen" w:hAnsi="Sylfaen" w:cs="Sylfaen"/>
          <w:sz w:val="20"/>
          <w:szCs w:val="20"/>
          <w:lang w:val="ka-GE"/>
        </w:rPr>
        <w:t xml:space="preserve">VII და IX თავების შესაბამისად, </w:t>
      </w:r>
    </w:p>
    <w:p w14:paraId="6FCD9D4A" w14:textId="1819D1E4" w:rsidR="00D857A1" w:rsidRPr="000F4F77" w:rsidRDefault="00AD6A41" w:rsidP="00A052AF">
      <w:pPr>
        <w:spacing w:line="240" w:lineRule="auto"/>
        <w:jc w:val="both"/>
        <w:rPr>
          <w:rFonts w:ascii="Sylfaen" w:hAnsi="Sylfaen"/>
          <w:b/>
          <w:bCs/>
          <w:sz w:val="20"/>
          <w:szCs w:val="20"/>
          <w:lang w:val="ka-GE"/>
        </w:rPr>
      </w:pPr>
      <w:r w:rsidRPr="000F4F77">
        <w:rPr>
          <w:rFonts w:ascii="Sylfaen" w:hAnsi="Sylfaen"/>
          <w:b/>
          <w:bCs/>
          <w:sz w:val="20"/>
          <w:szCs w:val="20"/>
          <w:lang w:val="ka-GE"/>
        </w:rPr>
        <w:t>გადაწყვიტ</w:t>
      </w:r>
      <w:r w:rsidR="008475BD" w:rsidRPr="000F4F77">
        <w:rPr>
          <w:rFonts w:ascii="Sylfaen" w:hAnsi="Sylfaen"/>
          <w:b/>
          <w:bCs/>
          <w:sz w:val="20"/>
          <w:szCs w:val="20"/>
          <w:lang w:val="ka-GE"/>
        </w:rPr>
        <w:t>ა</w:t>
      </w:r>
    </w:p>
    <w:p w14:paraId="1CCC1031" w14:textId="2ED84479" w:rsidR="005B0ED3" w:rsidRPr="000F4F77" w:rsidRDefault="005B0ED3" w:rsidP="0040048B">
      <w:pPr>
        <w:pStyle w:val="ListParagraph"/>
        <w:numPr>
          <w:ilvl w:val="0"/>
          <w:numId w:val="4"/>
        </w:numPr>
        <w:spacing w:after="120" w:line="264" w:lineRule="auto"/>
        <w:jc w:val="both"/>
        <w:rPr>
          <w:rFonts w:ascii="Sylfaen" w:hAnsi="Sylfaen" w:cs="Sylfaen"/>
          <w:sz w:val="20"/>
          <w:szCs w:val="20"/>
          <w:lang w:val="ka-GE"/>
        </w:rPr>
      </w:pPr>
      <w:r w:rsidRPr="000F4F77">
        <w:rPr>
          <w:rFonts w:ascii="Sylfaen" w:hAnsi="Sylfaen"/>
          <w:sz w:val="20"/>
          <w:szCs w:val="20"/>
          <w:lang w:val="ka-GE"/>
        </w:rPr>
        <w:t>ძალადაკარგულად გამოცხადდეს ,,ფიქსირებული საცალო ხმოვანი, მაუწყებლობის ტრანზიტის საცალო და ფიქსირებული ინტერნეტის საცალო მომსახურებების ბაზრის შესაბამის სეგმენტებზე კონკურენციის კვლევისა და ანალიზის შედეგების შესახებ“ საქართველოს კომუნიკაციების ეროვნული კომისიის 2019 წლის 30 აპრილის N266/9  გადაწყვეტილება.</w:t>
      </w:r>
      <w:r w:rsidRPr="000F4F77">
        <w:rPr>
          <w:rFonts w:ascii="Sylfaen" w:hAnsi="Sylfaen" w:cs="Sylfaen"/>
          <w:sz w:val="20"/>
          <w:szCs w:val="20"/>
          <w:lang w:val="ka-GE"/>
        </w:rPr>
        <w:t xml:space="preserve"> </w:t>
      </w:r>
    </w:p>
    <w:p w14:paraId="2B0D59FF" w14:textId="0DB86F6F" w:rsidR="005B0ED3" w:rsidRPr="000F4F77" w:rsidRDefault="005B0ED3" w:rsidP="005B0ED3">
      <w:pPr>
        <w:pStyle w:val="ListParagraph"/>
        <w:numPr>
          <w:ilvl w:val="0"/>
          <w:numId w:val="4"/>
        </w:numPr>
        <w:spacing w:after="120" w:line="264" w:lineRule="auto"/>
        <w:jc w:val="both"/>
        <w:rPr>
          <w:rFonts w:ascii="Sylfaen" w:hAnsi="Sylfaen" w:cs="Sylfaen"/>
          <w:sz w:val="20"/>
          <w:szCs w:val="20"/>
          <w:lang w:val="ka-GE"/>
        </w:rPr>
      </w:pPr>
      <w:r w:rsidRPr="000F4F77">
        <w:rPr>
          <w:rFonts w:ascii="Sylfaen" w:hAnsi="Sylfaen" w:cs="Sylfaen"/>
          <w:sz w:val="20"/>
          <w:szCs w:val="20"/>
          <w:lang w:val="ka-GE"/>
        </w:rPr>
        <w:t>გადაწყვეტილება ძალაში შე</w:t>
      </w:r>
      <w:r w:rsidR="00B33294" w:rsidRPr="000F4F77">
        <w:rPr>
          <w:rFonts w:ascii="Sylfaen" w:hAnsi="Sylfaen" w:cs="Sylfaen"/>
          <w:sz w:val="20"/>
          <w:szCs w:val="20"/>
          <w:lang w:val="ka-GE"/>
        </w:rPr>
        <w:t>ვიდეს კომისიის ოფიციალურ ვებ-გვერდზე გამოქვეყნებისთანავე.</w:t>
      </w:r>
    </w:p>
    <w:p w14:paraId="3A426746" w14:textId="0838633C" w:rsidR="005B0ED3" w:rsidRPr="000F4F77" w:rsidRDefault="005B0ED3" w:rsidP="005B0ED3">
      <w:pPr>
        <w:pStyle w:val="ListParagraph"/>
        <w:numPr>
          <w:ilvl w:val="0"/>
          <w:numId w:val="4"/>
        </w:numPr>
        <w:spacing w:after="120" w:line="264" w:lineRule="auto"/>
        <w:jc w:val="both"/>
        <w:rPr>
          <w:rFonts w:ascii="Sylfaen" w:hAnsi="Sylfaen" w:cs="Sylfaen"/>
          <w:sz w:val="20"/>
          <w:szCs w:val="20"/>
          <w:lang w:val="ka-GE"/>
        </w:rPr>
      </w:pPr>
      <w:r w:rsidRPr="000F4F77">
        <w:rPr>
          <w:rFonts w:ascii="Sylfaen" w:hAnsi="Sylfaen" w:cs="Sylfaen"/>
          <w:sz w:val="20"/>
          <w:szCs w:val="20"/>
          <w:lang w:val="ka-GE"/>
        </w:rPr>
        <w:lastRenderedPageBreak/>
        <w:t xml:space="preserve">გადაწყვეტილების შპს </w:t>
      </w:r>
      <w:r w:rsidR="0040048B" w:rsidRPr="000F4F77">
        <w:rPr>
          <w:rFonts w:ascii="Sylfaen" w:hAnsi="Sylfaen" w:cs="Sylfaen"/>
          <w:sz w:val="20"/>
          <w:szCs w:val="20"/>
          <w:lang w:val="ka-GE"/>
        </w:rPr>
        <w:t>,,</w:t>
      </w:r>
      <w:r w:rsidRPr="000F4F77">
        <w:rPr>
          <w:rFonts w:ascii="Sylfaen" w:hAnsi="Sylfaen" w:cs="Sylfaen"/>
          <w:sz w:val="20"/>
          <w:szCs w:val="20"/>
          <w:lang w:val="ka-GE"/>
        </w:rPr>
        <w:t>მაგთიკომისთვის“ გაგზავნა და კომისიის ოფიციალურ ვებ</w:t>
      </w:r>
      <w:r w:rsidR="0040048B" w:rsidRPr="000F4F77">
        <w:rPr>
          <w:rFonts w:ascii="Sylfaen" w:hAnsi="Sylfaen" w:cs="Sylfaen"/>
          <w:sz w:val="20"/>
          <w:szCs w:val="20"/>
          <w:lang w:val="ka-GE"/>
        </w:rPr>
        <w:t>-</w:t>
      </w:r>
      <w:r w:rsidRPr="000F4F77">
        <w:rPr>
          <w:rFonts w:ascii="Sylfaen" w:hAnsi="Sylfaen" w:cs="Sylfaen"/>
          <w:sz w:val="20"/>
          <w:szCs w:val="20"/>
          <w:lang w:val="ka-GE"/>
        </w:rPr>
        <w:t>გვერდზე (</w:t>
      </w:r>
      <w:hyperlink r:id="rId6" w:history="1">
        <w:r w:rsidRPr="000F4F77">
          <w:rPr>
            <w:rStyle w:val="Hyperlink"/>
            <w:rFonts w:ascii="Sylfaen" w:hAnsi="Sylfaen" w:cs="Sylfaen"/>
            <w:color w:val="auto"/>
            <w:sz w:val="20"/>
            <w:szCs w:val="20"/>
            <w:lang w:val="ka-GE"/>
          </w:rPr>
          <w:t>www.comcom.ge</w:t>
        </w:r>
      </w:hyperlink>
      <w:r w:rsidRPr="000F4F77">
        <w:rPr>
          <w:rFonts w:ascii="Sylfaen" w:hAnsi="Sylfaen" w:cs="Sylfaen"/>
          <w:sz w:val="20"/>
          <w:szCs w:val="20"/>
          <w:lang w:val="ka-GE"/>
        </w:rPr>
        <w:t xml:space="preserve">) გამოქვეყნება დაევალოს კომისიის </w:t>
      </w:r>
      <w:r w:rsidR="00B33294" w:rsidRPr="000F4F77">
        <w:rPr>
          <w:rFonts w:ascii="Sylfaen" w:hAnsi="Sylfaen" w:cs="Sylfaen"/>
          <w:sz w:val="20"/>
          <w:szCs w:val="20"/>
          <w:lang w:val="ka-GE"/>
        </w:rPr>
        <w:t xml:space="preserve">აპარატის </w:t>
      </w:r>
      <w:r w:rsidRPr="000F4F77">
        <w:rPr>
          <w:rFonts w:ascii="Sylfaen" w:hAnsi="Sylfaen" w:cs="Sylfaen"/>
          <w:sz w:val="20"/>
          <w:szCs w:val="20"/>
          <w:lang w:val="ka-GE"/>
        </w:rPr>
        <w:t>ადმინისტრაციას (</w:t>
      </w:r>
      <w:proofErr w:type="spellStart"/>
      <w:r w:rsidRPr="000F4F77">
        <w:rPr>
          <w:rFonts w:ascii="Sylfaen" w:hAnsi="Sylfaen" w:cs="Sylfaen"/>
          <w:sz w:val="20"/>
          <w:szCs w:val="20"/>
          <w:lang w:val="ka-GE"/>
        </w:rPr>
        <w:t>ო.ვოტ</w:t>
      </w:r>
      <w:proofErr w:type="spellEnd"/>
      <w:r w:rsidRPr="000F4F77">
        <w:rPr>
          <w:rFonts w:ascii="Sylfaen" w:hAnsi="Sylfaen" w:cs="Sylfaen"/>
          <w:sz w:val="20"/>
          <w:szCs w:val="20"/>
          <w:lang w:val="ka-GE"/>
        </w:rPr>
        <w:t>)</w:t>
      </w:r>
      <w:r w:rsidR="00A55E48" w:rsidRPr="000F4F77">
        <w:rPr>
          <w:rFonts w:ascii="Sylfaen" w:hAnsi="Sylfaen" w:cs="Sylfaen"/>
          <w:sz w:val="20"/>
          <w:szCs w:val="20"/>
          <w:lang w:val="ka-GE"/>
        </w:rPr>
        <w:t>.</w:t>
      </w:r>
    </w:p>
    <w:p w14:paraId="2080C7E4" w14:textId="76F4FBC7" w:rsidR="005B0ED3" w:rsidRPr="000F4F77" w:rsidRDefault="005B0ED3" w:rsidP="005B0ED3">
      <w:pPr>
        <w:pStyle w:val="ListParagraph"/>
        <w:numPr>
          <w:ilvl w:val="0"/>
          <w:numId w:val="4"/>
        </w:numPr>
        <w:spacing w:after="120" w:line="264" w:lineRule="auto"/>
        <w:jc w:val="both"/>
        <w:rPr>
          <w:rFonts w:ascii="Sylfaen" w:hAnsi="Sylfaen" w:cs="Sylfaen"/>
          <w:sz w:val="20"/>
          <w:szCs w:val="20"/>
          <w:lang w:val="ka-GE"/>
        </w:rPr>
      </w:pPr>
      <w:r w:rsidRPr="000F4F77">
        <w:rPr>
          <w:rFonts w:ascii="Sylfaen" w:hAnsi="Sylfaen" w:cs="Sylfaen"/>
          <w:sz w:val="20"/>
          <w:szCs w:val="20"/>
          <w:lang w:val="ka-GE"/>
        </w:rPr>
        <w:t xml:space="preserve">გადაწყვეტილება შეიძლება გასაჩივრდეს </w:t>
      </w:r>
      <w:r w:rsidR="000F4F77" w:rsidRPr="000F4F77">
        <w:rPr>
          <w:rFonts w:ascii="Sylfaen" w:hAnsi="Sylfaen" w:cs="Sylfaen"/>
          <w:sz w:val="20"/>
          <w:szCs w:val="20"/>
          <w:lang w:val="ka-GE"/>
        </w:rPr>
        <w:t>ქ. თბილისის</w:t>
      </w:r>
      <w:r w:rsidRPr="000F4F77">
        <w:rPr>
          <w:rFonts w:ascii="Sylfaen" w:hAnsi="Sylfaen" w:cs="Sylfaen"/>
          <w:sz w:val="20"/>
          <w:szCs w:val="20"/>
          <w:lang w:val="ka-GE"/>
        </w:rPr>
        <w:t xml:space="preserve"> საქალაქო სასამართლოს ადმინისტრაციულ საქმეთა კოლეგიაში (მისამართი: ქ. თბილისი, დავით აღმაშენებლის ხეივანი, N64) გადაწყვეტილების დამოწმებული ასლის შპს </w:t>
      </w:r>
      <w:r w:rsidR="0040048B" w:rsidRPr="000F4F77">
        <w:rPr>
          <w:rFonts w:ascii="Sylfaen" w:hAnsi="Sylfaen" w:cs="Sylfaen"/>
          <w:sz w:val="20"/>
          <w:szCs w:val="20"/>
          <w:lang w:val="ka-GE"/>
        </w:rPr>
        <w:t>,,</w:t>
      </w:r>
      <w:r w:rsidRPr="000F4F77">
        <w:rPr>
          <w:rFonts w:ascii="Sylfaen" w:hAnsi="Sylfaen" w:cs="Sylfaen"/>
          <w:sz w:val="20"/>
          <w:szCs w:val="20"/>
          <w:lang w:val="ka-GE"/>
        </w:rPr>
        <w:t>მაგთიკომისთვის“ ჩაბარებიდან ერთი თვის ვადაში.</w:t>
      </w:r>
    </w:p>
    <w:p w14:paraId="54BC6291" w14:textId="65E9296A" w:rsidR="00830DD3" w:rsidRPr="000F4F77" w:rsidRDefault="005B0ED3" w:rsidP="005B0ED3">
      <w:pPr>
        <w:pStyle w:val="ListParagraph"/>
        <w:numPr>
          <w:ilvl w:val="0"/>
          <w:numId w:val="4"/>
        </w:numPr>
        <w:spacing w:after="120" w:line="264" w:lineRule="auto"/>
        <w:jc w:val="both"/>
        <w:rPr>
          <w:rFonts w:ascii="Sylfaen" w:hAnsi="Sylfaen" w:cs="Sylfaen"/>
          <w:sz w:val="20"/>
          <w:szCs w:val="20"/>
          <w:lang w:val="ka-GE"/>
        </w:rPr>
      </w:pPr>
      <w:r w:rsidRPr="000F4F77">
        <w:rPr>
          <w:rFonts w:ascii="Sylfaen" w:hAnsi="Sylfaen" w:cs="Sylfaen"/>
          <w:sz w:val="20"/>
          <w:szCs w:val="20"/>
          <w:lang w:val="ka-GE"/>
        </w:rPr>
        <w:t>კონტროლი აღნიშნული გადაწყვეტილების შესრულებაზე დაევალოს კომისიის აპარატის კონკურენციის ხელშეწყობისა და ბაზრის რეგულირების დეპარტამენტს (ე. სიჭინავა).</w:t>
      </w:r>
    </w:p>
    <w:p w14:paraId="60884539" w14:textId="77777777" w:rsidR="00D9055D" w:rsidRPr="000F4F77" w:rsidRDefault="00D9055D" w:rsidP="00A052AF">
      <w:pPr>
        <w:spacing w:line="240" w:lineRule="auto"/>
        <w:jc w:val="both"/>
        <w:rPr>
          <w:rFonts w:ascii="Sylfaen" w:hAnsi="Sylfaen"/>
          <w:sz w:val="20"/>
          <w:szCs w:val="20"/>
          <w:lang w:val="ka-GE"/>
        </w:rPr>
      </w:pPr>
    </w:p>
    <w:sectPr w:rsidR="00D9055D" w:rsidRPr="000F4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14362"/>
    <w:multiLevelType w:val="multilevel"/>
    <w:tmpl w:val="738E7074"/>
    <w:lvl w:ilvl="0">
      <w:start w:val="1"/>
      <w:numFmt w:val="decimal"/>
      <w:lvlText w:val="%1."/>
      <w:lvlJc w:val="left"/>
      <w:pPr>
        <w:ind w:left="468" w:hanging="468"/>
      </w:pPr>
      <w:rPr>
        <w:rFonts w:ascii="Sylfaen" w:eastAsiaTheme="minorHAnsi" w:hAnsi="Sylfaen" w:cstheme="minorBidi"/>
      </w:rPr>
    </w:lvl>
    <w:lvl w:ilvl="1">
      <w:start w:val="5"/>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16016AC"/>
    <w:multiLevelType w:val="hybridMultilevel"/>
    <w:tmpl w:val="F792397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3C124B37"/>
    <w:multiLevelType w:val="hybridMultilevel"/>
    <w:tmpl w:val="9AA8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37B5F"/>
    <w:multiLevelType w:val="hybridMultilevel"/>
    <w:tmpl w:val="46524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373353">
    <w:abstractNumId w:val="1"/>
  </w:num>
  <w:num w:numId="2" w16cid:durableId="886725315">
    <w:abstractNumId w:val="2"/>
  </w:num>
  <w:num w:numId="3" w16cid:durableId="1854759790">
    <w:abstractNumId w:val="3"/>
  </w:num>
  <w:num w:numId="4" w16cid:durableId="157871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7F"/>
    <w:rsid w:val="0000130A"/>
    <w:rsid w:val="000166B6"/>
    <w:rsid w:val="00031315"/>
    <w:rsid w:val="00045F0D"/>
    <w:rsid w:val="00075791"/>
    <w:rsid w:val="000A6161"/>
    <w:rsid w:val="000A644E"/>
    <w:rsid w:val="000B166B"/>
    <w:rsid w:val="000C17D5"/>
    <w:rsid w:val="000D5CAC"/>
    <w:rsid w:val="000F4F77"/>
    <w:rsid w:val="000F7D22"/>
    <w:rsid w:val="00115DED"/>
    <w:rsid w:val="0012740D"/>
    <w:rsid w:val="00143DBB"/>
    <w:rsid w:val="00160F76"/>
    <w:rsid w:val="00165158"/>
    <w:rsid w:val="00182574"/>
    <w:rsid w:val="001A7711"/>
    <w:rsid w:val="001B52EC"/>
    <w:rsid w:val="001C20DB"/>
    <w:rsid w:val="001D19B8"/>
    <w:rsid w:val="002065AE"/>
    <w:rsid w:val="00262E1D"/>
    <w:rsid w:val="00264BAA"/>
    <w:rsid w:val="002736C9"/>
    <w:rsid w:val="0028036B"/>
    <w:rsid w:val="00291E93"/>
    <w:rsid w:val="002972E1"/>
    <w:rsid w:val="002A5651"/>
    <w:rsid w:val="002A6215"/>
    <w:rsid w:val="002B4B61"/>
    <w:rsid w:val="002B600A"/>
    <w:rsid w:val="002C7A25"/>
    <w:rsid w:val="002F57EC"/>
    <w:rsid w:val="0031229A"/>
    <w:rsid w:val="003234EF"/>
    <w:rsid w:val="00327914"/>
    <w:rsid w:val="003321A0"/>
    <w:rsid w:val="00332DBA"/>
    <w:rsid w:val="00367070"/>
    <w:rsid w:val="003757C5"/>
    <w:rsid w:val="003A55F4"/>
    <w:rsid w:val="003B0749"/>
    <w:rsid w:val="003B5888"/>
    <w:rsid w:val="003C78C1"/>
    <w:rsid w:val="003F3F4A"/>
    <w:rsid w:val="0040048B"/>
    <w:rsid w:val="0040346C"/>
    <w:rsid w:val="004049F4"/>
    <w:rsid w:val="00422DDA"/>
    <w:rsid w:val="00423D43"/>
    <w:rsid w:val="0044147C"/>
    <w:rsid w:val="00454AD4"/>
    <w:rsid w:val="00485852"/>
    <w:rsid w:val="004D31C6"/>
    <w:rsid w:val="004E1D2F"/>
    <w:rsid w:val="00532BDB"/>
    <w:rsid w:val="00533D40"/>
    <w:rsid w:val="00540E94"/>
    <w:rsid w:val="00543E97"/>
    <w:rsid w:val="00546694"/>
    <w:rsid w:val="00556654"/>
    <w:rsid w:val="005A35FA"/>
    <w:rsid w:val="005B0ED3"/>
    <w:rsid w:val="005B2B1D"/>
    <w:rsid w:val="005B6EDB"/>
    <w:rsid w:val="005C0BFF"/>
    <w:rsid w:val="005E229F"/>
    <w:rsid w:val="005E31FA"/>
    <w:rsid w:val="00624AC6"/>
    <w:rsid w:val="00654208"/>
    <w:rsid w:val="006A154E"/>
    <w:rsid w:val="006A487A"/>
    <w:rsid w:val="006C0F97"/>
    <w:rsid w:val="006C61BF"/>
    <w:rsid w:val="006D5F15"/>
    <w:rsid w:val="00726A3C"/>
    <w:rsid w:val="00737ECB"/>
    <w:rsid w:val="00760380"/>
    <w:rsid w:val="00765640"/>
    <w:rsid w:val="00772D4E"/>
    <w:rsid w:val="00782304"/>
    <w:rsid w:val="007B5437"/>
    <w:rsid w:val="007C2A80"/>
    <w:rsid w:val="007E4AC1"/>
    <w:rsid w:val="007E577D"/>
    <w:rsid w:val="007F2A7C"/>
    <w:rsid w:val="007F2FA6"/>
    <w:rsid w:val="00801AC5"/>
    <w:rsid w:val="00804252"/>
    <w:rsid w:val="00814BFF"/>
    <w:rsid w:val="00826B73"/>
    <w:rsid w:val="008272A0"/>
    <w:rsid w:val="00830DD3"/>
    <w:rsid w:val="008475BD"/>
    <w:rsid w:val="00863DEE"/>
    <w:rsid w:val="008751F9"/>
    <w:rsid w:val="00877F4D"/>
    <w:rsid w:val="00883B8B"/>
    <w:rsid w:val="00891A44"/>
    <w:rsid w:val="00893EBA"/>
    <w:rsid w:val="008941D1"/>
    <w:rsid w:val="008A5126"/>
    <w:rsid w:val="008A6515"/>
    <w:rsid w:val="008C319D"/>
    <w:rsid w:val="008C4108"/>
    <w:rsid w:val="008D36C6"/>
    <w:rsid w:val="008F1C6B"/>
    <w:rsid w:val="008F6E01"/>
    <w:rsid w:val="00911E62"/>
    <w:rsid w:val="0092493A"/>
    <w:rsid w:val="009735B9"/>
    <w:rsid w:val="009821CB"/>
    <w:rsid w:val="009A7C1A"/>
    <w:rsid w:val="009D4D93"/>
    <w:rsid w:val="009F4D8A"/>
    <w:rsid w:val="00A052AF"/>
    <w:rsid w:val="00A075E3"/>
    <w:rsid w:val="00A14D18"/>
    <w:rsid w:val="00A222EB"/>
    <w:rsid w:val="00A52085"/>
    <w:rsid w:val="00A533F3"/>
    <w:rsid w:val="00A55E48"/>
    <w:rsid w:val="00A8148C"/>
    <w:rsid w:val="00A9157E"/>
    <w:rsid w:val="00A97B98"/>
    <w:rsid w:val="00AA4F6A"/>
    <w:rsid w:val="00AB1823"/>
    <w:rsid w:val="00AB306D"/>
    <w:rsid w:val="00AC488F"/>
    <w:rsid w:val="00AC5E3C"/>
    <w:rsid w:val="00AD65AB"/>
    <w:rsid w:val="00AD6A41"/>
    <w:rsid w:val="00AF55E6"/>
    <w:rsid w:val="00B00AE5"/>
    <w:rsid w:val="00B06AE1"/>
    <w:rsid w:val="00B221A8"/>
    <w:rsid w:val="00B2763A"/>
    <w:rsid w:val="00B30CC5"/>
    <w:rsid w:val="00B33294"/>
    <w:rsid w:val="00B34EB6"/>
    <w:rsid w:val="00B42415"/>
    <w:rsid w:val="00B476B5"/>
    <w:rsid w:val="00B534AC"/>
    <w:rsid w:val="00B70A61"/>
    <w:rsid w:val="00B71E21"/>
    <w:rsid w:val="00B855BD"/>
    <w:rsid w:val="00BA2E58"/>
    <w:rsid w:val="00BB501C"/>
    <w:rsid w:val="00BD28DD"/>
    <w:rsid w:val="00BD4CA6"/>
    <w:rsid w:val="00BD7494"/>
    <w:rsid w:val="00BE215A"/>
    <w:rsid w:val="00BF7B1F"/>
    <w:rsid w:val="00C01BA5"/>
    <w:rsid w:val="00C07602"/>
    <w:rsid w:val="00C10B7D"/>
    <w:rsid w:val="00C3264C"/>
    <w:rsid w:val="00C4637D"/>
    <w:rsid w:val="00C53998"/>
    <w:rsid w:val="00CA2A7F"/>
    <w:rsid w:val="00CA36C9"/>
    <w:rsid w:val="00CA6253"/>
    <w:rsid w:val="00CB7F41"/>
    <w:rsid w:val="00CD5DFB"/>
    <w:rsid w:val="00D055A8"/>
    <w:rsid w:val="00D539D1"/>
    <w:rsid w:val="00D6104F"/>
    <w:rsid w:val="00D627BD"/>
    <w:rsid w:val="00D74CBF"/>
    <w:rsid w:val="00D76AB2"/>
    <w:rsid w:val="00D77B80"/>
    <w:rsid w:val="00D857A1"/>
    <w:rsid w:val="00D86240"/>
    <w:rsid w:val="00D9055D"/>
    <w:rsid w:val="00D911A6"/>
    <w:rsid w:val="00DB702E"/>
    <w:rsid w:val="00DC110A"/>
    <w:rsid w:val="00DC6DD2"/>
    <w:rsid w:val="00DC79E3"/>
    <w:rsid w:val="00DD0D24"/>
    <w:rsid w:val="00DE5779"/>
    <w:rsid w:val="00DF2B84"/>
    <w:rsid w:val="00E03571"/>
    <w:rsid w:val="00E046B3"/>
    <w:rsid w:val="00E25D12"/>
    <w:rsid w:val="00E30AA1"/>
    <w:rsid w:val="00E5400E"/>
    <w:rsid w:val="00E822A7"/>
    <w:rsid w:val="00EC6550"/>
    <w:rsid w:val="00EE315D"/>
    <w:rsid w:val="00EF1EFD"/>
    <w:rsid w:val="00F11537"/>
    <w:rsid w:val="00F129FD"/>
    <w:rsid w:val="00F204B5"/>
    <w:rsid w:val="00F245D5"/>
    <w:rsid w:val="00F364A3"/>
    <w:rsid w:val="00F53144"/>
    <w:rsid w:val="00F55E0A"/>
    <w:rsid w:val="00F70302"/>
    <w:rsid w:val="00F839C8"/>
    <w:rsid w:val="00F84B67"/>
    <w:rsid w:val="00FA3496"/>
    <w:rsid w:val="00FB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71B8"/>
  <w15:chartTrackingRefBased/>
  <w15:docId w15:val="{867C86B4-E495-4FEE-9935-D2B4D5AB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A2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A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A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A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A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A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A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A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A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A2A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A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A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A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A7F"/>
    <w:rPr>
      <w:rFonts w:eastAsiaTheme="majorEastAsia" w:cstheme="majorBidi"/>
      <w:color w:val="272727" w:themeColor="text1" w:themeTint="D8"/>
    </w:rPr>
  </w:style>
  <w:style w:type="paragraph" w:styleId="Title">
    <w:name w:val="Title"/>
    <w:basedOn w:val="Normal"/>
    <w:next w:val="Normal"/>
    <w:link w:val="TitleChar"/>
    <w:uiPriority w:val="10"/>
    <w:qFormat/>
    <w:rsid w:val="00CA2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A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A7F"/>
    <w:pPr>
      <w:spacing w:before="160"/>
      <w:jc w:val="center"/>
    </w:pPr>
    <w:rPr>
      <w:i/>
      <w:iCs/>
      <w:color w:val="404040" w:themeColor="text1" w:themeTint="BF"/>
    </w:rPr>
  </w:style>
  <w:style w:type="character" w:customStyle="1" w:styleId="QuoteChar">
    <w:name w:val="Quote Char"/>
    <w:basedOn w:val="DefaultParagraphFont"/>
    <w:link w:val="Quote"/>
    <w:uiPriority w:val="29"/>
    <w:rsid w:val="00CA2A7F"/>
    <w:rPr>
      <w:i/>
      <w:iCs/>
      <w:color w:val="404040" w:themeColor="text1" w:themeTint="BF"/>
    </w:rPr>
  </w:style>
  <w:style w:type="paragraph" w:styleId="ListParagraph">
    <w:name w:val="List Paragraph"/>
    <w:aliases w:val="Numbered List,Tables,IBL List Paragraph,Normal bullet 2,Bullet list,List Paragraph1,1st level - Bullet List Paragraph,Lettre d'introduction,Paragrafo elenco,List Paragraph11,Normal bullet 21,List Paragraph111,Bullet list1"/>
    <w:basedOn w:val="Normal"/>
    <w:link w:val="ListParagraphChar"/>
    <w:uiPriority w:val="34"/>
    <w:qFormat/>
    <w:rsid w:val="00CA2A7F"/>
    <w:pPr>
      <w:ind w:left="720"/>
      <w:contextualSpacing/>
    </w:pPr>
  </w:style>
  <w:style w:type="character" w:styleId="IntenseEmphasis">
    <w:name w:val="Intense Emphasis"/>
    <w:basedOn w:val="DefaultParagraphFont"/>
    <w:uiPriority w:val="21"/>
    <w:qFormat/>
    <w:rsid w:val="00CA2A7F"/>
    <w:rPr>
      <w:i/>
      <w:iCs/>
      <w:color w:val="0F4761" w:themeColor="accent1" w:themeShade="BF"/>
    </w:rPr>
  </w:style>
  <w:style w:type="paragraph" w:styleId="IntenseQuote">
    <w:name w:val="Intense Quote"/>
    <w:basedOn w:val="Normal"/>
    <w:next w:val="Normal"/>
    <w:link w:val="IntenseQuoteChar"/>
    <w:uiPriority w:val="30"/>
    <w:qFormat/>
    <w:rsid w:val="00CA2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A7F"/>
    <w:rPr>
      <w:i/>
      <w:iCs/>
      <w:color w:val="0F4761" w:themeColor="accent1" w:themeShade="BF"/>
    </w:rPr>
  </w:style>
  <w:style w:type="character" w:styleId="IntenseReference">
    <w:name w:val="Intense Reference"/>
    <w:basedOn w:val="DefaultParagraphFont"/>
    <w:uiPriority w:val="32"/>
    <w:qFormat/>
    <w:rsid w:val="00CA2A7F"/>
    <w:rPr>
      <w:b/>
      <w:bCs/>
      <w:smallCaps/>
      <w:color w:val="0F4761" w:themeColor="accent1" w:themeShade="BF"/>
      <w:spacing w:val="5"/>
    </w:rPr>
  </w:style>
  <w:style w:type="character" w:styleId="CommentReference">
    <w:name w:val="annotation reference"/>
    <w:basedOn w:val="DefaultParagraphFont"/>
    <w:uiPriority w:val="99"/>
    <w:semiHidden/>
    <w:unhideWhenUsed/>
    <w:rsid w:val="008475BD"/>
    <w:rPr>
      <w:sz w:val="16"/>
      <w:szCs w:val="16"/>
    </w:rPr>
  </w:style>
  <w:style w:type="paragraph" w:styleId="CommentText">
    <w:name w:val="annotation text"/>
    <w:basedOn w:val="Normal"/>
    <w:link w:val="CommentTextChar"/>
    <w:uiPriority w:val="99"/>
    <w:unhideWhenUsed/>
    <w:rsid w:val="008475BD"/>
    <w:pPr>
      <w:spacing w:line="240" w:lineRule="auto"/>
    </w:pPr>
    <w:rPr>
      <w:sz w:val="20"/>
      <w:szCs w:val="20"/>
    </w:rPr>
  </w:style>
  <w:style w:type="character" w:customStyle="1" w:styleId="CommentTextChar">
    <w:name w:val="Comment Text Char"/>
    <w:basedOn w:val="DefaultParagraphFont"/>
    <w:link w:val="CommentText"/>
    <w:uiPriority w:val="99"/>
    <w:rsid w:val="008475BD"/>
    <w:rPr>
      <w:sz w:val="20"/>
      <w:szCs w:val="20"/>
    </w:rPr>
  </w:style>
  <w:style w:type="paragraph" w:styleId="CommentSubject">
    <w:name w:val="annotation subject"/>
    <w:basedOn w:val="CommentText"/>
    <w:next w:val="CommentText"/>
    <w:link w:val="CommentSubjectChar"/>
    <w:uiPriority w:val="99"/>
    <w:semiHidden/>
    <w:unhideWhenUsed/>
    <w:rsid w:val="008475BD"/>
    <w:rPr>
      <w:b/>
      <w:bCs/>
    </w:rPr>
  </w:style>
  <w:style w:type="character" w:customStyle="1" w:styleId="CommentSubjectChar">
    <w:name w:val="Comment Subject Char"/>
    <w:basedOn w:val="CommentTextChar"/>
    <w:link w:val="CommentSubject"/>
    <w:uiPriority w:val="99"/>
    <w:semiHidden/>
    <w:rsid w:val="008475BD"/>
    <w:rPr>
      <w:b/>
      <w:bCs/>
      <w:sz w:val="20"/>
      <w:szCs w:val="20"/>
    </w:rPr>
  </w:style>
  <w:style w:type="paragraph" w:styleId="Revision">
    <w:name w:val="Revision"/>
    <w:hidden/>
    <w:uiPriority w:val="99"/>
    <w:semiHidden/>
    <w:rsid w:val="003757C5"/>
    <w:pPr>
      <w:spacing w:after="0" w:line="240" w:lineRule="auto"/>
    </w:pPr>
  </w:style>
  <w:style w:type="character" w:styleId="Hyperlink">
    <w:name w:val="Hyperlink"/>
    <w:uiPriority w:val="99"/>
    <w:rsid w:val="005B0ED3"/>
    <w:rPr>
      <w:color w:val="0000FF"/>
      <w:sz w:val="22"/>
      <w:u w:val="single"/>
      <w:lang w:val="en-US" w:eastAsia="en-US" w:bidi="ar-SA"/>
    </w:rPr>
  </w:style>
  <w:style w:type="character" w:customStyle="1" w:styleId="ListParagraphChar">
    <w:name w:val="List Paragraph Char"/>
    <w:aliases w:val="Numbered List Char,Tables Char,IBL List Paragraph Char,Normal bullet 2 Char,Bullet list Char,List Paragraph1 Char,1st level - Bullet List Paragraph Char,Lettre d'introduction Char,Paragrafo elenco Char,List Paragraph11 Char"/>
    <w:basedOn w:val="DefaultParagraphFont"/>
    <w:link w:val="ListParagraph"/>
    <w:uiPriority w:val="34"/>
    <w:rsid w:val="005B0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5424">
      <w:bodyDiv w:val="1"/>
      <w:marLeft w:val="0"/>
      <w:marRight w:val="0"/>
      <w:marTop w:val="0"/>
      <w:marBottom w:val="0"/>
      <w:divBdr>
        <w:top w:val="none" w:sz="0" w:space="0" w:color="auto"/>
        <w:left w:val="none" w:sz="0" w:space="0" w:color="auto"/>
        <w:bottom w:val="none" w:sz="0" w:space="0" w:color="auto"/>
        <w:right w:val="none" w:sz="0" w:space="0" w:color="auto"/>
      </w:divBdr>
    </w:div>
    <w:div w:id="63839621">
      <w:bodyDiv w:val="1"/>
      <w:marLeft w:val="0"/>
      <w:marRight w:val="0"/>
      <w:marTop w:val="0"/>
      <w:marBottom w:val="0"/>
      <w:divBdr>
        <w:top w:val="none" w:sz="0" w:space="0" w:color="auto"/>
        <w:left w:val="none" w:sz="0" w:space="0" w:color="auto"/>
        <w:bottom w:val="none" w:sz="0" w:space="0" w:color="auto"/>
        <w:right w:val="none" w:sz="0" w:space="0" w:color="auto"/>
      </w:divBdr>
    </w:div>
    <w:div w:id="249702069">
      <w:bodyDiv w:val="1"/>
      <w:marLeft w:val="0"/>
      <w:marRight w:val="0"/>
      <w:marTop w:val="0"/>
      <w:marBottom w:val="0"/>
      <w:divBdr>
        <w:top w:val="none" w:sz="0" w:space="0" w:color="auto"/>
        <w:left w:val="none" w:sz="0" w:space="0" w:color="auto"/>
        <w:bottom w:val="none" w:sz="0" w:space="0" w:color="auto"/>
        <w:right w:val="none" w:sz="0" w:space="0" w:color="auto"/>
      </w:divBdr>
    </w:div>
    <w:div w:id="824400759">
      <w:bodyDiv w:val="1"/>
      <w:marLeft w:val="0"/>
      <w:marRight w:val="0"/>
      <w:marTop w:val="0"/>
      <w:marBottom w:val="0"/>
      <w:divBdr>
        <w:top w:val="none" w:sz="0" w:space="0" w:color="auto"/>
        <w:left w:val="none" w:sz="0" w:space="0" w:color="auto"/>
        <w:bottom w:val="none" w:sz="0" w:space="0" w:color="auto"/>
        <w:right w:val="none" w:sz="0" w:space="0" w:color="auto"/>
      </w:divBdr>
    </w:div>
    <w:div w:id="923303542">
      <w:bodyDiv w:val="1"/>
      <w:marLeft w:val="0"/>
      <w:marRight w:val="0"/>
      <w:marTop w:val="0"/>
      <w:marBottom w:val="0"/>
      <w:divBdr>
        <w:top w:val="none" w:sz="0" w:space="0" w:color="auto"/>
        <w:left w:val="none" w:sz="0" w:space="0" w:color="auto"/>
        <w:bottom w:val="none" w:sz="0" w:space="0" w:color="auto"/>
        <w:right w:val="none" w:sz="0" w:space="0" w:color="auto"/>
      </w:divBdr>
    </w:div>
    <w:div w:id="1054161539">
      <w:bodyDiv w:val="1"/>
      <w:marLeft w:val="0"/>
      <w:marRight w:val="0"/>
      <w:marTop w:val="0"/>
      <w:marBottom w:val="0"/>
      <w:divBdr>
        <w:top w:val="none" w:sz="0" w:space="0" w:color="auto"/>
        <w:left w:val="none" w:sz="0" w:space="0" w:color="auto"/>
        <w:bottom w:val="none" w:sz="0" w:space="0" w:color="auto"/>
        <w:right w:val="none" w:sz="0" w:space="0" w:color="auto"/>
      </w:divBdr>
    </w:div>
    <w:div w:id="1187214039">
      <w:bodyDiv w:val="1"/>
      <w:marLeft w:val="0"/>
      <w:marRight w:val="0"/>
      <w:marTop w:val="0"/>
      <w:marBottom w:val="0"/>
      <w:divBdr>
        <w:top w:val="none" w:sz="0" w:space="0" w:color="auto"/>
        <w:left w:val="none" w:sz="0" w:space="0" w:color="auto"/>
        <w:bottom w:val="none" w:sz="0" w:space="0" w:color="auto"/>
        <w:right w:val="none" w:sz="0" w:space="0" w:color="auto"/>
      </w:divBdr>
      <w:divsChild>
        <w:div w:id="231355674">
          <w:marLeft w:val="0"/>
          <w:marRight w:val="0"/>
          <w:marTop w:val="750"/>
          <w:marBottom w:val="315"/>
          <w:divBdr>
            <w:top w:val="none" w:sz="0" w:space="0" w:color="auto"/>
            <w:left w:val="none" w:sz="0" w:space="0" w:color="auto"/>
            <w:bottom w:val="none" w:sz="0" w:space="0" w:color="auto"/>
            <w:right w:val="none" w:sz="0" w:space="0" w:color="auto"/>
          </w:divBdr>
          <w:divsChild>
            <w:div w:id="18146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7146">
      <w:bodyDiv w:val="1"/>
      <w:marLeft w:val="0"/>
      <w:marRight w:val="0"/>
      <w:marTop w:val="0"/>
      <w:marBottom w:val="0"/>
      <w:divBdr>
        <w:top w:val="none" w:sz="0" w:space="0" w:color="auto"/>
        <w:left w:val="none" w:sz="0" w:space="0" w:color="auto"/>
        <w:bottom w:val="none" w:sz="0" w:space="0" w:color="auto"/>
        <w:right w:val="none" w:sz="0" w:space="0" w:color="auto"/>
      </w:divBdr>
    </w:div>
    <w:div w:id="1550068937">
      <w:bodyDiv w:val="1"/>
      <w:marLeft w:val="0"/>
      <w:marRight w:val="0"/>
      <w:marTop w:val="0"/>
      <w:marBottom w:val="0"/>
      <w:divBdr>
        <w:top w:val="none" w:sz="0" w:space="0" w:color="auto"/>
        <w:left w:val="none" w:sz="0" w:space="0" w:color="auto"/>
        <w:bottom w:val="none" w:sz="0" w:space="0" w:color="auto"/>
        <w:right w:val="none" w:sz="0" w:space="0" w:color="auto"/>
      </w:divBdr>
    </w:div>
    <w:div w:id="1765370684">
      <w:bodyDiv w:val="1"/>
      <w:marLeft w:val="0"/>
      <w:marRight w:val="0"/>
      <w:marTop w:val="0"/>
      <w:marBottom w:val="0"/>
      <w:divBdr>
        <w:top w:val="none" w:sz="0" w:space="0" w:color="auto"/>
        <w:left w:val="none" w:sz="0" w:space="0" w:color="auto"/>
        <w:bottom w:val="none" w:sz="0" w:space="0" w:color="auto"/>
        <w:right w:val="none" w:sz="0" w:space="0" w:color="auto"/>
      </w:divBdr>
    </w:div>
    <w:div w:id="1811897573">
      <w:bodyDiv w:val="1"/>
      <w:marLeft w:val="0"/>
      <w:marRight w:val="0"/>
      <w:marTop w:val="0"/>
      <w:marBottom w:val="0"/>
      <w:divBdr>
        <w:top w:val="none" w:sz="0" w:space="0" w:color="auto"/>
        <w:left w:val="none" w:sz="0" w:space="0" w:color="auto"/>
        <w:bottom w:val="none" w:sz="0" w:space="0" w:color="auto"/>
        <w:right w:val="none" w:sz="0" w:space="0" w:color="auto"/>
      </w:divBdr>
      <w:divsChild>
        <w:div w:id="1539002510">
          <w:marLeft w:val="0"/>
          <w:marRight w:val="0"/>
          <w:marTop w:val="750"/>
          <w:marBottom w:val="315"/>
          <w:divBdr>
            <w:top w:val="none" w:sz="0" w:space="0" w:color="auto"/>
            <w:left w:val="none" w:sz="0" w:space="0" w:color="auto"/>
            <w:bottom w:val="none" w:sz="0" w:space="0" w:color="auto"/>
            <w:right w:val="none" w:sz="0" w:space="0" w:color="auto"/>
          </w:divBdr>
          <w:divsChild>
            <w:div w:id="10020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mcom.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8209B-EF29-46C5-A69C-BC967D47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Kavtaradze</dc:creator>
  <cp:keywords/>
  <dc:description/>
  <cp:lastModifiedBy>Giorgi Goglidze</cp:lastModifiedBy>
  <cp:revision>4</cp:revision>
  <dcterms:created xsi:type="dcterms:W3CDTF">2024-09-02T08:51:00Z</dcterms:created>
  <dcterms:modified xsi:type="dcterms:W3CDTF">2024-09-02T10:40:00Z</dcterms:modified>
</cp:coreProperties>
</file>